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CE1" w14:textId="7A52E09C" w:rsidR="00F73C30" w:rsidRDefault="00F73C30" w:rsidP="00E119B9">
      <w:pPr>
        <w:spacing w:after="0" w:line="257" w:lineRule="auto"/>
        <w:jc w:val="center"/>
        <w:rPr>
          <w:rStyle w:val="NzevChar"/>
        </w:rPr>
      </w:pPr>
      <w:r>
        <w:rPr>
          <w:rStyle w:val="NzevChar"/>
          <w:rFonts w:asciiTheme="minorHAnsi" w:hAnsiTheme="minorHAnsi"/>
        </w:rPr>
        <w:t>Smlouva</w:t>
      </w:r>
      <w:r w:rsidRPr="00993CF7">
        <w:rPr>
          <w:rStyle w:val="NzevChar"/>
          <w:rFonts w:asciiTheme="minorHAnsi" w:hAnsiTheme="minorHAnsi"/>
        </w:rPr>
        <w:t xml:space="preserve"> o </w:t>
      </w:r>
      <w:r w:rsidR="00DF7770">
        <w:rPr>
          <w:rStyle w:val="NzevChar"/>
        </w:rPr>
        <w:t>DÍLO</w:t>
      </w:r>
    </w:p>
    <w:p w14:paraId="1CA644D0" w14:textId="4E5F5AC7" w:rsidR="00DF7770" w:rsidRPr="00DF7770" w:rsidRDefault="00DF7770" w:rsidP="000E565C">
      <w:pPr>
        <w:spacing w:after="0" w:line="257" w:lineRule="auto"/>
        <w:jc w:val="center"/>
        <w:rPr>
          <w:rStyle w:val="NzevChar"/>
          <w:rFonts w:asciiTheme="minorHAnsi" w:hAnsiTheme="minorHAnsi"/>
          <w:sz w:val="36"/>
          <w:szCs w:val="52"/>
        </w:rPr>
      </w:pPr>
      <w:r w:rsidRPr="00DF7770">
        <w:rPr>
          <w:rStyle w:val="NzevChar"/>
          <w:sz w:val="36"/>
          <w:szCs w:val="52"/>
        </w:rPr>
        <w:t xml:space="preserve">NA VYTVOŘENÍ FYZICKÉHO MODELU </w:t>
      </w:r>
    </w:p>
    <w:p w14:paraId="708D49C4" w14:textId="77777777" w:rsidR="00697B4D" w:rsidRDefault="00697B4D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7753CCBA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64E1E465" w14:textId="5742566C" w:rsidR="009E276C" w:rsidRDefault="00EB77D0" w:rsidP="007E255D">
      <w:pPr>
        <w:pStyle w:val="SML11"/>
        <w:ind w:hanging="792"/>
        <w:rPr>
          <w:rStyle w:val="NormalUnderlined"/>
        </w:rPr>
      </w:pPr>
      <w:bookmarkStart w:id="0" w:name="_Ref47015148"/>
      <w:r w:rsidRPr="00EB77D0">
        <w:rPr>
          <w:rStyle w:val="NormalUnderlined"/>
        </w:rPr>
        <w:t>Kancelář architekta města Brna, p</w:t>
      </w:r>
      <w:bookmarkEnd w:id="0"/>
      <w:r w:rsidR="003D1F3E">
        <w:rPr>
          <w:rStyle w:val="NormalUnderlined"/>
        </w:rPr>
        <w:t>říspěvková organizace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261"/>
        <w:gridCol w:w="5655"/>
      </w:tblGrid>
      <w:tr w:rsidR="00CA367D" w14:paraId="10C08119" w14:textId="77777777" w:rsidTr="6815E843">
        <w:tc>
          <w:tcPr>
            <w:tcW w:w="1829" w:type="pct"/>
            <w:hideMark/>
          </w:tcPr>
          <w:p w14:paraId="4903D507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33103B52" w14:textId="77777777" w:rsidR="00CA367D" w:rsidRDefault="00EB77D0" w:rsidP="00E15438">
            <w:pPr>
              <w:spacing w:before="40" w:after="0" w:line="257" w:lineRule="auto"/>
            </w:pPr>
            <w:r w:rsidRPr="00EB77D0">
              <w:t>Zelný trh 331/13, 602 00 Brno</w:t>
            </w:r>
          </w:p>
        </w:tc>
      </w:tr>
      <w:tr w:rsidR="00CA367D" w14:paraId="7F6F914B" w14:textId="77777777" w:rsidTr="6815E843">
        <w:tc>
          <w:tcPr>
            <w:tcW w:w="1829" w:type="pct"/>
            <w:hideMark/>
          </w:tcPr>
          <w:p w14:paraId="44255A6C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680ABFDE" w14:textId="77777777" w:rsidR="00CA367D" w:rsidRDefault="00EB77D0" w:rsidP="00E15438">
            <w:pPr>
              <w:spacing w:before="40" w:after="0" w:line="257" w:lineRule="auto"/>
            </w:pPr>
            <w:r w:rsidRPr="00EB77D0">
              <w:t>05128820</w:t>
            </w:r>
          </w:p>
        </w:tc>
      </w:tr>
      <w:tr w:rsidR="00CA367D" w14:paraId="3E7465C5" w14:textId="77777777" w:rsidTr="6815E843">
        <w:tc>
          <w:tcPr>
            <w:tcW w:w="1829" w:type="pct"/>
            <w:hideMark/>
          </w:tcPr>
          <w:p w14:paraId="7625EECB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2846C806" w14:textId="1BAA16AF" w:rsidR="00CA367D" w:rsidRDefault="00EB77D0" w:rsidP="00E15438">
            <w:pPr>
              <w:spacing w:before="40" w:after="0" w:line="257" w:lineRule="auto"/>
            </w:pPr>
            <w:r w:rsidRPr="00EB77D0">
              <w:t>CZ05128820</w:t>
            </w:r>
            <w:r w:rsidR="00E44F5C">
              <w:t xml:space="preserve"> (není plátce DPH)</w:t>
            </w:r>
          </w:p>
        </w:tc>
      </w:tr>
      <w:tr w:rsidR="00CA367D" w14:paraId="14E4C59E" w14:textId="77777777" w:rsidTr="6815E843">
        <w:tc>
          <w:tcPr>
            <w:tcW w:w="1829" w:type="pct"/>
            <w:hideMark/>
          </w:tcPr>
          <w:p w14:paraId="12711D5F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18808115" w14:textId="3E347316" w:rsidR="00CA367D" w:rsidRDefault="46F783E5" w:rsidP="00E15438">
            <w:pPr>
              <w:spacing w:before="40" w:after="0" w:line="257" w:lineRule="auto"/>
            </w:pPr>
            <w:r>
              <w:t>příspěvková organizace</w:t>
            </w:r>
            <w:r w:rsidR="00EB77D0">
              <w:t xml:space="preserve"> </w:t>
            </w:r>
            <w:r w:rsidR="00CA367D">
              <w:t xml:space="preserve">zapsaná v obchodním rejstříku pod </w:t>
            </w:r>
            <w:proofErr w:type="spellStart"/>
            <w:r w:rsidR="00CA367D">
              <w:t>sp</w:t>
            </w:r>
            <w:proofErr w:type="spellEnd"/>
            <w:r w:rsidR="00CA367D">
              <w:t xml:space="preserve">. zn. </w:t>
            </w:r>
            <w:r w:rsidR="00EB77D0">
              <w:t>Pr1951</w:t>
            </w:r>
            <w:r w:rsidR="00CA367D">
              <w:t xml:space="preserve"> vedenou u </w:t>
            </w:r>
            <w:r w:rsidR="00EB77D0">
              <w:t xml:space="preserve">Krajského </w:t>
            </w:r>
            <w:r w:rsidR="00CA367D">
              <w:t>soudu v </w:t>
            </w:r>
            <w:r w:rsidR="00EB77D0">
              <w:t>Brně</w:t>
            </w:r>
          </w:p>
        </w:tc>
      </w:tr>
      <w:tr w:rsidR="00CA367D" w14:paraId="73DFBC19" w14:textId="77777777" w:rsidTr="6815E843">
        <w:tc>
          <w:tcPr>
            <w:tcW w:w="1829" w:type="pct"/>
            <w:hideMark/>
          </w:tcPr>
          <w:p w14:paraId="277E00B6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27EE1671" w14:textId="00B2B8B7" w:rsidR="00CA367D" w:rsidRDefault="00EB77D0" w:rsidP="00E15438">
            <w:pPr>
              <w:spacing w:before="40" w:after="0" w:line="257" w:lineRule="auto"/>
            </w:pPr>
            <w:r w:rsidRPr="00EB77D0">
              <w:t xml:space="preserve">Ing. arch. </w:t>
            </w:r>
            <w:r w:rsidR="0000700C">
              <w:t>Jan Tesárek</w:t>
            </w:r>
            <w:r w:rsidRPr="00EB77D0">
              <w:t>, ředitel</w:t>
            </w:r>
          </w:p>
        </w:tc>
      </w:tr>
      <w:tr w:rsidR="00E119B9" w14:paraId="3FE822BA" w14:textId="77777777" w:rsidTr="6815E843">
        <w:tc>
          <w:tcPr>
            <w:tcW w:w="1829" w:type="pct"/>
          </w:tcPr>
          <w:p w14:paraId="0B434A78" w14:textId="089A70F5" w:rsidR="00E119B9" w:rsidRDefault="00E119B9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 xml:space="preserve">Kontaktní osoba: </w:t>
            </w:r>
          </w:p>
        </w:tc>
        <w:tc>
          <w:tcPr>
            <w:tcW w:w="3171" w:type="pct"/>
          </w:tcPr>
          <w:p w14:paraId="2F8C9976" w14:textId="0BC5E7C1" w:rsidR="00E119B9" w:rsidRPr="00EB77D0" w:rsidRDefault="00A843A7" w:rsidP="00E15438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  <w:tr w:rsidR="00CA367D" w14:paraId="2FF2E099" w14:textId="77777777" w:rsidTr="6815E843">
        <w:tc>
          <w:tcPr>
            <w:tcW w:w="1829" w:type="pct"/>
            <w:hideMark/>
          </w:tcPr>
          <w:p w14:paraId="693FFD1F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56DE79C8" w14:textId="456CDE27" w:rsidR="00CA367D" w:rsidRDefault="00A843A7" w:rsidP="00E15438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  <w:tr w:rsidR="00CA367D" w14:paraId="24504D02" w14:textId="77777777" w:rsidTr="6815E843">
        <w:trPr>
          <w:trHeight w:val="52"/>
        </w:trPr>
        <w:tc>
          <w:tcPr>
            <w:tcW w:w="1829" w:type="pct"/>
            <w:hideMark/>
          </w:tcPr>
          <w:p w14:paraId="139F197D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59A183F6" w14:textId="26254511" w:rsidR="00CA367D" w:rsidRDefault="00A843A7" w:rsidP="00E15438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</w:tbl>
    <w:p w14:paraId="37A71AFF" w14:textId="77777777" w:rsidR="009E276C" w:rsidRPr="009E276C" w:rsidRDefault="00CA367D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EB77D0">
        <w:rPr>
          <w:rStyle w:val="NormalBold"/>
        </w:rPr>
        <w:t>Objednatel</w:t>
      </w:r>
      <w:r>
        <w:t>“)</w:t>
      </w:r>
    </w:p>
    <w:p w14:paraId="4512F52A" w14:textId="77777777" w:rsidR="003124DD" w:rsidRPr="00695FAF" w:rsidRDefault="003124DD" w:rsidP="003124DD">
      <w:pPr>
        <w:pStyle w:val="SML11"/>
        <w:numPr>
          <w:ilvl w:val="0"/>
          <w:numId w:val="0"/>
        </w:numPr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r w:rsidRPr="00695FAF">
        <w:rPr>
          <w:rStyle w:val="NormalUnderlined"/>
          <w:rFonts w:eastAsia="Calibri" w:cs="Times New Roman"/>
          <w:u w:val="none"/>
        </w:rPr>
        <w:t>1.</w:t>
      </w:r>
      <w:r w:rsidRPr="00695FAF">
        <w:rPr>
          <w:rStyle w:val="NormalUnderlined"/>
          <w:rFonts w:eastAsia="Calibri" w:cs="Times New Roman"/>
          <w:szCs w:val="22"/>
          <w:u w:val="none"/>
          <w:shd w:val="clear" w:color="auto" w:fill="auto"/>
        </w:rPr>
        <w:t>2.</w:t>
      </w:r>
      <w:r>
        <w:rPr>
          <w:rStyle w:val="NormalUnderlined"/>
          <w:rFonts w:eastAsia="Calibri" w:cs="Times New Roman"/>
          <w:szCs w:val="22"/>
          <w:u w:val="none"/>
          <w:shd w:val="clear" w:color="auto" w:fill="auto"/>
        </w:rPr>
        <w:tab/>
      </w:r>
      <w:r w:rsidRPr="00695FAF">
        <w:rPr>
          <w:rStyle w:val="NormalUnderlined"/>
          <w:rFonts w:eastAsia="Calibri" w:cs="Times New Roman"/>
          <w:szCs w:val="22"/>
          <w:shd w:val="clear" w:color="auto" w:fill="auto"/>
        </w:rPr>
        <w:t>4DiPrototype s.r.o.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261"/>
        <w:gridCol w:w="5655"/>
      </w:tblGrid>
      <w:tr w:rsidR="003124DD" w14:paraId="6D57ADE2" w14:textId="77777777" w:rsidTr="006D1D8E">
        <w:tc>
          <w:tcPr>
            <w:tcW w:w="1829" w:type="pct"/>
            <w:hideMark/>
          </w:tcPr>
          <w:p w14:paraId="03541564" w14:textId="77777777" w:rsidR="003124DD" w:rsidRDefault="003124DD" w:rsidP="006D1D8E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4BC55B98" w14:textId="77777777" w:rsidR="003124DD" w:rsidRDefault="003124DD" w:rsidP="006D1D8E">
            <w:pPr>
              <w:spacing w:before="40" w:after="0" w:line="257" w:lineRule="auto"/>
            </w:pPr>
            <w:r>
              <w:t>Kaštanová 501/121, Brněnské Ivanovice, 620 00 Brno</w:t>
            </w:r>
          </w:p>
        </w:tc>
      </w:tr>
      <w:tr w:rsidR="003124DD" w14:paraId="29984A73" w14:textId="77777777" w:rsidTr="006D1D8E">
        <w:tc>
          <w:tcPr>
            <w:tcW w:w="1829" w:type="pct"/>
            <w:hideMark/>
          </w:tcPr>
          <w:p w14:paraId="57B6BBE0" w14:textId="77777777" w:rsidR="003124DD" w:rsidRDefault="003124DD" w:rsidP="006D1D8E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1852551F" w14:textId="77777777" w:rsidR="003124DD" w:rsidRDefault="003124DD" w:rsidP="006D1D8E">
            <w:pPr>
              <w:spacing w:before="40" w:after="0" w:line="257" w:lineRule="auto"/>
            </w:pPr>
            <w:r>
              <w:t>05442001</w:t>
            </w:r>
          </w:p>
        </w:tc>
      </w:tr>
      <w:tr w:rsidR="003124DD" w14:paraId="6582E182" w14:textId="77777777" w:rsidTr="006D1D8E">
        <w:tc>
          <w:tcPr>
            <w:tcW w:w="1829" w:type="pct"/>
            <w:hideMark/>
          </w:tcPr>
          <w:p w14:paraId="526CDC7E" w14:textId="77777777" w:rsidR="003124DD" w:rsidRDefault="003124DD" w:rsidP="006D1D8E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3553A8E3" w14:textId="77777777" w:rsidR="003124DD" w:rsidRDefault="003124DD" w:rsidP="006D1D8E">
            <w:pPr>
              <w:spacing w:before="40" w:after="0" w:line="257" w:lineRule="auto"/>
            </w:pPr>
            <w:r>
              <w:t>není plátce DPH</w:t>
            </w:r>
          </w:p>
        </w:tc>
      </w:tr>
      <w:tr w:rsidR="003124DD" w14:paraId="3CDE9E26" w14:textId="77777777" w:rsidTr="006D1D8E">
        <w:tc>
          <w:tcPr>
            <w:tcW w:w="1829" w:type="pct"/>
            <w:hideMark/>
          </w:tcPr>
          <w:p w14:paraId="69121848" w14:textId="77777777" w:rsidR="003124DD" w:rsidRDefault="003124DD" w:rsidP="006D1D8E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763A7D1C" w14:textId="77777777" w:rsidR="003124DD" w:rsidRDefault="003124DD" w:rsidP="006D1D8E">
            <w:pPr>
              <w:spacing w:before="40" w:after="0" w:line="257" w:lineRule="auto"/>
            </w:pPr>
            <w:r>
              <w:t xml:space="preserve">Obchodní společnost zapsaná v obchodním rejstříku pod. </w:t>
            </w:r>
            <w:proofErr w:type="spellStart"/>
            <w:r>
              <w:t>sp</w:t>
            </w:r>
            <w:proofErr w:type="spellEnd"/>
            <w:r>
              <w:t>. zn. C 95366 vedenou u Krajského soudu v Brně.</w:t>
            </w:r>
          </w:p>
        </w:tc>
      </w:tr>
      <w:tr w:rsidR="003124DD" w14:paraId="7A10DBF9" w14:textId="77777777" w:rsidTr="006D1D8E">
        <w:tc>
          <w:tcPr>
            <w:tcW w:w="1829" w:type="pct"/>
            <w:hideMark/>
          </w:tcPr>
          <w:p w14:paraId="4365DEC3" w14:textId="77777777" w:rsidR="003124DD" w:rsidRDefault="003124DD" w:rsidP="006D1D8E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361FB934" w14:textId="77777777" w:rsidR="003124DD" w:rsidRDefault="003124DD" w:rsidP="006D1D8E">
            <w:pPr>
              <w:spacing w:before="40" w:after="0" w:line="257" w:lineRule="auto"/>
            </w:pPr>
            <w:r>
              <w:t>Ing. arch. Václav Hájek</w:t>
            </w:r>
          </w:p>
        </w:tc>
      </w:tr>
      <w:tr w:rsidR="003124DD" w14:paraId="7EADFA68" w14:textId="77777777" w:rsidTr="006D1D8E">
        <w:tc>
          <w:tcPr>
            <w:tcW w:w="1829" w:type="pct"/>
            <w:hideMark/>
          </w:tcPr>
          <w:p w14:paraId="73D3E8B9" w14:textId="77777777" w:rsidR="003124DD" w:rsidRDefault="003124DD" w:rsidP="006D1D8E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2393F86C" w14:textId="1725BFD1" w:rsidR="003124DD" w:rsidRDefault="00A843A7" w:rsidP="006D1D8E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  <w:tr w:rsidR="003124DD" w14:paraId="5A47D029" w14:textId="77777777" w:rsidTr="006D1D8E">
        <w:trPr>
          <w:trHeight w:val="52"/>
        </w:trPr>
        <w:tc>
          <w:tcPr>
            <w:tcW w:w="1829" w:type="pct"/>
            <w:hideMark/>
          </w:tcPr>
          <w:p w14:paraId="736C6A4E" w14:textId="77777777" w:rsidR="003124DD" w:rsidRDefault="003124DD" w:rsidP="006D1D8E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21371C5D" w14:textId="6A0EB14D" w:rsidR="003124DD" w:rsidRDefault="00A843A7" w:rsidP="006D1D8E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</w:tbl>
    <w:p w14:paraId="13060975" w14:textId="14BA1735" w:rsidR="006004F8" w:rsidRDefault="003124DD" w:rsidP="000E565C">
      <w:pPr>
        <w:spacing w:after="0"/>
        <w:ind w:left="709"/>
      </w:pPr>
      <w:r>
        <w:t xml:space="preserve"> </w:t>
      </w:r>
      <w:r w:rsidR="00EB77D0">
        <w:t>(dále jen „</w:t>
      </w:r>
      <w:r w:rsidR="002D2192">
        <w:rPr>
          <w:rStyle w:val="NormalBold"/>
        </w:rPr>
        <w:t>Zhotovitel</w:t>
      </w:r>
      <w:r w:rsidR="00EB77D0">
        <w:t>“)</w:t>
      </w:r>
    </w:p>
    <w:p w14:paraId="5C31D301" w14:textId="77777777" w:rsidR="000E565C" w:rsidRPr="00972FDB" w:rsidRDefault="000E565C" w:rsidP="000E565C">
      <w:pPr>
        <w:spacing w:after="0"/>
        <w:ind w:left="709"/>
        <w:rPr>
          <w:rFonts w:eastAsia="Calibri" w:cs="Times New Roman"/>
        </w:rPr>
      </w:pPr>
    </w:p>
    <w:p w14:paraId="1F4BAC8F" w14:textId="52922E84" w:rsidR="00DF7770" w:rsidRDefault="00697B4D" w:rsidP="000E565C">
      <w:pPr>
        <w:pStyle w:val="SML11"/>
        <w:numPr>
          <w:ilvl w:val="0"/>
          <w:numId w:val="0"/>
        </w:numPr>
        <w:spacing w:before="0"/>
        <w:ind w:left="709"/>
      </w:pPr>
      <w:r>
        <w:t>(</w:t>
      </w:r>
      <w:r w:rsidR="00CA5DFB">
        <w:t>Objednatel</w:t>
      </w:r>
      <w:r>
        <w:t xml:space="preserve"> a </w:t>
      </w:r>
      <w:r w:rsidR="002D2192">
        <w:t xml:space="preserve">Zhotovitel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1FA120AB" w14:textId="036F0E0D" w:rsidR="00DF7770" w:rsidRDefault="00DF7770" w:rsidP="00DF7770">
      <w:pPr>
        <w:pStyle w:val="SML1"/>
      </w:pPr>
      <w:r w:rsidRPr="00DF7770">
        <w:lastRenderedPageBreak/>
        <w:t>Předmět smlouvy</w:t>
      </w:r>
    </w:p>
    <w:p w14:paraId="1C46B4CD" w14:textId="7AEBB108" w:rsidR="00DF7770" w:rsidRDefault="00DF7770" w:rsidP="00F64E02">
      <w:pPr>
        <w:pStyle w:val="SML11"/>
        <w:ind w:hanging="792"/>
      </w:pPr>
      <w:r w:rsidRPr="00DF7770">
        <w:t xml:space="preserve">Předmětem smlouvy je závazek </w:t>
      </w:r>
      <w:r w:rsidR="002D2192">
        <w:t>Z</w:t>
      </w:r>
      <w:r w:rsidR="002D2192" w:rsidRPr="00DF7770">
        <w:t xml:space="preserve">hotovitele </w:t>
      </w:r>
      <w:r w:rsidRPr="00DF7770">
        <w:t xml:space="preserve">realizovat pro </w:t>
      </w:r>
      <w:r w:rsidR="002D2192">
        <w:t>O</w:t>
      </w:r>
      <w:r w:rsidR="002D2192" w:rsidRPr="00DF7770">
        <w:t xml:space="preserve">bjednatele </w:t>
      </w:r>
      <w:r w:rsidRPr="00DF7770">
        <w:t xml:space="preserve">na svůj náklad a nebezpečí dílo, které spočívá ve vytvoření </w:t>
      </w:r>
      <w:r w:rsidR="00E24F13">
        <w:t xml:space="preserve">jednobarevného </w:t>
      </w:r>
      <w:r w:rsidRPr="00DF7770">
        <w:t xml:space="preserve">fyzického modelu (dále jen „dílo“ nebo „předmět smlouvy“) a závazek </w:t>
      </w:r>
      <w:r w:rsidR="002D2192">
        <w:t>O</w:t>
      </w:r>
      <w:r w:rsidR="002D2192" w:rsidRPr="00DF7770">
        <w:t xml:space="preserve">bjednatele </w:t>
      </w:r>
      <w:r w:rsidRPr="00DF7770">
        <w:t xml:space="preserve">řádně provedené dílo převzít a v souladu s čl. </w:t>
      </w:r>
      <w:r w:rsidR="00532F25">
        <w:t xml:space="preserve">3 </w:t>
      </w:r>
      <w:r w:rsidRPr="00DF7770">
        <w:t>této smlouvy uhradit zhotoviteli cenu díla.</w:t>
      </w:r>
    </w:p>
    <w:p w14:paraId="2013F362" w14:textId="439EABC3" w:rsidR="00FF4638" w:rsidRDefault="00DF7770" w:rsidP="00951083">
      <w:pPr>
        <w:pStyle w:val="SML11"/>
        <w:ind w:hanging="792"/>
      </w:pPr>
      <w:r w:rsidRPr="00FF4638">
        <w:t xml:space="preserve">Objednatel se zavazuje poskytnout </w:t>
      </w:r>
      <w:r w:rsidR="002D2192">
        <w:t>Z</w:t>
      </w:r>
      <w:r w:rsidR="002D2192" w:rsidRPr="00FF4638">
        <w:t xml:space="preserve">hotoviteli </w:t>
      </w:r>
      <w:r w:rsidRPr="00FF4638">
        <w:t>součinnost nutnou k realizaci díla.</w:t>
      </w:r>
    </w:p>
    <w:p w14:paraId="2F3026F4" w14:textId="1F971C68" w:rsidR="00FF4638" w:rsidRDefault="00646BED" w:rsidP="00D2014E">
      <w:pPr>
        <w:pStyle w:val="SML11"/>
        <w:ind w:hanging="792"/>
      </w:pPr>
      <w:r>
        <w:t>Zhotovitel</w:t>
      </w:r>
      <w:r w:rsidR="00686E84">
        <w:t xml:space="preserve"> před započetím realizace díla požádá Objednatele o souhlas s barevností a</w:t>
      </w:r>
      <w:r>
        <w:t> </w:t>
      </w:r>
      <w:r w:rsidR="00686E84">
        <w:t xml:space="preserve">materiálem modelu, a to nejpozději do </w:t>
      </w:r>
      <w:r w:rsidR="008B6148">
        <w:t>14</w:t>
      </w:r>
      <w:r w:rsidR="00686E84">
        <w:t xml:space="preserve"> ode dne uzavření smlouvy. Objednatel akceptuje zvolenou barevnost a materiál bez zbytečného odkladu; v opačném případě </w:t>
      </w:r>
      <w:r w:rsidR="00EB7C54">
        <w:t>sdělí</w:t>
      </w:r>
      <w:r w:rsidR="00686E84">
        <w:t xml:space="preserve"> Zhotoviteli </w:t>
      </w:r>
      <w:r w:rsidR="00EB7C54">
        <w:t xml:space="preserve">výhrady a poskytne mu </w:t>
      </w:r>
      <w:r w:rsidR="00686E84">
        <w:t xml:space="preserve">dodatečnou lhůtu </w:t>
      </w:r>
      <w:r w:rsidR="008B6148">
        <w:t xml:space="preserve">5 </w:t>
      </w:r>
      <w:r w:rsidR="00686E84">
        <w:t>dnů pro nápravu</w:t>
      </w:r>
      <w:r w:rsidR="00EB7C54">
        <w:t>.</w:t>
      </w:r>
    </w:p>
    <w:p w14:paraId="60C0F066" w14:textId="56DABAA8" w:rsidR="00FF4638" w:rsidRDefault="00DF7770" w:rsidP="00400232">
      <w:pPr>
        <w:pStyle w:val="SML11"/>
        <w:ind w:hanging="792"/>
      </w:pPr>
      <w:r w:rsidRPr="00FF4638">
        <w:t>Podrobná specifikace předmětu smlouvy je uvedena v Příloze č. 1</w:t>
      </w:r>
      <w:r w:rsidR="005C2175">
        <w:t xml:space="preserve"> a Příloze č. 2</w:t>
      </w:r>
      <w:r w:rsidRPr="00FF4638">
        <w:t xml:space="preserve">, </w:t>
      </w:r>
      <w:r w:rsidR="006C573A" w:rsidRPr="00FF4638">
        <w:t>kter</w:t>
      </w:r>
      <w:r w:rsidR="006C573A">
        <w:t>é</w:t>
      </w:r>
      <w:r w:rsidR="006C573A" w:rsidRPr="00FF4638">
        <w:t xml:space="preserve"> </w:t>
      </w:r>
      <w:r w:rsidRPr="00FF4638">
        <w:t>tvoří nedílnou součást této smlouvy.</w:t>
      </w:r>
    </w:p>
    <w:p w14:paraId="23C933C9" w14:textId="1F776A52" w:rsidR="005C2175" w:rsidRDefault="002038B1" w:rsidP="00400232">
      <w:pPr>
        <w:pStyle w:val="SML11"/>
        <w:ind w:hanging="792"/>
      </w:pPr>
      <w:r>
        <w:t>Zejména pro</w:t>
      </w:r>
      <w:r w:rsidR="00EB7C54">
        <w:t xml:space="preserve"> účely kontroly realizace, stupně rozpracovanosti a kvality díla</w:t>
      </w:r>
      <w:r>
        <w:t>, dodržování termínu plnění</w:t>
      </w:r>
      <w:r w:rsidR="00EB7C54">
        <w:t xml:space="preserve"> budou konány kontrolní dny, a to v pravidelných termínech dle vzájemné dohody mezi Objednatelem a Zhotovitelem. Pokud se Objednatel a</w:t>
      </w:r>
      <w:r w:rsidR="008B6148">
        <w:t> </w:t>
      </w:r>
      <w:r w:rsidR="00EB7C54">
        <w:t>Zhotovitel nedohodnou</w:t>
      </w:r>
      <w:r>
        <w:t>,</w:t>
      </w:r>
      <w:r w:rsidR="00EB7C54">
        <w:t xml:space="preserve"> budou tyto kontrolní dny konány nejméně </w:t>
      </w:r>
      <w:r w:rsidR="008B6148">
        <w:t xml:space="preserve">1x za 14 dnů. </w:t>
      </w:r>
      <w:r>
        <w:t xml:space="preserve">Mimo pravidelné kontrolní dny může Objednatel vyžadovat i konání mimořádného kontrolního dne. </w:t>
      </w:r>
      <w:r w:rsidR="005C2175">
        <w:t xml:space="preserve">Objednatel </w:t>
      </w:r>
      <w:r>
        <w:t xml:space="preserve">sdělí na kontrolním dni Zhotoviteli </w:t>
      </w:r>
      <w:r w:rsidR="002D2192">
        <w:t xml:space="preserve">případné </w:t>
      </w:r>
      <w:r>
        <w:t>výhrady k dílu, které Zhotovitel akceptuje a zapracuje. Objednatel je povinen informovat Zhotovitele o jakýchkoliv korekcích podkladů pro realizaci díla v dostatečném předstihu, aby mohly být zohledněny a zapracovány. Zhotovitel je povinen takto oznámené korekce akceptovat a zapracovat do díla.</w:t>
      </w:r>
    </w:p>
    <w:p w14:paraId="78484F60" w14:textId="6DEA3A51" w:rsidR="00DF7770" w:rsidRPr="00FF4638" w:rsidRDefault="00DF7770" w:rsidP="00E7667D">
      <w:pPr>
        <w:pStyle w:val="SML11"/>
        <w:ind w:hanging="792"/>
      </w:pPr>
      <w:r w:rsidRPr="00FF4638">
        <w:t>Plnění předmětu smlouvy bude provedeno za podmínek stanovených v této smlouvě (včetně příloh), dále pak za podmínek stanovených v</w:t>
      </w:r>
      <w:r w:rsidR="00532F25">
        <w:t> poptávce k podání cenové nabídky</w:t>
      </w:r>
      <w:r w:rsidRPr="00FF4638">
        <w:t xml:space="preserve"> (č. </w:t>
      </w:r>
      <w:r w:rsidR="00532F25">
        <w:t>202</w:t>
      </w:r>
      <w:r w:rsidR="00602367">
        <w:t>4</w:t>
      </w:r>
      <w:r w:rsidR="00532F25">
        <w:t>/</w:t>
      </w:r>
      <w:r w:rsidR="00F455C5">
        <w:t>05</w:t>
      </w:r>
      <w:r w:rsidRPr="00FF4638">
        <w:t>), včetně jejích příloh a v nabídce zhotovitele.</w:t>
      </w:r>
    </w:p>
    <w:p w14:paraId="091A0BBE" w14:textId="7A1C81E7" w:rsidR="00DF7770" w:rsidRPr="00DF7770" w:rsidRDefault="00DF7770" w:rsidP="00FF4638">
      <w:pPr>
        <w:pStyle w:val="SML1"/>
      </w:pPr>
      <w:r w:rsidRPr="00DF7770">
        <w:t>Cena a platební podmínky</w:t>
      </w:r>
    </w:p>
    <w:p w14:paraId="474120DC" w14:textId="77777777" w:rsidR="00DF7770" w:rsidRPr="00DF7770" w:rsidRDefault="00DF7770" w:rsidP="00FF4638">
      <w:pPr>
        <w:pStyle w:val="SML11"/>
        <w:ind w:hanging="792"/>
      </w:pPr>
      <w:r w:rsidRPr="00DF7770">
        <w:t>Celková cena za zpracování předmětného díla činí:</w:t>
      </w:r>
    </w:p>
    <w:p w14:paraId="2896718A" w14:textId="29A4BE8A" w:rsidR="00DF7770" w:rsidRPr="0010650C" w:rsidRDefault="003124DD" w:rsidP="002D2192">
      <w:pPr>
        <w:pStyle w:val="AnShrnut-normal"/>
        <w:ind w:left="708" w:firstLine="1"/>
      </w:pPr>
      <w:r w:rsidRPr="0010650C">
        <w:rPr>
          <w:color w:val="000000"/>
          <w:szCs w:val="24"/>
        </w:rPr>
        <w:t>99</w:t>
      </w:r>
      <w:r w:rsidR="0010650C">
        <w:rPr>
          <w:color w:val="000000"/>
          <w:szCs w:val="24"/>
        </w:rPr>
        <w:t xml:space="preserve"> </w:t>
      </w:r>
      <w:r w:rsidRPr="0010650C">
        <w:rPr>
          <w:color w:val="000000"/>
          <w:szCs w:val="24"/>
        </w:rPr>
        <w:t>000,</w:t>
      </w:r>
      <w:r w:rsidR="00DF7770" w:rsidRPr="0010650C">
        <w:rPr>
          <w:szCs w:val="24"/>
        </w:rPr>
        <w:t>- Kč (slovy</w:t>
      </w:r>
      <w:r w:rsidR="002D2192" w:rsidRPr="0010650C">
        <w:rPr>
          <w:szCs w:val="24"/>
        </w:rPr>
        <w:t xml:space="preserve">: </w:t>
      </w:r>
      <w:r w:rsidRPr="0010650C">
        <w:rPr>
          <w:color w:val="000000"/>
          <w:szCs w:val="24"/>
        </w:rPr>
        <w:t xml:space="preserve">devadesát devět tisíc </w:t>
      </w:r>
      <w:r w:rsidR="00DF7770" w:rsidRPr="0010650C">
        <w:rPr>
          <w:szCs w:val="24"/>
        </w:rPr>
        <w:t>korun</w:t>
      </w:r>
      <w:r w:rsidR="00DF7770" w:rsidRPr="0010650C">
        <w:t xml:space="preserve"> českých) bez DPH, </w:t>
      </w:r>
    </w:p>
    <w:p w14:paraId="57292851" w14:textId="77777777" w:rsidR="00E24F13" w:rsidRDefault="00E24F13" w:rsidP="00E24F13">
      <w:pPr>
        <w:pStyle w:val="SML11"/>
        <w:ind w:hanging="792"/>
      </w:pPr>
      <w:r w:rsidRPr="00DF7770">
        <w:t xml:space="preserve">Platba za splnění předmětu smlouvy se uskuteční jednorázově po předání kompletního díla, </w:t>
      </w:r>
      <w:r w:rsidRPr="00FF4638">
        <w:t xml:space="preserve">a to po oboustranném podepsání </w:t>
      </w:r>
      <w:r>
        <w:t>předávacího</w:t>
      </w:r>
      <w:r w:rsidRPr="00FF4638">
        <w:t xml:space="preserve"> protokolu.</w:t>
      </w:r>
    </w:p>
    <w:p w14:paraId="60FC9D64" w14:textId="77777777" w:rsidR="00E24F13" w:rsidRDefault="00E24F13" w:rsidP="00E24F13">
      <w:pPr>
        <w:pStyle w:val="SML11"/>
        <w:ind w:hanging="792"/>
      </w:pPr>
      <w:r w:rsidRPr="00FF4638">
        <w:t xml:space="preserve">Cena uvedená v čl. </w:t>
      </w:r>
      <w:r>
        <w:t>3</w:t>
      </w:r>
      <w:r w:rsidRPr="00FF4638">
        <w:t xml:space="preserve"> odst. </w:t>
      </w:r>
      <w:r>
        <w:t>3.</w:t>
      </w:r>
      <w:r w:rsidRPr="00FF4638">
        <w:t>1</w:t>
      </w:r>
      <w:r>
        <w:t>.</w:t>
      </w:r>
      <w:r w:rsidRPr="00FF4638"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562EE9BB" w14:textId="77777777" w:rsidR="00E24F13" w:rsidRDefault="00E24F13" w:rsidP="00E24F13">
      <w:pPr>
        <w:pStyle w:val="SML11"/>
        <w:ind w:hanging="792"/>
      </w:pPr>
      <w:r w:rsidRPr="00FF4638">
        <w:t xml:space="preserve">Sjednaná cena v sobě zahrnuje veškeré náklady </w:t>
      </w:r>
      <w:r>
        <w:t>Z</w:t>
      </w:r>
      <w:r w:rsidRPr="00FF4638">
        <w:t xml:space="preserve">hotovitele za realizaci díla podle této smlouvy a </w:t>
      </w:r>
      <w:r>
        <w:t>Z</w:t>
      </w:r>
      <w:r w:rsidRPr="00FF4638">
        <w:t xml:space="preserve">hotovitel nemá nárok na jakoukoliv další platbu související s prováděním díla. </w:t>
      </w:r>
    </w:p>
    <w:p w14:paraId="60C9940E" w14:textId="77777777" w:rsidR="00E24F13" w:rsidRDefault="00E24F13" w:rsidP="00E24F13">
      <w:pPr>
        <w:pStyle w:val="SML11"/>
        <w:ind w:hanging="792"/>
      </w:pPr>
      <w:r w:rsidRPr="00FF4638">
        <w:t xml:space="preserve">Objednatel je povinen zaplatit </w:t>
      </w:r>
      <w:r>
        <w:t>Z</w:t>
      </w:r>
      <w:r w:rsidRPr="00FF4638">
        <w:t>hotoviteli cenu za provedení díla na základě řádně a</w:t>
      </w:r>
      <w:r>
        <w:t> </w:t>
      </w:r>
      <w:r w:rsidRPr="00FF4638">
        <w:t xml:space="preserve">oprávněně vystaveného daňového dokladu (faktury), a to se splatností 21 dnů ode dne doručení faktury </w:t>
      </w:r>
      <w:r>
        <w:t>O</w:t>
      </w:r>
      <w:r w:rsidRPr="00FF4638">
        <w:t xml:space="preserve">bjednateli. </w:t>
      </w:r>
    </w:p>
    <w:p w14:paraId="3041D738" w14:textId="77777777" w:rsidR="00E24F13" w:rsidRPr="00FF4638" w:rsidRDefault="00E24F13" w:rsidP="00E24F13">
      <w:pPr>
        <w:pStyle w:val="SML11"/>
        <w:ind w:hanging="792"/>
      </w:pPr>
      <w:r w:rsidRPr="00FF4638">
        <w:t xml:space="preserve">Řádným vystavením faktury se rozumí vystavení faktury </w:t>
      </w:r>
      <w:r>
        <w:t>Z</w:t>
      </w:r>
      <w:r w:rsidRPr="00FF4638">
        <w:t xml:space="preserve">hotovitelem, </w:t>
      </w:r>
      <w:proofErr w:type="gramStart"/>
      <w:r w:rsidRPr="00FF4638">
        <w:t>jež</w:t>
      </w:r>
      <w:proofErr w:type="gramEnd"/>
      <w:r w:rsidRPr="00FF4638">
        <w:t xml:space="preserve"> má veškeré náležitosti daňového dokladu požadované právními předpisy, zejména zákonem č.</w:t>
      </w:r>
      <w:r>
        <w:t> </w:t>
      </w:r>
      <w:r w:rsidRPr="00FF4638">
        <w:t>235/2004 Sb., o dani z přidané hodnoty, ve znění pozdějších předpisů.</w:t>
      </w:r>
      <w:r w:rsidRPr="00FF4638">
        <w:rPr>
          <w:bCs w:val="0"/>
        </w:rPr>
        <w:t xml:space="preserve"> </w:t>
      </w:r>
    </w:p>
    <w:p w14:paraId="68EA5C07" w14:textId="77777777" w:rsidR="00E24F13" w:rsidRDefault="00E24F13" w:rsidP="00E24F13">
      <w:pPr>
        <w:pStyle w:val="SML11"/>
        <w:ind w:hanging="792"/>
      </w:pPr>
      <w:r w:rsidRPr="00FF4638">
        <w:lastRenderedPageBreak/>
        <w:t xml:space="preserve">Oprávněným vystavením faktury se rozumí vystavení faktury </w:t>
      </w:r>
      <w:r>
        <w:t>Z</w:t>
      </w:r>
      <w:r w:rsidRPr="00FF4638">
        <w:t xml:space="preserve">hotovitelem za provedené a na základě </w:t>
      </w:r>
      <w:r>
        <w:t>předávacího</w:t>
      </w:r>
      <w:r w:rsidRPr="00FF4638">
        <w:t xml:space="preserve"> protokolu předané dílo dle čl.</w:t>
      </w:r>
      <w:r>
        <w:t xml:space="preserve"> 5</w:t>
      </w:r>
      <w:r w:rsidRPr="00FF4638">
        <w:t xml:space="preserve"> této smlouvy. </w:t>
      </w:r>
    </w:p>
    <w:p w14:paraId="01D96CD6" w14:textId="77777777" w:rsidR="00E24F13" w:rsidRDefault="00E24F13" w:rsidP="00E24F13">
      <w:pPr>
        <w:pStyle w:val="SML11"/>
        <w:ind w:hanging="792"/>
      </w:pPr>
      <w:r w:rsidRPr="00FF4638">
        <w:t xml:space="preserve">V případě, že faktura nebude vystavena oprávněně, není </w:t>
      </w:r>
      <w:r>
        <w:t>O</w:t>
      </w:r>
      <w:r w:rsidRPr="00FF4638">
        <w:t xml:space="preserve">bjednatel povinen ji proplatit.  </w:t>
      </w:r>
    </w:p>
    <w:p w14:paraId="0D30FDA0" w14:textId="77777777" w:rsidR="00E24F13" w:rsidRDefault="00E24F13" w:rsidP="00E24F13">
      <w:pPr>
        <w:pStyle w:val="SML11"/>
        <w:ind w:hanging="792"/>
      </w:pPr>
      <w:r w:rsidRPr="00FF4638">
        <w:t xml:space="preserve">V případě, že faktura nebude vystavena řádně v souladu se zákonem a nebude obsahovat předepsané náležitosti, je </w:t>
      </w:r>
      <w:r>
        <w:t>O</w:t>
      </w:r>
      <w:r w:rsidRPr="00FF4638">
        <w:t xml:space="preserve">bjednatel oprávněn vrátit ji </w:t>
      </w:r>
      <w:r>
        <w:t>Z</w:t>
      </w:r>
      <w:r w:rsidRPr="00FF4638">
        <w:t>hotoviteli k</w:t>
      </w:r>
      <w:r>
        <w:t> </w:t>
      </w:r>
      <w:r w:rsidRPr="00FF4638">
        <w:t>doplnění. V takovém případě se zastaví plynutí lhůty splatnosti a nová lhůta splatnosti začne běžet doručením opravené faktury.</w:t>
      </w:r>
    </w:p>
    <w:p w14:paraId="2B7E993A" w14:textId="77777777" w:rsidR="00E24F13" w:rsidRPr="00FF4638" w:rsidRDefault="00E24F13" w:rsidP="00E24F13">
      <w:pPr>
        <w:pStyle w:val="SML11"/>
        <w:ind w:hanging="792"/>
      </w:pPr>
      <w:r w:rsidRPr="00FF4638">
        <w:t>Objednatel neposkytuje zálohy.</w:t>
      </w:r>
    </w:p>
    <w:p w14:paraId="1FB792ED" w14:textId="5812A300" w:rsidR="00DF7770" w:rsidRPr="00DF7770" w:rsidRDefault="00DF7770" w:rsidP="00FF4638">
      <w:pPr>
        <w:pStyle w:val="SML1"/>
      </w:pPr>
      <w:r w:rsidRPr="00DF7770">
        <w:t>Termín plnění</w:t>
      </w:r>
    </w:p>
    <w:p w14:paraId="7B8EEB43" w14:textId="2E9DCD63" w:rsidR="00FF4638" w:rsidRDefault="00DF7770" w:rsidP="00FF4638">
      <w:pPr>
        <w:pStyle w:val="SML11"/>
        <w:ind w:hanging="792"/>
      </w:pPr>
      <w:r w:rsidRPr="00DF7770">
        <w:t xml:space="preserve">Zhotovitel je povinen předat objednateli celé dílo nejpozději do </w:t>
      </w:r>
      <w:r w:rsidR="00525C75">
        <w:t>8</w:t>
      </w:r>
      <w:r w:rsidR="00E24F13">
        <w:t xml:space="preserve"> týdnů</w:t>
      </w:r>
      <w:r w:rsidR="006149E8">
        <w:t xml:space="preserve"> ode dne účinnosti smlouvy</w:t>
      </w:r>
      <w:r w:rsidR="00532F25">
        <w:t>.</w:t>
      </w:r>
    </w:p>
    <w:p w14:paraId="1F0BE5C4" w14:textId="1A34B107" w:rsidR="00DF7770" w:rsidRPr="00FF4638" w:rsidRDefault="00DF7770" w:rsidP="00FF4638">
      <w:pPr>
        <w:pStyle w:val="SML11"/>
        <w:ind w:hanging="792"/>
      </w:pPr>
      <w:r w:rsidRPr="00FF4638">
        <w:t xml:space="preserve">Zhotovitel a </w:t>
      </w:r>
      <w:r w:rsidR="00DE273F">
        <w:t>O</w:t>
      </w:r>
      <w:r w:rsidRPr="00FF4638">
        <w:t>bjednatel sepíší o předání předávací protokol (postačí prosté potvrzení o předání)</w:t>
      </w:r>
      <w:r w:rsidR="00D3454A">
        <w:t>.</w:t>
      </w:r>
    </w:p>
    <w:p w14:paraId="267A45EE" w14:textId="5AC8F631" w:rsidR="00DF7770" w:rsidRPr="00DF7770" w:rsidRDefault="00DF7770" w:rsidP="00FF4638">
      <w:pPr>
        <w:pStyle w:val="SML1"/>
      </w:pPr>
      <w:r w:rsidRPr="00DF7770">
        <w:t>Způsob plnění a místo předání díla</w:t>
      </w:r>
    </w:p>
    <w:p w14:paraId="02FBFB60" w14:textId="006A0351" w:rsidR="00FF4638" w:rsidRDefault="00DF7770" w:rsidP="00FF4638">
      <w:pPr>
        <w:pStyle w:val="SML11"/>
        <w:ind w:hanging="792"/>
      </w:pPr>
      <w:r w:rsidRPr="00DF7770">
        <w:t xml:space="preserve">Místem předání díla je sídlo </w:t>
      </w:r>
      <w:r w:rsidR="00D3454A">
        <w:t>O</w:t>
      </w:r>
      <w:r w:rsidR="00D3454A" w:rsidRPr="00DF7770">
        <w:t>bjednatele</w:t>
      </w:r>
      <w:r w:rsidRPr="00DF7770">
        <w:t xml:space="preserve">, </w:t>
      </w:r>
      <w:r w:rsidR="00532F25">
        <w:t>Zelný trh 331/13, 602 00 Brno</w:t>
      </w:r>
      <w:r w:rsidRPr="00DF7770">
        <w:t>.</w:t>
      </w:r>
    </w:p>
    <w:p w14:paraId="0DA518A6" w14:textId="5FF7B34D" w:rsidR="00FF4638" w:rsidRDefault="00DF7770" w:rsidP="00B07F6E">
      <w:pPr>
        <w:pStyle w:val="SML11"/>
        <w:ind w:hanging="792"/>
      </w:pPr>
      <w:r w:rsidRPr="00FF4638">
        <w:t xml:space="preserve">Předání a převzetí díla se uskuteční na základě oběma stranami podepsaného </w:t>
      </w:r>
      <w:r w:rsidR="00D3454A">
        <w:t>předávacího</w:t>
      </w:r>
      <w:r w:rsidR="00D3454A" w:rsidRPr="00FF4638">
        <w:t xml:space="preserve"> </w:t>
      </w:r>
      <w:r w:rsidRPr="00FF4638">
        <w:t xml:space="preserve">protokolu.  </w:t>
      </w:r>
      <w:r w:rsidR="00D3454A">
        <w:t xml:space="preserve">Předávací </w:t>
      </w:r>
      <w:r w:rsidRPr="00FF4638">
        <w:t xml:space="preserve">protokol bude podepsán pouze tehdy, bude-li předávané předmětné dílo splňovat požadavky na kvalitu stanovené v čl. </w:t>
      </w:r>
      <w:r w:rsidR="00532F25">
        <w:t xml:space="preserve">6 </w:t>
      </w:r>
      <w:r w:rsidRPr="00FF4638">
        <w:t xml:space="preserve">této smlouvy. </w:t>
      </w:r>
      <w:r w:rsidR="00E24F13" w:rsidRPr="00FF4638">
        <w:t xml:space="preserve">Teprve podpisem </w:t>
      </w:r>
      <w:r w:rsidR="00E24F13">
        <w:t>předávacího</w:t>
      </w:r>
      <w:r w:rsidR="00E24F13" w:rsidRPr="00FF4638">
        <w:t xml:space="preserve"> protokolu se dílo považuje za provedené a</w:t>
      </w:r>
      <w:r w:rsidR="00E24F13">
        <w:t> </w:t>
      </w:r>
      <w:r w:rsidR="00E24F13" w:rsidRPr="00FF4638">
        <w:t xml:space="preserve">převzaté a </w:t>
      </w:r>
      <w:r w:rsidR="00E24F13">
        <w:t>Z</w:t>
      </w:r>
      <w:r w:rsidR="00E24F13" w:rsidRPr="00FF4638">
        <w:t xml:space="preserve">hotoviteli vzniká právo v souladu s čl. </w:t>
      </w:r>
      <w:r w:rsidR="00E24F13">
        <w:t xml:space="preserve">3 </w:t>
      </w:r>
      <w:r w:rsidR="00E24F13" w:rsidRPr="00FF4638">
        <w:t>této smlouvy na její zaplacení.</w:t>
      </w:r>
    </w:p>
    <w:p w14:paraId="618CC209" w14:textId="15941A1D" w:rsidR="00FF4638" w:rsidRDefault="00DF7770" w:rsidP="009F6BDF">
      <w:pPr>
        <w:pStyle w:val="SML11"/>
        <w:ind w:hanging="792"/>
      </w:pPr>
      <w:r w:rsidRPr="00FF4638">
        <w:t>Objednatel není povinen dílo převzít, pokud dílo nesplňuje některý z požadavků na jeho kvalitu stanovenou v čl.</w:t>
      </w:r>
      <w:r w:rsidR="00532F25">
        <w:t xml:space="preserve"> 6</w:t>
      </w:r>
      <w:r w:rsidRPr="00FF4638">
        <w:t xml:space="preserve"> této smlouvy.</w:t>
      </w:r>
    </w:p>
    <w:p w14:paraId="24EC92C3" w14:textId="28BFF0E6" w:rsidR="00FF4638" w:rsidRDefault="00DF7770" w:rsidP="002D65EA">
      <w:pPr>
        <w:pStyle w:val="SML11"/>
        <w:ind w:hanging="792"/>
      </w:pPr>
      <w:r w:rsidRPr="00FF4638">
        <w:t xml:space="preserve">Vlastnické právo k dílu přechází na </w:t>
      </w:r>
      <w:r w:rsidR="00D3454A">
        <w:t>O</w:t>
      </w:r>
      <w:r w:rsidR="00D3454A" w:rsidRPr="00FF4638">
        <w:t xml:space="preserve">bjednatele </w:t>
      </w:r>
      <w:r w:rsidRPr="00FF4638">
        <w:t>okamžikem jeho předání a převzetí dle tohoto článku.</w:t>
      </w:r>
    </w:p>
    <w:p w14:paraId="39B42779" w14:textId="66896E82" w:rsidR="00FF4638" w:rsidRDefault="00DF7770" w:rsidP="00056A9D">
      <w:pPr>
        <w:pStyle w:val="SML11"/>
        <w:ind w:hanging="792"/>
      </w:pPr>
      <w:r w:rsidRPr="00FF4638">
        <w:t>Do doby stanovené v odst. 5</w:t>
      </w:r>
      <w:r w:rsidR="00532F25">
        <w:t>.4.</w:t>
      </w:r>
      <w:r w:rsidRPr="00FF4638">
        <w:t xml:space="preserve"> tohoto článku nese nebezpečí škody na díle </w:t>
      </w:r>
      <w:r w:rsidR="00D3454A">
        <w:t>Z</w:t>
      </w:r>
      <w:r w:rsidR="00D3454A" w:rsidRPr="00FF4638">
        <w:t>hotovitel</w:t>
      </w:r>
      <w:r w:rsidRPr="00FF4638">
        <w:t>.</w:t>
      </w:r>
    </w:p>
    <w:p w14:paraId="52908D86" w14:textId="3F8ABE78" w:rsidR="00DF7770" w:rsidRPr="00DF7770" w:rsidRDefault="00DF7770" w:rsidP="00FF4638">
      <w:pPr>
        <w:pStyle w:val="SML1"/>
      </w:pPr>
      <w:r w:rsidRPr="00DF7770">
        <w:t>Kvalita díla</w:t>
      </w:r>
    </w:p>
    <w:p w14:paraId="4E378003" w14:textId="416171F4" w:rsidR="00FF4638" w:rsidRDefault="00DF7770" w:rsidP="00FF4638">
      <w:pPr>
        <w:pStyle w:val="SML11"/>
        <w:ind w:hanging="792"/>
      </w:pPr>
      <w:r w:rsidRPr="00DF7770">
        <w:t xml:space="preserve">Dílo musí být </w:t>
      </w:r>
      <w:r w:rsidR="00D3454A">
        <w:t>Z</w:t>
      </w:r>
      <w:r w:rsidR="00D3454A" w:rsidRPr="00DF7770">
        <w:t xml:space="preserve">hotovitelem </w:t>
      </w:r>
      <w:r w:rsidRPr="00DF7770">
        <w:t>provedeno řádně, ve stanoveném termínu a s odbornou péčí.</w:t>
      </w:r>
    </w:p>
    <w:p w14:paraId="79B4145E" w14:textId="303C2279" w:rsidR="00DF7770" w:rsidRPr="00FF4638" w:rsidRDefault="00DF7770" w:rsidP="00FF4638">
      <w:pPr>
        <w:pStyle w:val="SML11"/>
        <w:ind w:hanging="792"/>
      </w:pPr>
      <w:r w:rsidRPr="00FF4638">
        <w:t xml:space="preserve">Řádně a ve stanoveném termínu se rozumí provedení díla v souladu s čl. </w:t>
      </w:r>
      <w:r w:rsidR="00532F25">
        <w:t xml:space="preserve">4 </w:t>
      </w:r>
      <w:r w:rsidRPr="00FF4638">
        <w:t xml:space="preserve">této smlouvy, ve stavu, jež odpovídá požadavkům na kvalitu díla, resp. podmínkám stanoveným v právních předpisech a závazně technických normách, požadavkům na kvalitu předmětu smlouvy a podmínkám </w:t>
      </w:r>
      <w:r w:rsidR="00D3454A">
        <w:t>poptávkového řízení</w:t>
      </w:r>
      <w:r w:rsidRPr="00FF4638">
        <w:t xml:space="preserve"> </w:t>
      </w:r>
      <w:r w:rsidR="007370CF">
        <w:t>č. 202</w:t>
      </w:r>
      <w:r w:rsidR="00602367">
        <w:t>4</w:t>
      </w:r>
      <w:r w:rsidR="007370CF">
        <w:t>/</w:t>
      </w:r>
      <w:r w:rsidR="00F455C5">
        <w:t>05</w:t>
      </w:r>
      <w:r w:rsidRPr="00FF4638">
        <w:t>.</w:t>
      </w:r>
    </w:p>
    <w:p w14:paraId="2B855BD8" w14:textId="77777777" w:rsidR="00FF4638" w:rsidRDefault="00DF7770" w:rsidP="007370CF">
      <w:pPr>
        <w:pStyle w:val="SML1"/>
      </w:pPr>
      <w:r w:rsidRPr="00DF7770">
        <w:t>Odpovědnost za vady díla</w:t>
      </w:r>
    </w:p>
    <w:p w14:paraId="08F446D5" w14:textId="2E3D7CD0" w:rsidR="00FB41AA" w:rsidRDefault="00DF7770" w:rsidP="00FB41AA">
      <w:pPr>
        <w:pStyle w:val="SML11"/>
        <w:ind w:hanging="792"/>
      </w:pPr>
      <w:r w:rsidRPr="00FF4638">
        <w:t>Zhotovitel poskytuje záruku za jakost díla. Zhotovitel odpovídá za to, že předmět této smlouvy</w:t>
      </w:r>
      <w:r w:rsidR="00FB41AA">
        <w:t xml:space="preserve"> </w:t>
      </w:r>
      <w:r w:rsidRPr="00FB41AA">
        <w:t xml:space="preserve">je provedený podle podmínek smlouvy, </w:t>
      </w:r>
      <w:r w:rsidR="00D3454A">
        <w:t>podmínek poptávkového řízení</w:t>
      </w:r>
      <w:r w:rsidRPr="00FB41AA">
        <w:t>, a že po dobu záruční doby bude mít předmět smlouvy vlastnosti dohodnuté v této smlouvě a</w:t>
      </w:r>
      <w:r w:rsidR="007370CF">
        <w:t> </w:t>
      </w:r>
      <w:r w:rsidRPr="00FB41AA">
        <w:t>vlastnosti stanovené právními předpisy, technickými normami, případně vlastnosti obvyklé.</w:t>
      </w:r>
    </w:p>
    <w:p w14:paraId="39571861" w14:textId="366E9356" w:rsidR="00FB41AA" w:rsidRDefault="00DF7770" w:rsidP="00FB41AA">
      <w:pPr>
        <w:pStyle w:val="SML11"/>
        <w:ind w:hanging="792"/>
      </w:pPr>
      <w:r w:rsidRPr="00FB41AA">
        <w:lastRenderedPageBreak/>
        <w:t xml:space="preserve">Záruční doba předmětu smlouvy je 24 měsíců od prvního dne kalendářního měsíce následujícího po měsíci, v němž bylo dílo předáno. Pokud byly při </w:t>
      </w:r>
      <w:r w:rsidR="00D3454A">
        <w:t>předání</w:t>
      </w:r>
      <w:r w:rsidR="00D3454A" w:rsidRPr="00FB41AA">
        <w:t xml:space="preserve"> </w:t>
      </w:r>
      <w:r w:rsidRPr="00FB41AA">
        <w:t xml:space="preserve">zjištěny vady, záruční lhůta počíná běžet až předáním díla po odstranění vad. Pokud vytčené vady nebrání </w:t>
      </w:r>
      <w:r w:rsidR="00D3454A">
        <w:t>převzetí</w:t>
      </w:r>
      <w:r w:rsidR="00D3454A" w:rsidRPr="00FB41AA">
        <w:t xml:space="preserve"> </w:t>
      </w:r>
      <w:r w:rsidRPr="00FB41AA">
        <w:t>díla, ustanovení předchozí věty se nepoužije.</w:t>
      </w:r>
    </w:p>
    <w:p w14:paraId="1A8C748A" w14:textId="268FF130" w:rsidR="00FB41AA" w:rsidRDefault="00DF7770" w:rsidP="00FB41AA">
      <w:pPr>
        <w:pStyle w:val="SML11"/>
        <w:ind w:hanging="792"/>
      </w:pPr>
      <w:r w:rsidRPr="00FB41AA">
        <w:t xml:space="preserve">Vady vytčené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které nebrání </w:t>
      </w:r>
      <w:r w:rsidR="00D3454A">
        <w:t>převzetí</w:t>
      </w:r>
      <w:r w:rsidRPr="00FB41AA">
        <w:t xml:space="preserve">, se </w:t>
      </w:r>
      <w:r w:rsidR="00D3454A">
        <w:t>Z</w:t>
      </w:r>
      <w:r w:rsidR="00D3454A" w:rsidRPr="00FB41AA">
        <w:t xml:space="preserve">hotovitel </w:t>
      </w:r>
      <w:r w:rsidRPr="00FB41AA">
        <w:t xml:space="preserve">zavazuje odstranit ve lhůtách stanovených v </w:t>
      </w:r>
      <w:r w:rsidR="00D3454A">
        <w:t>předávacím protokolu</w:t>
      </w:r>
      <w:r w:rsidRPr="00FB41AA">
        <w:t xml:space="preserve">. Vady vytčené během záruční doby se zhotovitel zavazuje odstranit do 14 dní od zjištění vady a jejího oznámení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59928971" w14:textId="7B247AC0" w:rsidR="00FB41AA" w:rsidRDefault="00DF7770" w:rsidP="00FB41AA">
      <w:pPr>
        <w:pStyle w:val="SML11"/>
        <w:ind w:hanging="792"/>
      </w:pPr>
      <w:r w:rsidRPr="00FB41AA">
        <w:t xml:space="preserve">Reklamace vad je uplatněna včas, pokud ji </w:t>
      </w:r>
      <w:r w:rsidR="00D3454A">
        <w:t>O</w:t>
      </w:r>
      <w:r w:rsidR="00D3454A" w:rsidRPr="00FB41AA">
        <w:t xml:space="preserve">bjednatel </w:t>
      </w:r>
      <w:r w:rsidRPr="00FB41AA">
        <w:t>uplatní nejpozději do uplynutí záruční doby, a to způsobem stanoveným v této smlouvě.</w:t>
      </w:r>
    </w:p>
    <w:p w14:paraId="436EF2A7" w14:textId="17ED3D1A" w:rsidR="00FB41AA" w:rsidRDefault="00DF7770" w:rsidP="00FB41AA">
      <w:pPr>
        <w:pStyle w:val="SML11"/>
        <w:ind w:hanging="792"/>
      </w:pPr>
      <w:r w:rsidRPr="00FB41AA">
        <w:t xml:space="preserve">Smluvní strany se dohodly, že v případě vzniku vady díla či jeho části, je </w:t>
      </w:r>
      <w:r w:rsidR="00D3454A">
        <w:t>O</w:t>
      </w:r>
      <w:r w:rsidR="00D3454A" w:rsidRPr="00FB41AA">
        <w:t xml:space="preserve">bjednatel </w:t>
      </w:r>
      <w:r w:rsidRPr="00FB41AA">
        <w:t xml:space="preserve">povinen bezodkladně po jejich zjištění, písemnou formou, postačí emailem kontaktní osobě, existenci těchto vad zhotoviteli oznámit, přičemž </w:t>
      </w:r>
      <w:r w:rsidR="00D3454A">
        <w:t>Z</w:t>
      </w:r>
      <w:r w:rsidR="00D3454A" w:rsidRPr="00FB41AA">
        <w:t xml:space="preserve">hotovitel </w:t>
      </w:r>
      <w:r w:rsidRPr="00FB41AA">
        <w:t xml:space="preserve">je povinen písemně oznámené, tedy reklamované vady díla bezplatně odstranit. </w:t>
      </w:r>
    </w:p>
    <w:p w14:paraId="54E5F053" w14:textId="55A7AFA2" w:rsidR="00FB41AA" w:rsidRDefault="00DF7770" w:rsidP="00FB41AA">
      <w:pPr>
        <w:pStyle w:val="SML11"/>
        <w:ind w:hanging="792"/>
      </w:pPr>
      <w:r w:rsidRPr="00FB41AA">
        <w:t xml:space="preserve">V případě prodlení </w:t>
      </w:r>
      <w:r w:rsidR="00D3454A">
        <w:t>Z</w:t>
      </w:r>
      <w:r w:rsidR="00D3454A" w:rsidRPr="00FB41AA">
        <w:t xml:space="preserve">hotovitele </w:t>
      </w:r>
      <w:r w:rsidRPr="00FB41AA">
        <w:t xml:space="preserve">s odstraněním vad vytčených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má </w:t>
      </w:r>
      <w:r w:rsidR="00DE273F">
        <w:t>O</w:t>
      </w:r>
      <w:r w:rsidRPr="00FB41AA">
        <w:t>bjednatel vedle vyúčtování smluvní pokuty právo pověřit odstraněním vady</w:t>
      </w:r>
      <w:r w:rsidR="00F50A1E">
        <w:t>,</w:t>
      </w:r>
      <w:r w:rsidRPr="00FB41AA">
        <w:t xml:space="preserve"> popř. vad třetí osobu. Objednateli v tomto případě vzniká právo nárokovat zaplacení vynaložených finančních nákladů na odstranění vady na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02EA6140" w14:textId="5100DE4A" w:rsidR="00FB41AA" w:rsidRDefault="00DF7770" w:rsidP="00FB41AA">
      <w:pPr>
        <w:pStyle w:val="SML11"/>
        <w:ind w:hanging="792"/>
      </w:pPr>
      <w:r w:rsidRPr="00FB41AA">
        <w:t>Zhotovitel ručí za případné dotčení práva jakékoliv třetí osoby vyplývající z</w:t>
      </w:r>
      <w:r w:rsidR="007370CF">
        <w:t> </w:t>
      </w:r>
      <w:r w:rsidRPr="00FB41AA">
        <w:t>průmyslového nebo duševního vlastnictví související s plněním předmětu smlouvy, a to na území České republiky i mimo něj.</w:t>
      </w:r>
    </w:p>
    <w:p w14:paraId="7382574A" w14:textId="1EE028CB" w:rsidR="00FB41AA" w:rsidRDefault="00DF7770" w:rsidP="00FB41AA">
      <w:pPr>
        <w:pStyle w:val="SML11"/>
        <w:ind w:hanging="792"/>
      </w:pPr>
      <w:r w:rsidRPr="00FB41AA">
        <w:t xml:space="preserve">Pokud bude mít dílo právní vady, </w:t>
      </w:r>
      <w:r w:rsidR="00DE273F">
        <w:t>Z</w:t>
      </w:r>
      <w:r w:rsidRPr="00FB41AA">
        <w:t>hotovitel je povinen na vlastní náklady učinit všechna opatření nezbytná k odstranění právní vady předmětu smlouvy.  Zhotovitel nese veškeré náklady a hradí veškeré oprávněné nároky třetích osob.</w:t>
      </w:r>
    </w:p>
    <w:p w14:paraId="592ED219" w14:textId="4A340634" w:rsidR="00DF7770" w:rsidRPr="00FB41AA" w:rsidRDefault="00DF7770" w:rsidP="00FB41AA">
      <w:pPr>
        <w:pStyle w:val="SML11"/>
        <w:ind w:hanging="792"/>
      </w:pPr>
      <w:r w:rsidRPr="00FB41AA">
        <w:t xml:space="preserve">V případě, že by se </w:t>
      </w:r>
      <w:r w:rsidR="00DE273F">
        <w:t>Z</w:t>
      </w:r>
      <w:r w:rsidRPr="00FB41AA">
        <w:t xml:space="preserve">hotovitel mohl při plnění předmětu smlouvy dostat do konfliktu zájmů mezi </w:t>
      </w:r>
      <w:r w:rsidR="00DE273F">
        <w:t>O</w:t>
      </w:r>
      <w:r w:rsidRPr="00FB41AA">
        <w:t xml:space="preserve">bjednatelem a jinou osobou, je povinen okamžitě na takovou možnost upozornit </w:t>
      </w:r>
      <w:r w:rsidR="002B0679">
        <w:t>O</w:t>
      </w:r>
      <w:r w:rsidR="002B0679" w:rsidRPr="00FB41AA">
        <w:t xml:space="preserve">bjednatele </w:t>
      </w:r>
      <w:r w:rsidRPr="00FB41AA">
        <w:t xml:space="preserve">a předložit mu návrh řešení. V případě porušení tohoto závazku odpovídá </w:t>
      </w:r>
      <w:r w:rsidR="002B0679">
        <w:t>O</w:t>
      </w:r>
      <w:r w:rsidR="002B0679" w:rsidRPr="00FB41AA">
        <w:t xml:space="preserve">bjednateli </w:t>
      </w:r>
      <w:r w:rsidRPr="00FB41AA">
        <w:t>za způsobenou škodu v plném rozsahu.</w:t>
      </w:r>
    </w:p>
    <w:p w14:paraId="743EFEF1" w14:textId="4753DA8F" w:rsidR="00DF7770" w:rsidRPr="00DF7770" w:rsidRDefault="00DF7770" w:rsidP="00FB41AA">
      <w:pPr>
        <w:pStyle w:val="SML1"/>
      </w:pPr>
      <w:r w:rsidRPr="00DF7770">
        <w:t>Smluvní pokuta</w:t>
      </w:r>
    </w:p>
    <w:p w14:paraId="2D9061A4" w14:textId="27893EA2" w:rsidR="00FB41AA" w:rsidRDefault="00DF7770" w:rsidP="00FB41AA">
      <w:pPr>
        <w:pStyle w:val="SML11"/>
        <w:ind w:hanging="792"/>
      </w:pPr>
      <w:r w:rsidRPr="00DF7770">
        <w:t xml:space="preserve">Za prodlení s termínem předání díla dle čl. </w:t>
      </w:r>
      <w:r w:rsidR="007370CF">
        <w:t>4</w:t>
      </w:r>
      <w:r w:rsidRPr="00DF7770">
        <w:t xml:space="preserve"> této smlouvy zaplatí </w:t>
      </w:r>
      <w:r w:rsidR="002B0679">
        <w:t>Z</w:t>
      </w:r>
      <w:r w:rsidR="002B0679" w:rsidRPr="00DF7770">
        <w:t xml:space="preserve">hotovitel </w:t>
      </w:r>
      <w:r w:rsidR="002B0679">
        <w:t>O</w:t>
      </w:r>
      <w:r w:rsidR="002B0679" w:rsidRPr="00DF7770">
        <w:t xml:space="preserve">bjednateli </w:t>
      </w:r>
      <w:r w:rsidRPr="00DF7770">
        <w:t xml:space="preserve">smluvní pokutu ve výši </w:t>
      </w:r>
      <w:proofErr w:type="gramStart"/>
      <w:r w:rsidRPr="00DF7770">
        <w:t>1</w:t>
      </w:r>
      <w:r w:rsidR="00DE273F">
        <w:t>.</w:t>
      </w:r>
      <w:r w:rsidRPr="00DF7770">
        <w:t>000,-</w:t>
      </w:r>
      <w:proofErr w:type="gramEnd"/>
      <w:r w:rsidRPr="00DF7770">
        <w:t xml:space="preserve"> Kč (slovy: tisíc korun českých) za každý započatý den prodlení.</w:t>
      </w:r>
    </w:p>
    <w:p w14:paraId="07C0A706" w14:textId="6ACC49E3" w:rsidR="00FB41AA" w:rsidRDefault="00DF7770" w:rsidP="00FB41AA">
      <w:pPr>
        <w:pStyle w:val="SML11"/>
        <w:ind w:hanging="792"/>
      </w:pPr>
      <w:r w:rsidRPr="00FB41AA">
        <w:t xml:space="preserve">Zhotovitel je dále povinen </w:t>
      </w:r>
      <w:r w:rsidR="002B0679">
        <w:t>O</w:t>
      </w:r>
      <w:r w:rsidR="002B0679" w:rsidRPr="00FB41AA">
        <w:t xml:space="preserve">bjednateli </w:t>
      </w:r>
      <w:r w:rsidRPr="00FB41AA">
        <w:t>zaplatit smluvní pokutu za porušení níže uvedených ustanovení této smlouvy:</w:t>
      </w:r>
    </w:p>
    <w:p w14:paraId="41A35055" w14:textId="7188E547" w:rsidR="002D2192" w:rsidRDefault="002D2192" w:rsidP="00FB41AA">
      <w:pPr>
        <w:pStyle w:val="SML111"/>
      </w:pPr>
      <w:r>
        <w:t xml:space="preserve">Za každé jednotlivé nedostavení se na kontrolní den (čl. 2 odst. 2.5. smlouvy) je </w:t>
      </w:r>
      <w:r w:rsidR="002B0679">
        <w:t>Z</w:t>
      </w:r>
      <w:r>
        <w:t xml:space="preserve">hotovitel povinen zaplatit </w:t>
      </w:r>
      <w:r w:rsidR="002B0679">
        <w:t>O</w:t>
      </w:r>
      <w:r>
        <w:t xml:space="preserve">bjednateli smluvní pokutu ve výši </w:t>
      </w:r>
      <w:proofErr w:type="gramStart"/>
      <w:r>
        <w:t>10.000,-</w:t>
      </w:r>
      <w:proofErr w:type="gramEnd"/>
      <w:r>
        <w:t xml:space="preserve"> Kč.</w:t>
      </w:r>
    </w:p>
    <w:p w14:paraId="335AFDC8" w14:textId="60ADA6FF" w:rsidR="00FB41AA" w:rsidRDefault="00DF7770" w:rsidP="00FB41AA">
      <w:pPr>
        <w:pStyle w:val="SML111"/>
      </w:pPr>
      <w:r w:rsidRPr="00FB41AA">
        <w:t xml:space="preserve">Za každé jednotlivé porušení povinnosti uvedené v čl. </w:t>
      </w:r>
      <w:r w:rsidR="007370CF">
        <w:t>9</w:t>
      </w:r>
      <w:r w:rsidRPr="00FB41AA">
        <w:t xml:space="preserve"> odst. </w:t>
      </w:r>
      <w:r w:rsidR="007370CF">
        <w:t>9.</w:t>
      </w:r>
      <w:r w:rsidRPr="00FB41AA">
        <w:t>4</w:t>
      </w:r>
      <w:r w:rsidR="007370CF">
        <w:t>.</w:t>
      </w:r>
      <w:r w:rsidRPr="00FB41AA">
        <w:t xml:space="preserve"> této smlouvy je zhotovitel povinen zaplatit objednateli smluvní pokutu ve výši </w:t>
      </w:r>
      <w:proofErr w:type="gramStart"/>
      <w:r w:rsidR="001F7E83">
        <w:t>2</w:t>
      </w:r>
      <w:r w:rsidRPr="00FB41AA">
        <w:t>0.000,-</w:t>
      </w:r>
      <w:proofErr w:type="gramEnd"/>
      <w:r w:rsidRPr="00FB41AA">
        <w:t xml:space="preserve"> Kč.</w:t>
      </w:r>
    </w:p>
    <w:p w14:paraId="1F40655C" w14:textId="61AB738E" w:rsidR="00FB41AA" w:rsidRDefault="00DF7770" w:rsidP="00FB41AA">
      <w:pPr>
        <w:pStyle w:val="SML111"/>
      </w:pPr>
      <w:r w:rsidRPr="00FB41AA">
        <w:t xml:space="preserve">Za každé jednotlivé porušení povinností uvedených v čl. </w:t>
      </w:r>
      <w:r w:rsidR="007370CF">
        <w:t>10</w:t>
      </w:r>
      <w:r w:rsidRPr="00FB41AA">
        <w:t xml:space="preserve"> této smlouvy týkajících se ochrany důvěrných informací a obchodního tajemství, je zhotovitel povinen zaplatit objednateli smluvní pokutu ve výši </w:t>
      </w:r>
      <w:proofErr w:type="gramStart"/>
      <w:r w:rsidR="001F7E83">
        <w:t>2</w:t>
      </w:r>
      <w:r w:rsidRPr="00FB41AA">
        <w:t>0.000,-</w:t>
      </w:r>
      <w:proofErr w:type="gramEnd"/>
      <w:r w:rsidRPr="00FB41AA">
        <w:t xml:space="preserve"> Kč.</w:t>
      </w:r>
    </w:p>
    <w:p w14:paraId="6286972A" w14:textId="5734942F" w:rsidR="00FB41AA" w:rsidRDefault="00DF7770" w:rsidP="00FB41AA">
      <w:pPr>
        <w:pStyle w:val="SML111"/>
      </w:pPr>
      <w:r w:rsidRPr="00FB41AA">
        <w:lastRenderedPageBreak/>
        <w:t xml:space="preserve">Neodstraní-li zhotovitel vadu díla v záruční době do 14 dnů od zjištění vady a jejího oznámení zhotoviteli, zaplatí objednateli smluvní pokutu ve výši </w:t>
      </w:r>
      <w:proofErr w:type="gramStart"/>
      <w:r w:rsidRPr="00FB41AA">
        <w:t>1</w:t>
      </w:r>
      <w:r w:rsidR="00DE273F">
        <w:t>.</w:t>
      </w:r>
      <w:r w:rsidRPr="00FB41AA">
        <w:t>000,-</w:t>
      </w:r>
      <w:proofErr w:type="gramEnd"/>
      <w:r w:rsidRPr="00FB41AA">
        <w:t xml:space="preserve"> Kč (slovy: tisíc korun českých) za každý den prodlení.</w:t>
      </w:r>
    </w:p>
    <w:p w14:paraId="34B3431B" w14:textId="73507A13" w:rsidR="00FB41AA" w:rsidRDefault="00DF7770" w:rsidP="00FB41AA">
      <w:pPr>
        <w:pStyle w:val="SML11"/>
        <w:ind w:hanging="792"/>
      </w:pPr>
      <w:r w:rsidRPr="00FB41AA">
        <w:t xml:space="preserve">V případě škody vzniklé </w:t>
      </w:r>
      <w:r w:rsidR="00F74A7B">
        <w:t>O</w:t>
      </w:r>
      <w:r w:rsidRPr="00FB41AA">
        <w:t xml:space="preserve">bjednateli porušením povinnosti </w:t>
      </w:r>
      <w:r w:rsidR="00DE273F">
        <w:t>Z</w:t>
      </w:r>
      <w:r w:rsidRPr="00FB41AA">
        <w:t xml:space="preserve">hotovitele, je tento povinen škodu objednateli uhradit. </w:t>
      </w:r>
    </w:p>
    <w:p w14:paraId="01707F2C" w14:textId="5C56B961" w:rsidR="00FB41AA" w:rsidRDefault="00DF7770" w:rsidP="00FB41AA">
      <w:pPr>
        <w:pStyle w:val="SML11"/>
        <w:ind w:hanging="792"/>
      </w:pPr>
      <w:r w:rsidRPr="00FB41AA">
        <w:t xml:space="preserve">Objednatel je oprávněn smluvní pokutu, případně vzniklou náhradu škody, na které mu v důsledku porušení závazku </w:t>
      </w:r>
      <w:r w:rsidR="00DE273F">
        <w:t>Z</w:t>
      </w:r>
      <w:r w:rsidRPr="00FB41AA">
        <w:t xml:space="preserve">hotovitele vznikl právní nárok, započíst proti kterékoliv úhradě, která přísluší </w:t>
      </w:r>
      <w:r w:rsidR="00DE273F">
        <w:t>Z</w:t>
      </w:r>
      <w:r w:rsidRPr="00FB41AA">
        <w:t>hotoviteli dle příslušných ustanovení smlouvy.</w:t>
      </w:r>
    </w:p>
    <w:p w14:paraId="297CD72E" w14:textId="4902CBEB" w:rsidR="00FB41AA" w:rsidRDefault="00DF7770" w:rsidP="00943B4E">
      <w:pPr>
        <w:pStyle w:val="SML11"/>
        <w:ind w:hanging="792"/>
      </w:pPr>
      <w:r w:rsidRPr="00FB41AA">
        <w:t xml:space="preserve">Smluvní pokuty sjednané dle tohoto článku je splatná do 15 kalendářních dnů od okamžiku každého jednotlivého porušení ustanovení specifikovaného v této smlouvě, a to na účet objednatele uvedený v záhlaví této smlouvy. Objednatel je oprávněn započíst splatnou smluvní pokutu proti jakékoli pohledávce </w:t>
      </w:r>
      <w:r w:rsidR="00DE273F">
        <w:t>Z</w:t>
      </w:r>
      <w:r w:rsidRPr="00FB41AA">
        <w:t xml:space="preserve">hotovitele vůči </w:t>
      </w:r>
      <w:r w:rsidR="00DE273F">
        <w:t>O</w:t>
      </w:r>
      <w:r w:rsidRPr="00FB41AA">
        <w:t xml:space="preserve">bjednateli. </w:t>
      </w:r>
    </w:p>
    <w:p w14:paraId="72684BC5" w14:textId="77777777" w:rsidR="00FB41AA" w:rsidRDefault="00DF7770" w:rsidP="001B1236">
      <w:pPr>
        <w:pStyle w:val="SML11"/>
        <w:ind w:hanging="792"/>
      </w:pPr>
      <w:r w:rsidRPr="00FB41AA">
        <w:t>Ustanovením tohoto článku o smluvní pokutě není dotčeno domáhat se práva na náhradu škody, smluvní strany tedy nebudou aplikovat ustanovení § 2050 občanského zákoníku.</w:t>
      </w:r>
    </w:p>
    <w:p w14:paraId="42AD0856" w14:textId="5C014788" w:rsidR="00DF7770" w:rsidRPr="00FB41AA" w:rsidRDefault="00DF7770" w:rsidP="00FB41AA">
      <w:pPr>
        <w:pStyle w:val="SML1"/>
      </w:pPr>
      <w:r w:rsidRPr="00FB41AA">
        <w:t>Ustanovení o právním vztahu k autorskému zákonu</w:t>
      </w:r>
      <w:r w:rsidR="00FB41AA">
        <w:t xml:space="preserve"> </w:t>
      </w:r>
      <w:r w:rsidRPr="00FB41AA">
        <w:rPr>
          <w:bCs w:val="0"/>
        </w:rPr>
        <w:t>„licenční doložka“</w:t>
      </w:r>
    </w:p>
    <w:p w14:paraId="2F948D13" w14:textId="3A3B86BF" w:rsidR="00FB41AA" w:rsidRDefault="00DF7770" w:rsidP="00FB41AA">
      <w:pPr>
        <w:pStyle w:val="SML11"/>
        <w:ind w:hanging="792"/>
      </w:pPr>
      <w:r w:rsidRPr="00DF7770">
        <w:t xml:space="preserve">Zhotovitel poskytne </w:t>
      </w:r>
      <w:r w:rsidR="002B0679">
        <w:t>O</w:t>
      </w:r>
      <w:r w:rsidR="002B0679" w:rsidRPr="00DF7770">
        <w:t xml:space="preserve">bjednateli </w:t>
      </w:r>
      <w:r w:rsidRPr="00DF7770">
        <w:t>výhradní neomezenou licenci k předmětu smlouvy, a</w:t>
      </w:r>
      <w:r w:rsidR="007370CF">
        <w:t> </w:t>
      </w:r>
      <w:r w:rsidRPr="00DF7770">
        <w:t>to věcně, časově a místně.</w:t>
      </w:r>
    </w:p>
    <w:p w14:paraId="050CC506" w14:textId="77777777" w:rsidR="00FB41AA" w:rsidRDefault="00DF7770" w:rsidP="00FB41AA">
      <w:pPr>
        <w:pStyle w:val="SML11"/>
        <w:ind w:hanging="792"/>
      </w:pPr>
      <w:r w:rsidRPr="00FB41AA">
        <w:t>Objednatel je oprávněn zcela nebo zčásti oprávnění tvořící součást licence poskytnout třetí osobě (podlicence).</w:t>
      </w:r>
    </w:p>
    <w:p w14:paraId="2F35A0E1" w14:textId="595D7E35" w:rsidR="00FB41AA" w:rsidRDefault="00DF7770" w:rsidP="00FB41AA">
      <w:pPr>
        <w:pStyle w:val="SML11"/>
        <w:ind w:hanging="792"/>
      </w:pPr>
      <w:r w:rsidRPr="00FB41AA">
        <w:t xml:space="preserve">Odměna za poskytnutí licence je zahrnuta v ceně provedení díla dle čl. </w:t>
      </w:r>
      <w:r w:rsidR="007370CF">
        <w:t xml:space="preserve">3 </w:t>
      </w:r>
      <w:r w:rsidRPr="00FB41AA">
        <w:t>této smlouvy.</w:t>
      </w:r>
    </w:p>
    <w:p w14:paraId="70BE9275" w14:textId="1C110F04" w:rsidR="00DF7770" w:rsidRPr="00FB41AA" w:rsidRDefault="00DF7770" w:rsidP="00FB41AA">
      <w:pPr>
        <w:pStyle w:val="SML11"/>
        <w:ind w:hanging="792"/>
      </w:pPr>
      <w:r w:rsidRPr="00FB41AA">
        <w:t xml:space="preserve">Pro vyloučení všech pochybností platí, že se </w:t>
      </w:r>
      <w:r w:rsidR="002B0679">
        <w:t>Z</w:t>
      </w:r>
      <w:r w:rsidR="002B0679" w:rsidRPr="00FB41AA">
        <w:t xml:space="preserve">hotovitel </w:t>
      </w:r>
      <w:r w:rsidRPr="00FB41AA">
        <w:t>zavazuje zajistit právo používat patenty, ochranné známky, licence, průmyslové vzory, know-how, software a práva z</w:t>
      </w:r>
      <w:r w:rsidR="00F50A1E">
        <w:t> </w:t>
      </w:r>
      <w:r w:rsidRPr="00FB41AA">
        <w:t>duševního vlastnictví, nezbytně se vztahující k předmětu smlouvy, které jsou nutné pro provoz a jeho využití,</w:t>
      </w:r>
      <w:r w:rsidR="00FB41AA">
        <w:t xml:space="preserve"> </w:t>
      </w:r>
      <w:r w:rsidRPr="00FB41AA">
        <w:t xml:space="preserve">a to současně s předáním předmětu smlouvy nebo jeho části </w:t>
      </w:r>
      <w:r w:rsidR="002B0679">
        <w:t>O</w:t>
      </w:r>
      <w:r w:rsidR="002B0679" w:rsidRPr="00FB41AA">
        <w:t>bjednateli</w:t>
      </w:r>
      <w:r w:rsidRPr="00FB41AA">
        <w:t>.</w:t>
      </w:r>
    </w:p>
    <w:p w14:paraId="5A0595A1" w14:textId="67406404" w:rsidR="00DF7770" w:rsidRPr="00DF7770" w:rsidRDefault="00DF7770" w:rsidP="00FB41AA">
      <w:pPr>
        <w:pStyle w:val="SML1"/>
      </w:pPr>
      <w:r w:rsidRPr="00DF7770">
        <w:t>Ochrana důvěrných informací</w:t>
      </w:r>
    </w:p>
    <w:p w14:paraId="2175A576" w14:textId="74FC467A" w:rsidR="00FB41AA" w:rsidRDefault="00DF7770" w:rsidP="00FB41AA">
      <w:pPr>
        <w:pStyle w:val="SML11"/>
        <w:ind w:hanging="792"/>
      </w:pPr>
      <w:r w:rsidRPr="00DF7770">
        <w:t>Smluvní strany se zavazují, že pro jiné účely, než je plnění předmětu této smlouvy a</w:t>
      </w:r>
      <w:r w:rsidR="007370CF">
        <w:t> </w:t>
      </w:r>
      <w:r w:rsidRPr="00DF7770">
        <w:t xml:space="preserve">jednání směřující k plnění povinností a výkonu práv vyplývajících z této smlouvy, jiné osobě nesdělí, nezpřístupní, pro sebe nebo pro jiného nevyužijí obchodní tajemství druhé smluvní strany, o němž se dověděly nebo dozví tak, že jim bylo nebo bude svěřeno nebo se jim stalo jinak přístupným v souvislosti s plněním této smlouvy, obchodním či jiným jednáním, které spolu vedly nebo povedou. Povinnosti zachovávat obchodní tajemství stanovené v tomto článku odst. </w:t>
      </w:r>
      <w:r w:rsidR="005C2175">
        <w:t>10.</w:t>
      </w:r>
      <w:r w:rsidRPr="00DF7770">
        <w:t>1</w:t>
      </w:r>
      <w:r w:rsidR="005C2175">
        <w:t>.</w:t>
      </w:r>
      <w:r w:rsidRPr="00DF7770">
        <w:t xml:space="preserve"> až </w:t>
      </w:r>
      <w:r w:rsidR="005C2175">
        <w:t>10.</w:t>
      </w:r>
      <w:r w:rsidRPr="00DF7770">
        <w:t>5</w:t>
      </w:r>
      <w:r w:rsidR="005C2175">
        <w:t>.</w:t>
      </w:r>
      <w:r w:rsidRPr="00DF7770">
        <w:t xml:space="preserve"> této smlouvy se netýkají zákonných povinností </w:t>
      </w:r>
      <w:r w:rsidR="002B0679">
        <w:t>O</w:t>
      </w:r>
      <w:r w:rsidR="002B0679" w:rsidRPr="00DF7770">
        <w:t xml:space="preserve">bjednatele </w:t>
      </w:r>
      <w:r w:rsidRPr="00DF7770">
        <w:t>(jako např. zveřejnit znění smlouvy v</w:t>
      </w:r>
      <w:r w:rsidR="00DE273F">
        <w:t> </w:t>
      </w:r>
      <w:r w:rsidRPr="00DF7770">
        <w:t xml:space="preserve">souladu se zákonem o registru smluv). </w:t>
      </w:r>
    </w:p>
    <w:p w14:paraId="3FED366E" w14:textId="77777777" w:rsidR="00FB41AA" w:rsidRDefault="00DF7770" w:rsidP="00342166">
      <w:pPr>
        <w:pStyle w:val="SML11"/>
        <w:ind w:hanging="792"/>
      </w:pPr>
      <w:r w:rsidRPr="00FB41AA">
        <w:t>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 nemateriální hodnotu, nejsou v obchodních kruzích běžně dostupné a mají být podle vůle smluvních stran utajeny.</w:t>
      </w:r>
    </w:p>
    <w:p w14:paraId="1B23660F" w14:textId="4231B1BD" w:rsidR="00FB41AA" w:rsidRDefault="00DF7770" w:rsidP="00BF6DA9">
      <w:pPr>
        <w:pStyle w:val="SML11"/>
        <w:ind w:hanging="792"/>
      </w:pPr>
      <w:r w:rsidRPr="00FB41AA">
        <w:lastRenderedPageBreak/>
        <w:t>Smluvní strany se zavazují, že ke skutečnostem tvořícím obchodní tajemství, umožní přístup pouze pracovníkům a osobám, které se smluvně zavázaly mlčenlivostí o</w:t>
      </w:r>
      <w:r w:rsidR="005C2175">
        <w:t> </w:t>
      </w:r>
      <w:r w:rsidRPr="00FB41AA">
        <w:t>skutečnostech tvořících obchodní tajemství.</w:t>
      </w:r>
    </w:p>
    <w:p w14:paraId="05BBEFD2" w14:textId="77777777" w:rsidR="00FB41AA" w:rsidRDefault="00DF7770" w:rsidP="00574145">
      <w:pPr>
        <w:pStyle w:val="SML11"/>
        <w:ind w:hanging="792"/>
      </w:pPr>
      <w:r w:rsidRPr="00FB41AA">
        <w:t>Smluvní strany jsou povinny zachovávat obchodní tajemství i po skončení tohoto smluvního vztahu po dobu, po kterou trvají skutečnosti obchodní tajemství tvořící.</w:t>
      </w:r>
    </w:p>
    <w:p w14:paraId="1CDAB1B1" w14:textId="77777777" w:rsidR="00FB41AA" w:rsidRDefault="00DF7770" w:rsidP="002B4349">
      <w:pPr>
        <w:pStyle w:val="SML11"/>
        <w:ind w:hanging="792"/>
      </w:pPr>
      <w:r w:rsidRPr="00FB41AA"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0415A41A" w14:textId="2E5F29C1" w:rsidR="00DF7770" w:rsidRPr="00FB41AA" w:rsidRDefault="00DF7770" w:rsidP="00FB41AA">
      <w:pPr>
        <w:pStyle w:val="SML1"/>
      </w:pPr>
      <w:r w:rsidRPr="00FB41AA">
        <w:t>Trvání a ukončení smlouvy</w:t>
      </w:r>
    </w:p>
    <w:p w14:paraId="32D0D0FF" w14:textId="77777777" w:rsidR="00FB41AA" w:rsidRDefault="00DF7770" w:rsidP="00B01350">
      <w:pPr>
        <w:pStyle w:val="SML11"/>
        <w:ind w:hanging="792"/>
      </w:pPr>
      <w:r w:rsidRPr="00DF7770">
        <w:t>Tato smlouva se uzavírá na dobu určitou, účinnosti nabývá dnem zveřejnění v registru smluv a končí dobou uplynutí dvou let záruky.</w:t>
      </w:r>
    </w:p>
    <w:p w14:paraId="57188D04" w14:textId="77777777" w:rsidR="00FB41AA" w:rsidRDefault="00DF7770" w:rsidP="00D7628D">
      <w:pPr>
        <w:pStyle w:val="SML11"/>
        <w:ind w:hanging="792"/>
      </w:pPr>
      <w:r w:rsidRPr="00FB41AA">
        <w:t>Smlouva může zaniknout:</w:t>
      </w:r>
    </w:p>
    <w:p w14:paraId="72D86DFD" w14:textId="77777777" w:rsidR="00FB41AA" w:rsidRDefault="00DF7770" w:rsidP="00CB106C">
      <w:pPr>
        <w:pStyle w:val="SML111"/>
      </w:pPr>
      <w:r w:rsidRPr="00FB41AA">
        <w:t>písemnou dohodou smluvních stran,</w:t>
      </w:r>
    </w:p>
    <w:p w14:paraId="55DDE031" w14:textId="77777777" w:rsidR="00FB41AA" w:rsidRDefault="00DF7770" w:rsidP="009C7BB3">
      <w:pPr>
        <w:pStyle w:val="SML111"/>
      </w:pPr>
      <w:r w:rsidRPr="00FB41AA">
        <w:t>odstoupením od smlouvy.</w:t>
      </w:r>
    </w:p>
    <w:p w14:paraId="1B0A9D77" w14:textId="77777777" w:rsidR="00FB41AA" w:rsidRDefault="00DF7770" w:rsidP="008004A9">
      <w:pPr>
        <w:pStyle w:val="SML11"/>
        <w:ind w:hanging="792"/>
      </w:pPr>
      <w:r w:rsidRPr="00FB41AA">
        <w:t>Objednatel má právo odstoupit od této smlouvy:</w:t>
      </w:r>
    </w:p>
    <w:p w14:paraId="1F76173A" w14:textId="24F65E98" w:rsidR="00FB41AA" w:rsidRDefault="00DF7770" w:rsidP="00E2227C">
      <w:pPr>
        <w:pStyle w:val="SML111"/>
      </w:pPr>
      <w:r w:rsidRPr="00FB41AA">
        <w:t xml:space="preserve">neodstraní-li </w:t>
      </w:r>
      <w:r w:rsidR="002B0679">
        <w:t>Z</w:t>
      </w:r>
      <w:r w:rsidR="002B0679" w:rsidRPr="00FB41AA">
        <w:t xml:space="preserve">hotovitel </w:t>
      </w:r>
      <w:r w:rsidRPr="00FB41AA">
        <w:t xml:space="preserve">vady díla ani v dodatečné lhůtě nad rámec lhůty pro odstranění vad bránících užívání díla stanovené v </w:t>
      </w:r>
      <w:r w:rsidR="002B0679">
        <w:t xml:space="preserve">předávacím </w:t>
      </w:r>
      <w:r w:rsidRPr="00FB41AA">
        <w:t>protokolu nebo oznámí-li před jejím uplynutím, že vady neodstraní,</w:t>
      </w:r>
    </w:p>
    <w:p w14:paraId="630AB78F" w14:textId="10C5E3BB" w:rsidR="00FB41AA" w:rsidRDefault="00DF7770" w:rsidP="0012353A">
      <w:pPr>
        <w:pStyle w:val="SML111"/>
      </w:pPr>
      <w:r w:rsidRPr="00FB41AA">
        <w:t xml:space="preserve">pokud bude zhotovitel v prodlení s dodáním předmětu smlouvy či jeho části o více než </w:t>
      </w:r>
      <w:r w:rsidR="0025101B">
        <w:t>1</w:t>
      </w:r>
      <w:r w:rsidRPr="00FB41AA">
        <w:t>0 dní,</w:t>
      </w:r>
    </w:p>
    <w:p w14:paraId="539AC330" w14:textId="33CB3852" w:rsidR="00FB41AA" w:rsidRDefault="00DF7770" w:rsidP="00DD1B4F">
      <w:pPr>
        <w:pStyle w:val="SML111"/>
      </w:pPr>
      <w:r w:rsidRPr="00FB41AA">
        <w:t xml:space="preserve">jestliže předmět smlouvy nebude splňovat parametry stanovené v této smlouvě, </w:t>
      </w:r>
      <w:r w:rsidR="005C2175">
        <w:t>poptávce pro podání cenové nabídky</w:t>
      </w:r>
      <w:r w:rsidRPr="00FB41AA">
        <w:t xml:space="preserve"> dle čl. </w:t>
      </w:r>
      <w:r w:rsidR="005C2175">
        <w:t>2</w:t>
      </w:r>
      <w:r w:rsidRPr="00FB41AA">
        <w:t xml:space="preserve"> této smlouvy, obecně závaznými právními předpisy či technickými normami,</w:t>
      </w:r>
    </w:p>
    <w:p w14:paraId="6D02522A" w14:textId="60AAF258" w:rsidR="00FB41AA" w:rsidRDefault="00DF7770" w:rsidP="00FB41AA">
      <w:pPr>
        <w:pStyle w:val="SML111"/>
      </w:pPr>
      <w:r w:rsidRPr="00FB41AA">
        <w:t>jestliže zhotovitel pozbude oprávnění, které vyžaduje provedení a dodání předmětu smlouvy</w:t>
      </w:r>
      <w:r w:rsidR="005C2175">
        <w:t>.</w:t>
      </w:r>
    </w:p>
    <w:p w14:paraId="3595A2B5" w14:textId="2C40E13D" w:rsidR="00DF7770" w:rsidRPr="00DF7770" w:rsidRDefault="00DF7770" w:rsidP="00D460AC">
      <w:pPr>
        <w:pStyle w:val="SML1"/>
      </w:pPr>
      <w:r w:rsidRPr="00DF7770">
        <w:t>Závěrečná ustanovení</w:t>
      </w:r>
    </w:p>
    <w:p w14:paraId="49D0C7BA" w14:textId="77777777" w:rsidR="00D460AC" w:rsidRDefault="00DF7770" w:rsidP="004461C3">
      <w:pPr>
        <w:pStyle w:val="SML11"/>
        <w:ind w:hanging="792"/>
      </w:pPr>
      <w:r w:rsidRPr="00DF7770">
        <w:t>Právní vztahy vzniklé z této smlouvy nebo s touto smlouvou související se řídí, pokud z této smlouvy nevyplývá něco jiného, ustanoveními občanského zákoníku a právním řádem České republiky. V případě, že by se stalo některé ustanovení smlouvy neplatným, zůstávají ostatní ustanovení i nadále v platnosti, ledaže právní předpis stanoví jinak. Práva a povinnosti smluvních stran z této smlouvy přecházejí na jejich právní nástupce.</w:t>
      </w:r>
    </w:p>
    <w:p w14:paraId="06EEBB89" w14:textId="77777777" w:rsidR="00D460AC" w:rsidRDefault="00DF7770" w:rsidP="0029524B">
      <w:pPr>
        <w:pStyle w:val="SML11"/>
        <w:ind w:hanging="792"/>
      </w:pPr>
      <w:r w:rsidRPr="00D460AC">
        <w:t>Tuto smlouvu lze měnit, doplňovat nebo rušit pouze písemně, a to číslovanými dodatky, podepsanými oběma smluvními stranami.</w:t>
      </w:r>
    </w:p>
    <w:p w14:paraId="23D7FC3E" w14:textId="77777777" w:rsidR="00D460AC" w:rsidRDefault="00DF7770" w:rsidP="00D67D73">
      <w:pPr>
        <w:pStyle w:val="SML11"/>
        <w:ind w:hanging="792"/>
      </w:pPr>
      <w:r w:rsidRPr="00D460AC">
        <w:t xml:space="preserve">Smluvní strany se zároveň zavazují, že všechny informace, které jim byly svěřeny druhou smluvní stranou, nezpřístupní třetím osobám pro jiné </w:t>
      </w:r>
      <w:proofErr w:type="gramStart"/>
      <w:r w:rsidRPr="00D460AC">
        <w:t>účely,</w:t>
      </w:r>
      <w:proofErr w:type="gramEnd"/>
      <w:r w:rsidRPr="00D460AC">
        <w:t xml:space="preserve"> než pro plnění závazků stanovených touto smlouvou.</w:t>
      </w:r>
    </w:p>
    <w:p w14:paraId="44287592" w14:textId="77777777" w:rsidR="00D460AC" w:rsidRDefault="00DF7770" w:rsidP="00D460AC">
      <w:pPr>
        <w:pStyle w:val="SML11"/>
        <w:ind w:hanging="792"/>
      </w:pPr>
      <w:r w:rsidRPr="00D460AC">
        <w:t xml:space="preserve">Tato smlouva je vyhotovena ve dvou stejnopisech, z nichž každý stejnopis má platnost originálu. Zhotovitel a objednatel obdrží po jednom vyhotovení.  </w:t>
      </w:r>
    </w:p>
    <w:p w14:paraId="6BEF8F71" w14:textId="39460120" w:rsidR="00D460AC" w:rsidRDefault="00DF7770" w:rsidP="00D460AC">
      <w:pPr>
        <w:pStyle w:val="SML11"/>
        <w:ind w:hanging="792"/>
      </w:pPr>
      <w:r w:rsidRPr="00D460AC">
        <w:lastRenderedPageBreak/>
        <w:t>Smluvní strany se dohodly, že žádná z nich není oprávněna postoupit svá práva a</w:t>
      </w:r>
      <w:r w:rsidR="005C2175">
        <w:t> </w:t>
      </w:r>
      <w:r w:rsidRPr="00D460AC">
        <w:t>povinnosti, vyplývající z této smlouvy, bez předchozího písemného souhlasu druhé smluvní strany. K přechodu práv a povinností na právní nástupce stran se souhlas nevyžaduje.</w:t>
      </w:r>
    </w:p>
    <w:p w14:paraId="15F56762" w14:textId="63734832" w:rsidR="00D460AC" w:rsidRDefault="00DF7770" w:rsidP="00D460AC">
      <w:pPr>
        <w:pStyle w:val="SML11"/>
        <w:ind w:hanging="792"/>
      </w:pPr>
      <w:r w:rsidRPr="00D460AC"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</w:t>
      </w:r>
      <w:r w:rsidR="005C2175">
        <w:t>.</w:t>
      </w:r>
    </w:p>
    <w:p w14:paraId="6F478720" w14:textId="77777777" w:rsidR="00D460AC" w:rsidRDefault="00DF7770" w:rsidP="00D460AC">
      <w:pPr>
        <w:pStyle w:val="SML11"/>
        <w:ind w:hanging="792"/>
      </w:pPr>
      <w:r w:rsidRPr="00D460AC">
        <w:t>Plnění předmětu této smlouvy v době mezi podpisem a před nabytím účinnosti této smlouvy, tedy před zveřejněním v registru smluv, se považuje za plnění podle této smlouvy a práva a povinnosti z něj vzniklé se řídí touto smlouvou.</w:t>
      </w:r>
    </w:p>
    <w:p w14:paraId="63326537" w14:textId="3D2DCA0F" w:rsidR="00D460AC" w:rsidRDefault="00DF7770" w:rsidP="00D460AC">
      <w:pPr>
        <w:pStyle w:val="SML11"/>
        <w:ind w:hanging="792"/>
      </w:pPr>
      <w:r w:rsidRPr="00D460AC">
        <w:t>Zhotovitel podpisem této smlouvy souhlasí s poskytnutím informací o smlouvě v</w:t>
      </w:r>
      <w:r w:rsidR="000E565C">
        <w:t> </w:t>
      </w:r>
      <w:r w:rsidRPr="00D460AC">
        <w:t>rozsahu zákona č. 106/1999 Sb., o svobodném přístupu k informacím, ve znění pozdějších předpisů.</w:t>
      </w:r>
    </w:p>
    <w:p w14:paraId="1C15C786" w14:textId="70C807E9" w:rsidR="00EB7C54" w:rsidRDefault="00DF7770" w:rsidP="00EB7C54">
      <w:pPr>
        <w:pStyle w:val="SML11"/>
        <w:ind w:hanging="792"/>
      </w:pPr>
      <w:r w:rsidRPr="00D460AC">
        <w:t>Smluvní strany dále prohlašují, že si smlouvu, včetně jejích příloh pečlivě přečetly, všem ustanovením smlouvy rozumí, že nebyla uzavřena v tísni ani za jinak jednostranně nevýhodných podmínek. Na důkaz svého souhlasu učiněného vážně a</w:t>
      </w:r>
      <w:r w:rsidR="005C2175">
        <w:t> </w:t>
      </w:r>
      <w:r w:rsidRPr="00D460AC">
        <w:t>svobodně smlouvu vlastnoručně podepisují.</w:t>
      </w:r>
    </w:p>
    <w:p w14:paraId="44E461C4" w14:textId="287BC4E5" w:rsidR="00EB7C54" w:rsidRDefault="00EB7C54" w:rsidP="00EB7C54">
      <w:pPr>
        <w:pStyle w:val="SML11"/>
        <w:numPr>
          <w:ilvl w:val="0"/>
          <w:numId w:val="0"/>
        </w:numPr>
      </w:pPr>
      <w:r>
        <w:t>Přílohy</w:t>
      </w:r>
    </w:p>
    <w:p w14:paraId="2F3D56A4" w14:textId="5CBFA734" w:rsidR="00EB7C54" w:rsidRDefault="00EB7C54" w:rsidP="00EB7C54">
      <w:pPr>
        <w:pStyle w:val="SML11"/>
        <w:numPr>
          <w:ilvl w:val="0"/>
          <w:numId w:val="0"/>
        </w:numPr>
      </w:pPr>
      <w:r>
        <w:t>Příloha č. 1 – Technická specifikace</w:t>
      </w:r>
    </w:p>
    <w:p w14:paraId="37C652AB" w14:textId="6DC53395" w:rsidR="00EB7C54" w:rsidRDefault="00EB7C54" w:rsidP="00726E22">
      <w:pPr>
        <w:pStyle w:val="SML11"/>
        <w:numPr>
          <w:ilvl w:val="0"/>
          <w:numId w:val="0"/>
        </w:numPr>
      </w:pPr>
      <w:r>
        <w:t>Příloha č. 2 – Podkladová data</w:t>
      </w:r>
    </w:p>
    <w:p w14:paraId="55EEB081" w14:textId="77777777" w:rsidR="009A767D" w:rsidRDefault="009A767D" w:rsidP="00726E22">
      <w:pPr>
        <w:pStyle w:val="SML11"/>
        <w:numPr>
          <w:ilvl w:val="0"/>
          <w:numId w:val="0"/>
        </w:numPr>
      </w:pP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71"/>
        <w:gridCol w:w="4536"/>
      </w:tblGrid>
      <w:tr w:rsidR="00697B4D" w:rsidRPr="00466C1A" w14:paraId="57B61784" w14:textId="77777777" w:rsidTr="009A767D">
        <w:trPr>
          <w:trHeight w:val="635"/>
        </w:trPr>
        <w:tc>
          <w:tcPr>
            <w:tcW w:w="4678" w:type="dxa"/>
            <w:gridSpan w:val="2"/>
            <w:vAlign w:val="bottom"/>
          </w:tcPr>
          <w:p w14:paraId="671F9466" w14:textId="744C71F5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F455C5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A843A7">
              <w:rPr>
                <w:rFonts w:cstheme="minorHAnsi"/>
              </w:rPr>
              <w:t>28.3.2024</w:t>
            </w:r>
          </w:p>
        </w:tc>
        <w:tc>
          <w:tcPr>
            <w:tcW w:w="4536" w:type="dxa"/>
            <w:vAlign w:val="bottom"/>
          </w:tcPr>
          <w:p w14:paraId="418CF594" w14:textId="0F55A96D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F74931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d</w:t>
            </w:r>
            <w:r w:rsidRPr="00FD0596">
              <w:rPr>
                <w:rFonts w:cstheme="minorHAnsi"/>
              </w:rPr>
              <w:t xml:space="preserve">ne </w:t>
            </w:r>
            <w:r w:rsidR="00A843A7">
              <w:rPr>
                <w:rFonts w:cstheme="minorHAnsi"/>
              </w:rPr>
              <w:t>28.3.2024</w:t>
            </w:r>
          </w:p>
        </w:tc>
      </w:tr>
      <w:tr w:rsidR="006B43D5" w:rsidRPr="00702AB5" w14:paraId="2F87D6FB" w14:textId="77777777" w:rsidTr="002404BD">
        <w:trPr>
          <w:trHeight w:val="976"/>
        </w:trPr>
        <w:tc>
          <w:tcPr>
            <w:tcW w:w="4607" w:type="dxa"/>
            <w:vAlign w:val="bottom"/>
          </w:tcPr>
          <w:p w14:paraId="7FB0FA3E" w14:textId="04159E12" w:rsidR="006B43D5" w:rsidRDefault="006B43D5" w:rsidP="00A843A7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</w:t>
            </w:r>
            <w:proofErr w:type="spellStart"/>
            <w:r w:rsidR="00A843A7">
              <w:rPr>
                <w:rFonts w:cstheme="minorHAnsi"/>
              </w:rPr>
              <w:t>xxxxx</w:t>
            </w:r>
            <w:proofErr w:type="spellEnd"/>
            <w:r w:rsidRPr="000C3523">
              <w:rPr>
                <w:rFonts w:cstheme="minorHAnsi"/>
              </w:rPr>
              <w:t>________________</w:t>
            </w:r>
          </w:p>
        </w:tc>
        <w:tc>
          <w:tcPr>
            <w:tcW w:w="4607" w:type="dxa"/>
            <w:gridSpan w:val="2"/>
            <w:vAlign w:val="bottom"/>
          </w:tcPr>
          <w:p w14:paraId="437D0DD1" w14:textId="76D3A524" w:rsidR="006B43D5" w:rsidRPr="00702AB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</w:t>
            </w:r>
            <w:proofErr w:type="spellStart"/>
            <w:r w:rsidR="00A843A7">
              <w:rPr>
                <w:rFonts w:cstheme="minorHAnsi"/>
              </w:rPr>
              <w:t>xxxxx</w:t>
            </w:r>
            <w:proofErr w:type="spellEnd"/>
            <w:r w:rsidRPr="000C3523">
              <w:rPr>
                <w:rFonts w:cstheme="minorHAnsi"/>
              </w:rPr>
              <w:t>__________</w:t>
            </w:r>
          </w:p>
        </w:tc>
      </w:tr>
      <w:tr w:rsidR="006B43D5" w:rsidRPr="00016688" w14:paraId="323622D2" w14:textId="77777777" w:rsidTr="002404BD">
        <w:trPr>
          <w:trHeight w:val="273"/>
        </w:trPr>
        <w:tc>
          <w:tcPr>
            <w:tcW w:w="4607" w:type="dxa"/>
          </w:tcPr>
          <w:p w14:paraId="113861D5" w14:textId="021613BD" w:rsidR="00E60C2A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Pr="00E60C2A">
              <w:rPr>
                <w:rStyle w:val="Styl3"/>
              </w:rPr>
              <w:t>Kancelář architekta města Brna, p. o.</w:t>
            </w:r>
          </w:p>
          <w:p w14:paraId="094F1CAD" w14:textId="418F600C" w:rsidR="006B43D5" w:rsidRPr="00E60C2A" w:rsidRDefault="00E60C2A" w:rsidP="00E60C2A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E60C2A">
              <w:rPr>
                <w:rStyle w:val="NormalBold"/>
                <w:b w:val="0"/>
                <w:bCs/>
              </w:rPr>
              <w:t xml:space="preserve">Ing. arch. </w:t>
            </w:r>
            <w:r w:rsidR="00E119B9" w:rsidRPr="00E119B9">
              <w:rPr>
                <w:rStyle w:val="NormalBold"/>
                <w:b w:val="0"/>
                <w:bCs/>
              </w:rPr>
              <w:t>Jan Tesárek</w:t>
            </w:r>
            <w:r w:rsidRPr="00E60C2A">
              <w:rPr>
                <w:rStyle w:val="NormalBold"/>
                <w:b w:val="0"/>
                <w:bCs/>
              </w:rPr>
              <w:t>, ředitel</w:t>
            </w:r>
          </w:p>
        </w:tc>
        <w:tc>
          <w:tcPr>
            <w:tcW w:w="4607" w:type="dxa"/>
            <w:gridSpan w:val="2"/>
          </w:tcPr>
          <w:p w14:paraId="2443D7E7" w14:textId="7E613FE3" w:rsidR="00E60C2A" w:rsidRPr="00F12798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  <w:highlight w:val="yellow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="00F74931">
              <w:rPr>
                <w:rStyle w:val="Styl3"/>
              </w:rPr>
              <w:t>4DiPrototype s.r.o.</w:t>
            </w:r>
          </w:p>
          <w:p w14:paraId="4D402E1E" w14:textId="25DE82A6" w:rsidR="006B43D5" w:rsidRPr="00E44F5C" w:rsidRDefault="00E60C2A" w:rsidP="00DE273F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F74931">
              <w:rPr>
                <w:rFonts w:cstheme="minorHAnsi"/>
              </w:rPr>
              <w:t xml:space="preserve"> </w:t>
            </w:r>
            <w:r w:rsidR="00F74931" w:rsidRPr="00E44F5C">
              <w:rPr>
                <w:rStyle w:val="NormalBold"/>
                <w:b w:val="0"/>
                <w:bCs/>
              </w:rPr>
              <w:t>Ing. arch. Václav Hájek, jednatel</w:t>
            </w:r>
          </w:p>
        </w:tc>
      </w:tr>
    </w:tbl>
    <w:p w14:paraId="61E297AC" w14:textId="77777777" w:rsidR="006B43D5" w:rsidRDefault="006B43D5" w:rsidP="00DE273F"/>
    <w:p w14:paraId="0E57F165" w14:textId="77777777" w:rsidR="00E119B9" w:rsidRDefault="00E119B9" w:rsidP="00DE273F"/>
    <w:p w14:paraId="149CBDEB" w14:textId="77777777" w:rsidR="00E119B9" w:rsidRDefault="00E119B9" w:rsidP="00DE273F"/>
    <w:p w14:paraId="01E4FDC4" w14:textId="77777777" w:rsidR="00E119B9" w:rsidRDefault="00E119B9" w:rsidP="00DE273F"/>
    <w:p w14:paraId="07DA0670" w14:textId="77777777" w:rsidR="00E119B9" w:rsidRDefault="00E119B9" w:rsidP="00DE273F"/>
    <w:p w14:paraId="72322361" w14:textId="77777777" w:rsidR="00E119B9" w:rsidRDefault="00E119B9" w:rsidP="00DE273F"/>
    <w:p w14:paraId="554719C2" w14:textId="77777777" w:rsidR="00E119B9" w:rsidRDefault="00E119B9" w:rsidP="00DE273F"/>
    <w:p w14:paraId="004327B4" w14:textId="238C75CD" w:rsidR="00E119B9" w:rsidRPr="009A767D" w:rsidRDefault="00E119B9" w:rsidP="00E119B9">
      <w:pPr>
        <w:pStyle w:val="Nadpis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A767D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Příloha č. </w:t>
      </w:r>
      <w:r w:rsidR="009A767D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Pr="009A767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A767D" w:rsidRPr="009A767D">
        <w:rPr>
          <w:rFonts w:asciiTheme="minorHAnsi" w:hAnsiTheme="minorHAnsi" w:cstheme="minorHAnsi"/>
          <w:b/>
          <w:bCs/>
          <w:color w:val="auto"/>
          <w:sz w:val="24"/>
          <w:szCs w:val="24"/>
        </w:rPr>
        <w:t>– Technická specifikace</w:t>
      </w:r>
    </w:p>
    <w:p w14:paraId="2B56E2A8" w14:textId="3580D801" w:rsidR="00E119B9" w:rsidRPr="009A767D" w:rsidRDefault="009A767D" w:rsidP="00E119B9">
      <w:pPr>
        <w:pStyle w:val="Nadpis1"/>
        <w:spacing w:after="24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br/>
      </w:r>
      <w:r w:rsidR="00E119B9" w:rsidRPr="009A76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Specifikace fyzického modelu </w:t>
      </w:r>
    </w:p>
    <w:p w14:paraId="66A08ED1" w14:textId="7235BA6E" w:rsidR="00E119B9" w:rsidRPr="009A767D" w:rsidRDefault="00E119B9" w:rsidP="00E119B9">
      <w:pPr>
        <w:rPr>
          <w:rFonts w:cstheme="minorHAnsi"/>
          <w:szCs w:val="24"/>
        </w:rPr>
      </w:pPr>
      <w:r w:rsidRPr="009A767D">
        <w:rPr>
          <w:rFonts w:cstheme="minorHAnsi"/>
          <w:szCs w:val="24"/>
        </w:rPr>
        <w:t>Rozměry modelu: 700 x 700 mm (tj. rozsah území 350 x 350 m)</w:t>
      </w:r>
      <w:r w:rsidR="009A767D">
        <w:rPr>
          <w:rFonts w:cstheme="minorHAnsi"/>
          <w:szCs w:val="24"/>
        </w:rPr>
        <w:br/>
      </w:r>
      <w:r w:rsidRPr="009A767D">
        <w:rPr>
          <w:rFonts w:cstheme="minorHAnsi"/>
          <w:szCs w:val="24"/>
        </w:rPr>
        <w:t>Měřítko: 1:500</w:t>
      </w:r>
      <w:r w:rsidRPr="009A767D">
        <w:rPr>
          <w:rFonts w:cstheme="minorHAnsi"/>
          <w:szCs w:val="24"/>
        </w:rPr>
        <w:br/>
      </w:r>
    </w:p>
    <w:p w14:paraId="39561A04" w14:textId="22AE9E20" w:rsidR="00E119B9" w:rsidRPr="009A767D" w:rsidRDefault="00E119B9" w:rsidP="009A767D">
      <w:pPr>
        <w:ind w:left="1410" w:hanging="1410"/>
        <w:rPr>
          <w:rFonts w:cstheme="minorHAnsi"/>
          <w:szCs w:val="24"/>
        </w:rPr>
      </w:pPr>
      <w:r w:rsidRPr="009A767D">
        <w:rPr>
          <w:rFonts w:cstheme="minorHAnsi"/>
          <w:szCs w:val="24"/>
        </w:rPr>
        <w:t xml:space="preserve">Materiál: </w:t>
      </w:r>
      <w:r w:rsidRPr="009A767D">
        <w:rPr>
          <w:rFonts w:cstheme="minorHAnsi"/>
          <w:szCs w:val="24"/>
        </w:rPr>
        <w:tab/>
      </w:r>
      <w:r w:rsidRPr="009A767D">
        <w:rPr>
          <w:rFonts w:cstheme="minorHAnsi"/>
          <w:b/>
          <w:bCs/>
          <w:szCs w:val="24"/>
        </w:rPr>
        <w:t>zástavba</w:t>
      </w:r>
      <w:r w:rsidRPr="009A767D">
        <w:rPr>
          <w:rFonts w:cstheme="minorHAnsi"/>
          <w:szCs w:val="24"/>
        </w:rPr>
        <w:t xml:space="preserve"> – plast (nepřípustné jsou materiály jako XPS, pěnový PS, PUR a jiné „měkké“</w:t>
      </w:r>
      <w:r w:rsidR="009A767D">
        <w:rPr>
          <w:rFonts w:cstheme="minorHAnsi"/>
          <w:szCs w:val="24"/>
        </w:rPr>
        <w:t xml:space="preserve"> </w:t>
      </w:r>
      <w:r w:rsidRPr="009A767D">
        <w:rPr>
          <w:rFonts w:cstheme="minorHAnsi"/>
          <w:szCs w:val="24"/>
        </w:rPr>
        <w:t>plasty)</w:t>
      </w:r>
      <w:r w:rsidR="009A767D">
        <w:rPr>
          <w:rFonts w:cstheme="minorHAnsi"/>
          <w:szCs w:val="24"/>
        </w:rPr>
        <w:br/>
      </w:r>
      <w:r w:rsidRPr="009A767D">
        <w:rPr>
          <w:rFonts w:cstheme="minorHAnsi"/>
          <w:b/>
          <w:bCs/>
          <w:szCs w:val="24"/>
        </w:rPr>
        <w:t xml:space="preserve">terén vozovky </w:t>
      </w:r>
      <w:r w:rsidRPr="009A767D">
        <w:rPr>
          <w:rFonts w:cstheme="minorHAnsi"/>
          <w:szCs w:val="24"/>
        </w:rPr>
        <w:t>– plast hladký (nepřípustné jsou materiály jako XPS, pěnový PS, PUR a jiné „měkké“ plasty)</w:t>
      </w:r>
      <w:r w:rsidR="009A767D">
        <w:rPr>
          <w:rFonts w:cstheme="minorHAnsi"/>
          <w:szCs w:val="24"/>
        </w:rPr>
        <w:br/>
      </w:r>
      <w:r w:rsidRPr="009A767D">
        <w:rPr>
          <w:rFonts w:cstheme="minorHAnsi"/>
          <w:b/>
          <w:bCs/>
          <w:szCs w:val="24"/>
        </w:rPr>
        <w:t>terén zeleň</w:t>
      </w:r>
      <w:r w:rsidRPr="009A767D">
        <w:rPr>
          <w:rFonts w:cstheme="minorHAnsi"/>
          <w:szCs w:val="24"/>
        </w:rPr>
        <w:t xml:space="preserve"> – plast zdrsněný, příp. matný nebo zrnitý nátěr (nepřípustné jsou materiály jako XPS, pěnový PS, PUR a jiné „měkké“ plasty)</w:t>
      </w:r>
      <w:r w:rsidR="009A767D">
        <w:rPr>
          <w:rFonts w:cstheme="minorHAnsi"/>
          <w:szCs w:val="24"/>
        </w:rPr>
        <w:br/>
      </w:r>
    </w:p>
    <w:p w14:paraId="4287F8F5" w14:textId="15E2901F" w:rsidR="00E119B9" w:rsidRPr="009A767D" w:rsidRDefault="00E119B9" w:rsidP="009A767D">
      <w:pPr>
        <w:ind w:left="1410" w:right="-144" w:hanging="1410"/>
        <w:rPr>
          <w:rFonts w:cstheme="minorHAnsi"/>
          <w:szCs w:val="24"/>
        </w:rPr>
      </w:pPr>
      <w:r w:rsidRPr="009A767D">
        <w:rPr>
          <w:rFonts w:cstheme="minorHAnsi"/>
          <w:szCs w:val="24"/>
        </w:rPr>
        <w:t>Barevnost:</w:t>
      </w:r>
      <w:r w:rsidRPr="009A767D">
        <w:rPr>
          <w:rFonts w:cstheme="minorHAnsi"/>
          <w:szCs w:val="24"/>
        </w:rPr>
        <w:tab/>
      </w:r>
      <w:r w:rsidRPr="009A767D">
        <w:rPr>
          <w:rFonts w:cstheme="minorHAnsi"/>
          <w:b/>
          <w:bCs/>
          <w:szCs w:val="24"/>
        </w:rPr>
        <w:t>stávající domy a terén</w:t>
      </w:r>
      <w:r w:rsidRPr="009A767D">
        <w:rPr>
          <w:rFonts w:cstheme="minorHAnsi"/>
          <w:szCs w:val="24"/>
        </w:rPr>
        <w:t xml:space="preserve"> – bílá barva (RAL 9003)</w:t>
      </w:r>
      <w:r w:rsidR="009A767D">
        <w:rPr>
          <w:rFonts w:cstheme="minorHAnsi"/>
          <w:szCs w:val="24"/>
        </w:rPr>
        <w:br/>
      </w:r>
      <w:r w:rsidRPr="009A767D">
        <w:rPr>
          <w:rFonts w:cstheme="minorHAnsi"/>
          <w:b/>
          <w:bCs/>
          <w:szCs w:val="24"/>
        </w:rPr>
        <w:t xml:space="preserve">vozovky </w:t>
      </w:r>
      <w:r w:rsidRPr="009A767D">
        <w:rPr>
          <w:rFonts w:cstheme="minorHAnsi"/>
          <w:szCs w:val="24"/>
        </w:rPr>
        <w:t>– plošně vyfrézováno do terénu (dle podkladu v DWG), hloubka 0,75 mm</w:t>
      </w:r>
      <w:r w:rsidR="009A767D">
        <w:rPr>
          <w:rFonts w:cstheme="minorHAnsi"/>
          <w:szCs w:val="24"/>
        </w:rPr>
        <w:br/>
      </w:r>
    </w:p>
    <w:p w14:paraId="7566B979" w14:textId="77777777" w:rsidR="00E119B9" w:rsidRPr="009A767D" w:rsidRDefault="00E119B9" w:rsidP="00E119B9">
      <w:pPr>
        <w:spacing w:after="120"/>
        <w:rPr>
          <w:rFonts w:cstheme="minorHAnsi"/>
          <w:color w:val="000000"/>
          <w:szCs w:val="24"/>
        </w:rPr>
      </w:pPr>
      <w:r w:rsidRPr="009A767D">
        <w:rPr>
          <w:rFonts w:cstheme="minorHAnsi"/>
          <w:color w:val="000000"/>
          <w:szCs w:val="24"/>
        </w:rPr>
        <w:t>Další požadavky:</w:t>
      </w:r>
    </w:p>
    <w:p w14:paraId="00E65B6F" w14:textId="77777777" w:rsidR="00E119B9" w:rsidRPr="009A767D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/>
          <w:szCs w:val="24"/>
        </w:rPr>
      </w:pPr>
      <w:r w:rsidRPr="009A767D">
        <w:rPr>
          <w:rFonts w:cstheme="minorHAnsi"/>
          <w:color w:val="000000"/>
          <w:szCs w:val="24"/>
        </w:rPr>
        <w:t>Výroba 8 ks podložek (podle podkladu) v </w:t>
      </w:r>
      <w:proofErr w:type="spellStart"/>
      <w:r w:rsidRPr="009A767D">
        <w:rPr>
          <w:rFonts w:cstheme="minorHAnsi"/>
          <w:color w:val="000000"/>
          <w:szCs w:val="24"/>
        </w:rPr>
        <w:t>tl</w:t>
      </w:r>
      <w:proofErr w:type="spellEnd"/>
      <w:r w:rsidRPr="009A767D">
        <w:rPr>
          <w:rFonts w:cstheme="minorHAnsi"/>
          <w:color w:val="000000"/>
          <w:szCs w:val="24"/>
        </w:rPr>
        <w:t>. 4 mm z pevného materiálu (plast, překližka atd.), které budou určeny pro účastníky soutěže</w:t>
      </w:r>
    </w:p>
    <w:p w14:paraId="204E6A32" w14:textId="77777777" w:rsidR="00E119B9" w:rsidRPr="009A767D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/>
          <w:szCs w:val="24"/>
        </w:rPr>
      </w:pPr>
      <w:r w:rsidRPr="009A767D">
        <w:rPr>
          <w:rFonts w:cstheme="minorHAnsi"/>
          <w:szCs w:val="24"/>
        </w:rPr>
        <w:t>pro potřeby soutěže vynechání místa pro vkládací model v požadovaném rozsahu</w:t>
      </w:r>
      <w:r w:rsidRPr="009A767D">
        <w:rPr>
          <w:rFonts w:cstheme="minorHAnsi"/>
          <w:color w:val="000000"/>
          <w:szCs w:val="24"/>
        </w:rPr>
        <w:t xml:space="preserve"> </w:t>
      </w:r>
    </w:p>
    <w:p w14:paraId="7B4CD4D5" w14:textId="77777777" w:rsidR="00E119B9" w:rsidRPr="009A767D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/>
          <w:szCs w:val="24"/>
        </w:rPr>
      </w:pPr>
      <w:r w:rsidRPr="009A767D">
        <w:rPr>
          <w:rFonts w:cstheme="minorHAnsi"/>
          <w:szCs w:val="24"/>
        </w:rPr>
        <w:t>otvor v místě pro vkládací model (alespoň průměr 8 cm) pro možnost vyjmutí vkládacího modelu</w:t>
      </w:r>
      <w:r w:rsidRPr="009A767D">
        <w:rPr>
          <w:rFonts w:cstheme="minorHAnsi"/>
          <w:color w:val="000000"/>
          <w:szCs w:val="24"/>
        </w:rPr>
        <w:t xml:space="preserve"> </w:t>
      </w:r>
    </w:p>
    <w:p w14:paraId="4D8DDE76" w14:textId="77777777" w:rsidR="00E119B9" w:rsidRPr="009A767D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/>
          <w:szCs w:val="24"/>
        </w:rPr>
      </w:pPr>
      <w:r w:rsidRPr="009A767D">
        <w:rPr>
          <w:rFonts w:cstheme="minorHAnsi"/>
          <w:color w:val="000000"/>
          <w:szCs w:val="24"/>
        </w:rPr>
        <w:t>stafáž – stromy (dle přiložené situace v DWG) v bílé barvě</w:t>
      </w:r>
    </w:p>
    <w:p w14:paraId="569C2677" w14:textId="77777777" w:rsidR="00E119B9" w:rsidRPr="009A767D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color w:val="000000"/>
          <w:szCs w:val="24"/>
        </w:rPr>
      </w:pPr>
      <w:r w:rsidRPr="009A767D">
        <w:rPr>
          <w:rFonts w:cstheme="minorHAnsi"/>
          <w:szCs w:val="24"/>
        </w:rPr>
        <w:t>kontrolní dny v průběhu zpracování modelu (rozpracovanost terénu, rozpracovanost zástavby, příp. další)</w:t>
      </w:r>
    </w:p>
    <w:p w14:paraId="3F7C75A7" w14:textId="77777777" w:rsidR="00E119B9" w:rsidRPr="009A767D" w:rsidRDefault="00E119B9" w:rsidP="00E119B9">
      <w:pPr>
        <w:rPr>
          <w:rFonts w:cstheme="minorHAnsi"/>
          <w:szCs w:val="24"/>
        </w:rPr>
      </w:pPr>
    </w:p>
    <w:p w14:paraId="24BA5A04" w14:textId="77777777" w:rsidR="00E119B9" w:rsidRPr="009A767D" w:rsidRDefault="00E119B9" w:rsidP="00E119B9">
      <w:pPr>
        <w:rPr>
          <w:rFonts w:cstheme="minorHAnsi"/>
          <w:szCs w:val="24"/>
        </w:rPr>
      </w:pPr>
    </w:p>
    <w:p w14:paraId="1C1C16D5" w14:textId="77777777" w:rsidR="00E119B9" w:rsidRDefault="00E119B9" w:rsidP="00E119B9">
      <w:pPr>
        <w:spacing w:after="120"/>
        <w:rPr>
          <w:rFonts w:cs="Tahoma"/>
          <w:color w:val="000000"/>
          <w:szCs w:val="20"/>
        </w:rPr>
      </w:pPr>
    </w:p>
    <w:p w14:paraId="7CA4B8E0" w14:textId="77777777" w:rsidR="00E119B9" w:rsidRDefault="00E119B9" w:rsidP="00E119B9">
      <w:pPr>
        <w:rPr>
          <w:szCs w:val="24"/>
        </w:rPr>
      </w:pPr>
      <w:r>
        <w:rPr>
          <w:rFonts w:cs="Tahoma"/>
          <w:color w:val="000000"/>
          <w:szCs w:val="20"/>
        </w:rPr>
        <w:t xml:space="preserve"> </w:t>
      </w:r>
    </w:p>
    <w:p w14:paraId="56555EDD" w14:textId="77777777" w:rsidR="00E119B9" w:rsidRDefault="00E119B9" w:rsidP="00E119B9">
      <w:p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br w:type="page"/>
      </w:r>
    </w:p>
    <w:p w14:paraId="242516EF" w14:textId="77777777" w:rsidR="00E119B9" w:rsidRDefault="00E119B9" w:rsidP="00E119B9">
      <w:pPr>
        <w:spacing w:after="120"/>
        <w:rPr>
          <w:rFonts w:cs="Tahoma"/>
          <w:b/>
          <w:bCs/>
          <w:color w:val="000000"/>
          <w:sz w:val="22"/>
        </w:rPr>
      </w:pPr>
      <w:r>
        <w:rPr>
          <w:rFonts w:cs="Tahoma"/>
          <w:b/>
          <w:bCs/>
          <w:color w:val="000000"/>
          <w:sz w:val="22"/>
        </w:rPr>
        <w:lastRenderedPageBreak/>
        <w:t>Vizualizace modelu</w:t>
      </w:r>
      <w:r>
        <w:rPr>
          <w:rStyle w:val="Znakapoznpodarou"/>
          <w:rFonts w:cs="Tahoma"/>
          <w:b/>
          <w:bCs/>
          <w:color w:val="000000"/>
          <w:sz w:val="22"/>
        </w:rPr>
        <w:footnoteReference w:id="1"/>
      </w:r>
    </w:p>
    <w:p w14:paraId="46E6B5D1" w14:textId="77777777" w:rsidR="00C63FEF" w:rsidRDefault="00C63FEF" w:rsidP="00E119B9">
      <w:pPr>
        <w:spacing w:after="120"/>
        <w:rPr>
          <w:rFonts w:cs="Tahoma"/>
          <w:b/>
          <w:bCs/>
          <w:color w:val="000000"/>
          <w:sz w:val="22"/>
        </w:rPr>
      </w:pPr>
    </w:p>
    <w:p w14:paraId="3DED8FB6" w14:textId="76560D02" w:rsidR="00E119B9" w:rsidRDefault="00E119B9" w:rsidP="00E119B9">
      <w:pPr>
        <w:spacing w:after="120"/>
        <w:jc w:val="center"/>
        <w:rPr>
          <w:rFonts w:cs="Tahoma"/>
          <w:b/>
          <w:bCs/>
          <w:color w:val="000000"/>
          <w:sz w:val="22"/>
        </w:rPr>
      </w:pPr>
      <w:r>
        <w:rPr>
          <w:rFonts w:cs="Tahoma"/>
          <w:b/>
          <w:noProof/>
          <w:color w:val="000000"/>
          <w:sz w:val="22"/>
        </w:rPr>
        <w:drawing>
          <wp:inline distT="0" distB="0" distL="0" distR="0" wp14:anchorId="0EEECFE8" wp14:editId="42A034D9">
            <wp:extent cx="5762625" cy="3152775"/>
            <wp:effectExtent l="0" t="0" r="9525" b="9525"/>
            <wp:docPr id="19909976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1E7E" w14:textId="2F77F0B5" w:rsidR="00E119B9" w:rsidRDefault="00E119B9" w:rsidP="00E119B9">
      <w:pPr>
        <w:spacing w:after="120"/>
        <w:rPr>
          <w:rFonts w:cs="Tahoma"/>
          <w:b/>
          <w:bCs/>
          <w:color w:val="000000"/>
          <w:sz w:val="22"/>
        </w:rPr>
      </w:pPr>
    </w:p>
    <w:p w14:paraId="2231BEC3" w14:textId="0DE1B885" w:rsidR="00E119B9" w:rsidRPr="00A95D3F" w:rsidRDefault="00E119B9" w:rsidP="00E119B9">
      <w:pPr>
        <w:rPr>
          <w:rFonts w:cs="Tahoma"/>
          <w:b/>
          <w:bCs/>
          <w:color w:val="000000"/>
          <w:szCs w:val="24"/>
        </w:rPr>
      </w:pPr>
      <w:r>
        <w:rPr>
          <w:rFonts w:cs="Tahoma"/>
          <w:b/>
          <w:bCs/>
          <w:color w:val="000000"/>
          <w:sz w:val="22"/>
        </w:rPr>
        <w:br w:type="page"/>
      </w:r>
      <w:r w:rsidR="00C63FEF" w:rsidRPr="00A95D3F">
        <w:rPr>
          <w:rFonts w:cs="Tahoma"/>
          <w:b/>
          <w:bCs/>
          <w:color w:val="000000"/>
          <w:szCs w:val="24"/>
        </w:rPr>
        <w:lastRenderedPageBreak/>
        <w:t xml:space="preserve">Příloha č. </w:t>
      </w:r>
      <w:r w:rsidR="00A95D3F" w:rsidRPr="00A95D3F">
        <w:rPr>
          <w:rFonts w:cs="Tahoma"/>
          <w:b/>
          <w:bCs/>
          <w:color w:val="000000"/>
          <w:szCs w:val="24"/>
        </w:rPr>
        <w:t>2</w:t>
      </w:r>
      <w:r w:rsidR="00C63FEF" w:rsidRPr="00A95D3F">
        <w:rPr>
          <w:rFonts w:cs="Tahoma"/>
          <w:b/>
          <w:bCs/>
          <w:color w:val="000000"/>
          <w:szCs w:val="24"/>
        </w:rPr>
        <w:t xml:space="preserve"> – </w:t>
      </w:r>
      <w:r w:rsidRPr="00A95D3F">
        <w:rPr>
          <w:rFonts w:cs="Tahoma"/>
          <w:b/>
          <w:bCs/>
          <w:color w:val="000000"/>
          <w:szCs w:val="24"/>
        </w:rPr>
        <w:t>Podkladová data</w:t>
      </w:r>
    </w:p>
    <w:p w14:paraId="69700366" w14:textId="2017360A" w:rsidR="00E119B9" w:rsidRDefault="00E119B9" w:rsidP="00E119B9">
      <w:pPr>
        <w:rPr>
          <w:rFonts w:cs="Tahoma"/>
          <w:sz w:val="20"/>
          <w:szCs w:val="20"/>
        </w:rPr>
      </w:pPr>
      <w:r>
        <w:rPr>
          <w:rFonts w:cs="Tahoma"/>
          <w:szCs w:val="20"/>
        </w:rPr>
        <w:t xml:space="preserve">Podkladová data pro vytvoření modelu tvoří přílohu č. </w:t>
      </w:r>
      <w:r w:rsidR="009A767D">
        <w:rPr>
          <w:rFonts w:cs="Tahoma"/>
          <w:szCs w:val="20"/>
        </w:rPr>
        <w:t>2</w:t>
      </w:r>
      <w:r>
        <w:rPr>
          <w:rFonts w:cs="Tahoma"/>
          <w:szCs w:val="20"/>
        </w:rPr>
        <w:t xml:space="preserve">, která tvoří nedílnou součást této </w:t>
      </w:r>
      <w:r w:rsidR="009A767D">
        <w:rPr>
          <w:rFonts w:cs="Tahoma"/>
          <w:szCs w:val="20"/>
        </w:rPr>
        <w:t>smlouvy</w:t>
      </w:r>
      <w:r>
        <w:rPr>
          <w:rFonts w:cs="Tahoma"/>
          <w:szCs w:val="20"/>
        </w:rPr>
        <w:t>.</w:t>
      </w:r>
    </w:p>
    <w:p w14:paraId="093F419D" w14:textId="77777777" w:rsidR="00E119B9" w:rsidRDefault="00E119B9" w:rsidP="00E119B9">
      <w:pPr>
        <w:rPr>
          <w:rFonts w:cs="Tahoma"/>
          <w:b/>
          <w:bCs/>
          <w:sz w:val="22"/>
        </w:rPr>
      </w:pPr>
    </w:p>
    <w:p w14:paraId="5AC4EA8B" w14:textId="77777777" w:rsidR="00E119B9" w:rsidRDefault="00E119B9" w:rsidP="00E119B9">
      <w:pPr>
        <w:rPr>
          <w:rFonts w:cs="Tahoma"/>
          <w:sz w:val="20"/>
          <w:szCs w:val="20"/>
        </w:rPr>
      </w:pPr>
      <w:r>
        <w:rPr>
          <w:rFonts w:cs="Tahoma"/>
          <w:szCs w:val="20"/>
        </w:rPr>
        <w:t xml:space="preserve">Podkladová data jsou v měřítku 1:1, dodavatel si musí data upravit do požadovaného měřítka. Specifikace výšek jednotlivých objektů a hmot je v podkladových datech možné zjistit. </w:t>
      </w:r>
    </w:p>
    <w:p w14:paraId="4F66AD6A" w14:textId="77777777" w:rsidR="00E119B9" w:rsidRDefault="00E119B9" w:rsidP="00E119B9">
      <w:pPr>
        <w:rPr>
          <w:rFonts w:cs="Tahoma"/>
          <w:szCs w:val="20"/>
        </w:rPr>
      </w:pPr>
      <w:r>
        <w:rPr>
          <w:rFonts w:cs="Tahoma"/>
          <w:szCs w:val="20"/>
        </w:rPr>
        <w:t xml:space="preserve">Jedná se o hmotový model, míra detailu pokladových dat odpovídá požadované míře detailu fyzického modelu. Dodavatel nemusí doplňovat detaily u dominant města. </w:t>
      </w:r>
    </w:p>
    <w:p w14:paraId="311789F5" w14:textId="77777777" w:rsidR="00E119B9" w:rsidRDefault="00E119B9" w:rsidP="00E119B9">
      <w:pPr>
        <w:rPr>
          <w:rFonts w:cs="Tahoma"/>
          <w:szCs w:val="20"/>
        </w:rPr>
      </w:pPr>
    </w:p>
    <w:p w14:paraId="6F145CA9" w14:textId="77777777" w:rsidR="00E119B9" w:rsidRDefault="00E119B9" w:rsidP="00E119B9">
      <w:pPr>
        <w:rPr>
          <w:rFonts w:cs="Tahoma"/>
          <w:szCs w:val="20"/>
        </w:rPr>
      </w:pPr>
      <w:r>
        <w:rPr>
          <w:rFonts w:cs="Tahoma"/>
          <w:szCs w:val="20"/>
        </w:rPr>
        <w:t>Formát podkladových dat:</w:t>
      </w:r>
    </w:p>
    <w:p w14:paraId="7B33A55E" w14:textId="77777777" w:rsidR="00E119B9" w:rsidRDefault="00E119B9" w:rsidP="00E119B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Model </w:t>
      </w:r>
      <w:proofErr w:type="gramStart"/>
      <w:r>
        <w:rPr>
          <w:rFonts w:cs="Tahoma"/>
          <w:szCs w:val="20"/>
        </w:rPr>
        <w:t>- .</w:t>
      </w:r>
      <w:proofErr w:type="spellStart"/>
      <w:r>
        <w:rPr>
          <w:rFonts w:cs="Tahoma"/>
          <w:szCs w:val="20"/>
        </w:rPr>
        <w:t>skp</w:t>
      </w:r>
      <w:proofErr w:type="spellEnd"/>
      <w:proofErr w:type="gramEnd"/>
      <w:r>
        <w:rPr>
          <w:rFonts w:cs="Tahoma"/>
          <w:szCs w:val="20"/>
        </w:rPr>
        <w:t>, .</w:t>
      </w:r>
      <w:proofErr w:type="spellStart"/>
      <w:r>
        <w:rPr>
          <w:rFonts w:cs="Tahoma"/>
          <w:szCs w:val="20"/>
        </w:rPr>
        <w:t>stl</w:t>
      </w:r>
      <w:proofErr w:type="spellEnd"/>
      <w:r>
        <w:rPr>
          <w:rFonts w:cs="Tahoma"/>
          <w:szCs w:val="20"/>
        </w:rPr>
        <w:t xml:space="preserve">, </w:t>
      </w:r>
      <w:proofErr w:type="spellStart"/>
      <w:r>
        <w:rPr>
          <w:rFonts w:cs="Tahoma"/>
          <w:szCs w:val="20"/>
        </w:rPr>
        <w:t>dwg</w:t>
      </w:r>
      <w:proofErr w:type="spellEnd"/>
    </w:p>
    <w:p w14:paraId="075C0F99" w14:textId="77777777" w:rsidR="00E119B9" w:rsidRDefault="00E119B9" w:rsidP="00E119B9">
      <w:pPr>
        <w:rPr>
          <w:rFonts w:cs="Tahoma"/>
          <w:szCs w:val="20"/>
        </w:rPr>
      </w:pPr>
    </w:p>
    <w:p w14:paraId="7826A835" w14:textId="61BF0C6E" w:rsidR="00E119B9" w:rsidRDefault="00E119B9" w:rsidP="00E119B9"/>
    <w:sectPr w:rsidR="00E119B9" w:rsidSect="00C23E9E">
      <w:footerReference w:type="default" r:id="rId9"/>
      <w:headerReference w:type="first" r:id="rId10"/>
      <w:footerReference w:type="first" r:id="rId11"/>
      <w:pgSz w:w="11906" w:h="16838"/>
      <w:pgMar w:top="1134" w:right="1418" w:bottom="1797" w:left="1134" w:header="1020" w:footer="1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B44B" w14:textId="77777777" w:rsidR="00305EE0" w:rsidRDefault="00305EE0" w:rsidP="008F7249">
      <w:pPr>
        <w:spacing w:after="0" w:line="240" w:lineRule="auto"/>
      </w:pPr>
      <w:r>
        <w:separator/>
      </w:r>
    </w:p>
  </w:endnote>
  <w:endnote w:type="continuationSeparator" w:id="0">
    <w:p w14:paraId="3400E264" w14:textId="77777777" w:rsidR="00305EE0" w:rsidRDefault="00305EE0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7E3A5B7" w14:textId="77777777" w:rsidR="00E15438" w:rsidRDefault="00E15438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3046" w14:textId="77777777" w:rsidR="00E15438" w:rsidRDefault="00E15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75A041D3" w14:textId="7291FCEC" w:rsidR="00E15438" w:rsidRDefault="00E15438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0A3C9B" w14:textId="77777777" w:rsidR="00E15438" w:rsidRDefault="00E15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264B" w14:textId="77777777" w:rsidR="00305EE0" w:rsidRDefault="00305EE0" w:rsidP="008F7249">
      <w:pPr>
        <w:spacing w:after="0" w:line="240" w:lineRule="auto"/>
      </w:pPr>
      <w:r>
        <w:separator/>
      </w:r>
    </w:p>
  </w:footnote>
  <w:footnote w:type="continuationSeparator" w:id="0">
    <w:p w14:paraId="54BD1691" w14:textId="77777777" w:rsidR="00305EE0" w:rsidRDefault="00305EE0" w:rsidP="008F7249">
      <w:pPr>
        <w:spacing w:after="0" w:line="240" w:lineRule="auto"/>
      </w:pPr>
      <w:r>
        <w:continuationSeparator/>
      </w:r>
    </w:p>
  </w:footnote>
  <w:footnote w:id="1">
    <w:p w14:paraId="71CF0B37" w14:textId="47933D17" w:rsidR="00E119B9" w:rsidRDefault="00E119B9" w:rsidP="00E119B9">
      <w:pPr>
        <w:pStyle w:val="Textpoznpodarou"/>
      </w:pPr>
      <w:r>
        <w:rPr>
          <w:rStyle w:val="Znakapoznpodarou"/>
        </w:rPr>
        <w:footnoteRef/>
      </w:r>
      <w:r>
        <w:t xml:space="preserve"> Pouze ilustrační vizualizace. Podkladová data v příloze č. </w:t>
      </w:r>
      <w:r w:rsidR="009A767D">
        <w:t>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EEA7" w14:textId="4AE2B64B" w:rsidR="00C23E9E" w:rsidRDefault="00C23E9E">
    <w:pPr>
      <w:pStyle w:val="Zhlav"/>
    </w:pPr>
    <w:r>
      <w:t>Smlouva číslo: D/003/2024</w:t>
    </w:r>
  </w:p>
  <w:p w14:paraId="77E9DC82" w14:textId="77777777" w:rsidR="00C23E9E" w:rsidRDefault="00C23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1850630B"/>
    <w:multiLevelType w:val="hybridMultilevel"/>
    <w:tmpl w:val="CF78B4C8"/>
    <w:lvl w:ilvl="0" w:tplc="1BCCB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570670"/>
    <w:multiLevelType w:val="hybridMultilevel"/>
    <w:tmpl w:val="2A4E4F96"/>
    <w:lvl w:ilvl="0" w:tplc="79D0B1D8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7A3EC1"/>
    <w:multiLevelType w:val="hybridMultilevel"/>
    <w:tmpl w:val="EDE642AE"/>
    <w:lvl w:ilvl="0" w:tplc="108A0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2A2FB7"/>
    <w:multiLevelType w:val="hybridMultilevel"/>
    <w:tmpl w:val="A72272AE"/>
    <w:lvl w:ilvl="0" w:tplc="9460A830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8271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69893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05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055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66610">
    <w:abstractNumId w:val="10"/>
  </w:num>
  <w:num w:numId="6" w16cid:durableId="1991864788">
    <w:abstractNumId w:val="4"/>
  </w:num>
  <w:num w:numId="7" w16cid:durableId="1992513913">
    <w:abstractNumId w:val="3"/>
  </w:num>
  <w:num w:numId="8" w16cid:durableId="168368837">
    <w:abstractNumId w:val="6"/>
  </w:num>
  <w:num w:numId="9" w16cid:durableId="1281447963">
    <w:abstractNumId w:val="9"/>
  </w:num>
  <w:num w:numId="10" w16cid:durableId="933854848">
    <w:abstractNumId w:val="5"/>
  </w:num>
  <w:num w:numId="11" w16cid:durableId="2077584653">
    <w:abstractNumId w:val="3"/>
  </w:num>
  <w:num w:numId="12" w16cid:durableId="276379226">
    <w:abstractNumId w:val="3"/>
  </w:num>
  <w:num w:numId="13" w16cid:durableId="539322266">
    <w:abstractNumId w:val="8"/>
  </w:num>
  <w:num w:numId="14" w16cid:durableId="101056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00700C"/>
    <w:rsid w:val="00007DE4"/>
    <w:rsid w:val="000202F7"/>
    <w:rsid w:val="00033C4A"/>
    <w:rsid w:val="000341BE"/>
    <w:rsid w:val="00034EB2"/>
    <w:rsid w:val="00040DDF"/>
    <w:rsid w:val="000478B4"/>
    <w:rsid w:val="00072FD0"/>
    <w:rsid w:val="000A6F27"/>
    <w:rsid w:val="000C3523"/>
    <w:rsid w:val="000C7ECD"/>
    <w:rsid w:val="000E2D1F"/>
    <w:rsid w:val="000E565C"/>
    <w:rsid w:val="000F568F"/>
    <w:rsid w:val="0010650C"/>
    <w:rsid w:val="00120438"/>
    <w:rsid w:val="00122C72"/>
    <w:rsid w:val="001365A2"/>
    <w:rsid w:val="00155851"/>
    <w:rsid w:val="0018252B"/>
    <w:rsid w:val="001A28C1"/>
    <w:rsid w:val="001F3E11"/>
    <w:rsid w:val="001F7E83"/>
    <w:rsid w:val="00201532"/>
    <w:rsid w:val="00203794"/>
    <w:rsid w:val="002038B1"/>
    <w:rsid w:val="0020483D"/>
    <w:rsid w:val="00216843"/>
    <w:rsid w:val="002214E9"/>
    <w:rsid w:val="00233754"/>
    <w:rsid w:val="00236AF6"/>
    <w:rsid w:val="002404BD"/>
    <w:rsid w:val="0024417C"/>
    <w:rsid w:val="0025101B"/>
    <w:rsid w:val="00251FE0"/>
    <w:rsid w:val="0026210E"/>
    <w:rsid w:val="00270EE5"/>
    <w:rsid w:val="00291D28"/>
    <w:rsid w:val="0029348A"/>
    <w:rsid w:val="00297341"/>
    <w:rsid w:val="002A2098"/>
    <w:rsid w:val="002A4D0E"/>
    <w:rsid w:val="002B0679"/>
    <w:rsid w:val="002B5CAA"/>
    <w:rsid w:val="002B7C37"/>
    <w:rsid w:val="002D2192"/>
    <w:rsid w:val="002D2B70"/>
    <w:rsid w:val="002F50AF"/>
    <w:rsid w:val="00305EE0"/>
    <w:rsid w:val="00306B48"/>
    <w:rsid w:val="003124DD"/>
    <w:rsid w:val="003159F0"/>
    <w:rsid w:val="00331AC4"/>
    <w:rsid w:val="00352E14"/>
    <w:rsid w:val="00373C36"/>
    <w:rsid w:val="00395392"/>
    <w:rsid w:val="003B6B88"/>
    <w:rsid w:val="003C3CD9"/>
    <w:rsid w:val="003C523D"/>
    <w:rsid w:val="003D1F3E"/>
    <w:rsid w:val="003F1A57"/>
    <w:rsid w:val="0040347A"/>
    <w:rsid w:val="00407E78"/>
    <w:rsid w:val="00431254"/>
    <w:rsid w:val="004327D9"/>
    <w:rsid w:val="00433E1F"/>
    <w:rsid w:val="00434D4E"/>
    <w:rsid w:val="00437506"/>
    <w:rsid w:val="00440E6D"/>
    <w:rsid w:val="0044314B"/>
    <w:rsid w:val="00444833"/>
    <w:rsid w:val="00462B22"/>
    <w:rsid w:val="00487419"/>
    <w:rsid w:val="004877E7"/>
    <w:rsid w:val="004925CD"/>
    <w:rsid w:val="00494CC2"/>
    <w:rsid w:val="004B2BEE"/>
    <w:rsid w:val="004C2D88"/>
    <w:rsid w:val="004D1006"/>
    <w:rsid w:val="004D221A"/>
    <w:rsid w:val="004D7C4F"/>
    <w:rsid w:val="004F0ADA"/>
    <w:rsid w:val="00510930"/>
    <w:rsid w:val="00512703"/>
    <w:rsid w:val="00525C75"/>
    <w:rsid w:val="00532F25"/>
    <w:rsid w:val="005358C3"/>
    <w:rsid w:val="00542859"/>
    <w:rsid w:val="00543033"/>
    <w:rsid w:val="0054512C"/>
    <w:rsid w:val="0055580A"/>
    <w:rsid w:val="00563712"/>
    <w:rsid w:val="005650F5"/>
    <w:rsid w:val="00585826"/>
    <w:rsid w:val="005911A5"/>
    <w:rsid w:val="0059163A"/>
    <w:rsid w:val="00597CEF"/>
    <w:rsid w:val="005A023C"/>
    <w:rsid w:val="005A62AF"/>
    <w:rsid w:val="005B065E"/>
    <w:rsid w:val="005C2175"/>
    <w:rsid w:val="005E6368"/>
    <w:rsid w:val="005F3F80"/>
    <w:rsid w:val="006004F8"/>
    <w:rsid w:val="0060127F"/>
    <w:rsid w:val="00602367"/>
    <w:rsid w:val="006024A7"/>
    <w:rsid w:val="006149E8"/>
    <w:rsid w:val="006176F7"/>
    <w:rsid w:val="006249FA"/>
    <w:rsid w:val="00626538"/>
    <w:rsid w:val="00645355"/>
    <w:rsid w:val="00646BED"/>
    <w:rsid w:val="00657E22"/>
    <w:rsid w:val="00681E5C"/>
    <w:rsid w:val="006825A7"/>
    <w:rsid w:val="006826CD"/>
    <w:rsid w:val="00686E84"/>
    <w:rsid w:val="00697B4D"/>
    <w:rsid w:val="006B27F1"/>
    <w:rsid w:val="006B43D5"/>
    <w:rsid w:val="006B6C90"/>
    <w:rsid w:val="006C3B6A"/>
    <w:rsid w:val="006C573A"/>
    <w:rsid w:val="006D01E1"/>
    <w:rsid w:val="006D135F"/>
    <w:rsid w:val="006E50BD"/>
    <w:rsid w:val="00726E22"/>
    <w:rsid w:val="007370CF"/>
    <w:rsid w:val="00745AE7"/>
    <w:rsid w:val="0075131F"/>
    <w:rsid w:val="0075610A"/>
    <w:rsid w:val="00780679"/>
    <w:rsid w:val="0079637D"/>
    <w:rsid w:val="007A7F8E"/>
    <w:rsid w:val="007B651B"/>
    <w:rsid w:val="007B68F9"/>
    <w:rsid w:val="007C08A9"/>
    <w:rsid w:val="007D0A6C"/>
    <w:rsid w:val="007D4012"/>
    <w:rsid w:val="007D48B8"/>
    <w:rsid w:val="007E1C73"/>
    <w:rsid w:val="007E255D"/>
    <w:rsid w:val="007E32BE"/>
    <w:rsid w:val="007F6584"/>
    <w:rsid w:val="008061F8"/>
    <w:rsid w:val="008171FE"/>
    <w:rsid w:val="00824F29"/>
    <w:rsid w:val="0085797F"/>
    <w:rsid w:val="0087344B"/>
    <w:rsid w:val="008B03F3"/>
    <w:rsid w:val="008B6148"/>
    <w:rsid w:val="008C3E25"/>
    <w:rsid w:val="008D6232"/>
    <w:rsid w:val="008E720A"/>
    <w:rsid w:val="008E7E32"/>
    <w:rsid w:val="008F303E"/>
    <w:rsid w:val="008F7249"/>
    <w:rsid w:val="009031AE"/>
    <w:rsid w:val="009451F6"/>
    <w:rsid w:val="00951F43"/>
    <w:rsid w:val="00985C77"/>
    <w:rsid w:val="00992805"/>
    <w:rsid w:val="009A1F4B"/>
    <w:rsid w:val="009A484D"/>
    <w:rsid w:val="009A767D"/>
    <w:rsid w:val="009C09EC"/>
    <w:rsid w:val="009E0DC8"/>
    <w:rsid w:val="009E276C"/>
    <w:rsid w:val="009F654E"/>
    <w:rsid w:val="00A02EF8"/>
    <w:rsid w:val="00A050DB"/>
    <w:rsid w:val="00A20747"/>
    <w:rsid w:val="00A26D1F"/>
    <w:rsid w:val="00A30F88"/>
    <w:rsid w:val="00A324FA"/>
    <w:rsid w:val="00A36653"/>
    <w:rsid w:val="00A55835"/>
    <w:rsid w:val="00A71674"/>
    <w:rsid w:val="00A81661"/>
    <w:rsid w:val="00A843A7"/>
    <w:rsid w:val="00A847ED"/>
    <w:rsid w:val="00A85BFA"/>
    <w:rsid w:val="00A86AB4"/>
    <w:rsid w:val="00A92831"/>
    <w:rsid w:val="00A94786"/>
    <w:rsid w:val="00A95D3F"/>
    <w:rsid w:val="00AD2DEC"/>
    <w:rsid w:val="00AD2DF5"/>
    <w:rsid w:val="00AF33E9"/>
    <w:rsid w:val="00AF6FBE"/>
    <w:rsid w:val="00B060B6"/>
    <w:rsid w:val="00B16E12"/>
    <w:rsid w:val="00B24757"/>
    <w:rsid w:val="00B325B5"/>
    <w:rsid w:val="00B4210A"/>
    <w:rsid w:val="00B42155"/>
    <w:rsid w:val="00B62292"/>
    <w:rsid w:val="00B77C66"/>
    <w:rsid w:val="00BA60F0"/>
    <w:rsid w:val="00BC40DC"/>
    <w:rsid w:val="00BD2262"/>
    <w:rsid w:val="00BD2FAC"/>
    <w:rsid w:val="00C00D8F"/>
    <w:rsid w:val="00C15EEA"/>
    <w:rsid w:val="00C216C1"/>
    <w:rsid w:val="00C22D96"/>
    <w:rsid w:val="00C23E9E"/>
    <w:rsid w:val="00C2686A"/>
    <w:rsid w:val="00C319B8"/>
    <w:rsid w:val="00C53677"/>
    <w:rsid w:val="00C63FEF"/>
    <w:rsid w:val="00C6499C"/>
    <w:rsid w:val="00C66CC9"/>
    <w:rsid w:val="00C72356"/>
    <w:rsid w:val="00C745CB"/>
    <w:rsid w:val="00C75BD2"/>
    <w:rsid w:val="00C76427"/>
    <w:rsid w:val="00C766A2"/>
    <w:rsid w:val="00C77D67"/>
    <w:rsid w:val="00C80247"/>
    <w:rsid w:val="00C907E6"/>
    <w:rsid w:val="00CA29DF"/>
    <w:rsid w:val="00CA367D"/>
    <w:rsid w:val="00CA5DFB"/>
    <w:rsid w:val="00CD21E6"/>
    <w:rsid w:val="00CD26B6"/>
    <w:rsid w:val="00CE46CE"/>
    <w:rsid w:val="00CF3C0E"/>
    <w:rsid w:val="00D21A77"/>
    <w:rsid w:val="00D25245"/>
    <w:rsid w:val="00D26BC9"/>
    <w:rsid w:val="00D338B2"/>
    <w:rsid w:val="00D3454A"/>
    <w:rsid w:val="00D460AC"/>
    <w:rsid w:val="00D5470C"/>
    <w:rsid w:val="00D54B5D"/>
    <w:rsid w:val="00D60BE0"/>
    <w:rsid w:val="00D6256F"/>
    <w:rsid w:val="00D939DD"/>
    <w:rsid w:val="00D9476A"/>
    <w:rsid w:val="00DC0B33"/>
    <w:rsid w:val="00DD77A3"/>
    <w:rsid w:val="00DE273F"/>
    <w:rsid w:val="00DE5908"/>
    <w:rsid w:val="00DF7770"/>
    <w:rsid w:val="00E112BF"/>
    <w:rsid w:val="00E119B9"/>
    <w:rsid w:val="00E130FB"/>
    <w:rsid w:val="00E15438"/>
    <w:rsid w:val="00E21E43"/>
    <w:rsid w:val="00E24F13"/>
    <w:rsid w:val="00E35052"/>
    <w:rsid w:val="00E4310D"/>
    <w:rsid w:val="00E44F5C"/>
    <w:rsid w:val="00E51C9B"/>
    <w:rsid w:val="00E6059C"/>
    <w:rsid w:val="00E60C2A"/>
    <w:rsid w:val="00E74DF7"/>
    <w:rsid w:val="00E90877"/>
    <w:rsid w:val="00EA223E"/>
    <w:rsid w:val="00EB7180"/>
    <w:rsid w:val="00EB77D0"/>
    <w:rsid w:val="00EB7C54"/>
    <w:rsid w:val="00EE6D54"/>
    <w:rsid w:val="00EF0DA0"/>
    <w:rsid w:val="00EF7819"/>
    <w:rsid w:val="00F055FB"/>
    <w:rsid w:val="00F12798"/>
    <w:rsid w:val="00F154CE"/>
    <w:rsid w:val="00F16D9A"/>
    <w:rsid w:val="00F455C5"/>
    <w:rsid w:val="00F50A1E"/>
    <w:rsid w:val="00F67B51"/>
    <w:rsid w:val="00F72A95"/>
    <w:rsid w:val="00F73C30"/>
    <w:rsid w:val="00F74931"/>
    <w:rsid w:val="00F74A7B"/>
    <w:rsid w:val="00F76D1D"/>
    <w:rsid w:val="00F94482"/>
    <w:rsid w:val="00FA1356"/>
    <w:rsid w:val="00FA45E8"/>
    <w:rsid w:val="00FB41AA"/>
    <w:rsid w:val="00FB619C"/>
    <w:rsid w:val="00FB73EE"/>
    <w:rsid w:val="00FD381C"/>
    <w:rsid w:val="00FE5998"/>
    <w:rsid w:val="00FF1226"/>
    <w:rsid w:val="00FF4638"/>
    <w:rsid w:val="00FF6A33"/>
    <w:rsid w:val="08804487"/>
    <w:rsid w:val="0A812CCF"/>
    <w:rsid w:val="0B0BD57E"/>
    <w:rsid w:val="13352A3D"/>
    <w:rsid w:val="1FE71B8A"/>
    <w:rsid w:val="3349C636"/>
    <w:rsid w:val="379FA483"/>
    <w:rsid w:val="46F783E5"/>
    <w:rsid w:val="4D4C6694"/>
    <w:rsid w:val="4FAF7DB3"/>
    <w:rsid w:val="4FC6C302"/>
    <w:rsid w:val="656DEFD7"/>
    <w:rsid w:val="66B5E73A"/>
    <w:rsid w:val="6815E843"/>
    <w:rsid w:val="6A9474F4"/>
    <w:rsid w:val="703631E6"/>
    <w:rsid w:val="739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0200D4"/>
  <w15:chartTrackingRefBased/>
  <w15:docId w15:val="{F0614FFC-0017-49BE-988C-4ECBE98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7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D0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4877E7"/>
  </w:style>
  <w:style w:type="character" w:customStyle="1" w:styleId="eop">
    <w:name w:val="eop"/>
    <w:basedOn w:val="Standardnpsmoodstavce"/>
    <w:rsid w:val="004877E7"/>
  </w:style>
  <w:style w:type="paragraph" w:customStyle="1" w:styleId="2nesltext">
    <w:name w:val="2nečísl.text"/>
    <w:basedOn w:val="Normln"/>
    <w:qFormat/>
    <w:rsid w:val="0000700C"/>
    <w:pPr>
      <w:spacing w:before="240" w:after="240" w:line="240" w:lineRule="auto"/>
      <w:jc w:val="both"/>
    </w:pPr>
    <w:rPr>
      <w:rFonts w:ascii="Calibri" w:eastAsia="Calibri" w:hAnsi="Calibri" w:cs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19B9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19B9"/>
    <w:rPr>
      <w:rFonts w:ascii="Tahoma" w:hAnsi="Tahom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1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isk%20Google\KROUPAHEL&#193;N\KAM\Smlouva%20-%20p&#345;ekl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5B64-1FC4-4FB8-9149-B8F04B2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překlad</Template>
  <TotalTime>4</TotalTime>
  <Pages>10</Pages>
  <Words>2575</Words>
  <Characters>15199</Characters>
  <Application>Microsoft Office Word</Application>
  <DocSecurity>2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Vondráček | KROUPAHELÁN</dc:creator>
  <cp:keywords/>
  <dc:description/>
  <cp:lastModifiedBy>Petra Fránková</cp:lastModifiedBy>
  <cp:revision>3</cp:revision>
  <cp:lastPrinted>2024-03-11T14:32:00Z</cp:lastPrinted>
  <dcterms:created xsi:type="dcterms:W3CDTF">2024-03-28T10:54:00Z</dcterms:created>
  <dcterms:modified xsi:type="dcterms:W3CDTF">2024-03-28T10:55:00Z</dcterms:modified>
</cp:coreProperties>
</file>