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libri" w:hAnsi="Calibri" w:cs="Calibri"/>
          <w:b/>
          <w:b/>
        </w:rPr>
      </w:pPr>
      <w:r>
        <w:rPr>
          <w:rFonts w:cs="Calibri" w:ascii="Calibri" w:hAnsi="Calibri"/>
          <w:b/>
        </w:rPr>
      </w:r>
    </w:p>
    <w:p>
      <w:pPr>
        <w:pStyle w:val="Normal"/>
        <w:jc w:val="center"/>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rPr>
      </w:r>
    </w:p>
    <w:p>
      <w:pPr>
        <w:pStyle w:val="Normal"/>
        <w:jc w:val="center"/>
        <w:rPr>
          <w:rFonts w:ascii="Arial" w:hAnsi="Arial" w:cs="Arial"/>
          <w:b/>
          <w:b/>
          <w:sz w:val="28"/>
          <w:szCs w:val="28"/>
        </w:rPr>
      </w:pPr>
      <w:r>
        <w:rPr>
          <w:rFonts w:cs="Arial" w:ascii="Arial" w:hAnsi="Arial"/>
          <w:b/>
          <w:sz w:val="28"/>
          <w:szCs w:val="28"/>
        </w:rPr>
        <w:t>RÁMCOVÁ SMLOUVA O DODÁVKÁCH ZBOŽÍ</w:t>
      </w:r>
    </w:p>
    <w:p>
      <w:pPr>
        <w:pStyle w:val="Normal"/>
        <w:jc w:val="center"/>
        <w:rPr>
          <w:rFonts w:ascii="Arial" w:hAnsi="Arial" w:cs="Arial"/>
          <w:sz w:val="22"/>
          <w:szCs w:val="22"/>
        </w:rPr>
      </w:pPr>
      <w:r>
        <w:rPr>
          <w:rFonts w:cs="Arial" w:ascii="Arial" w:hAnsi="Arial"/>
          <w:sz w:val="22"/>
          <w:szCs w:val="22"/>
        </w:rPr>
      </w:r>
    </w:p>
    <w:p>
      <w:pPr>
        <w:pStyle w:val="Normal"/>
        <w:jc w:val="center"/>
        <w:rPr>
          <w:rFonts w:ascii="Arial" w:hAnsi="Arial" w:cs="Arial"/>
          <w:sz w:val="20"/>
          <w:szCs w:val="20"/>
        </w:rPr>
      </w:pPr>
      <w:r>
        <w:rPr>
          <w:rFonts w:cs="Arial" w:ascii="Arial" w:hAnsi="Arial"/>
          <w:sz w:val="20"/>
          <w:szCs w:val="20"/>
        </w:rPr>
        <w:t xml:space="preserve">uzavřená podle § 2079 a násl. zákona č. 89/2012 Sb., Občanský zákoník, v platném znění </w:t>
      </w:r>
    </w:p>
    <w:p>
      <w:pPr>
        <w:pStyle w:val="Normal"/>
        <w:jc w:val="center"/>
        <w:rPr>
          <w:rFonts w:ascii="Arial" w:hAnsi="Arial" w:cs="Arial"/>
          <w:sz w:val="20"/>
          <w:szCs w:val="20"/>
        </w:rPr>
      </w:pPr>
      <w:r>
        <w:rPr>
          <w:rFonts w:cs="Arial" w:ascii="Arial" w:hAnsi="Arial"/>
          <w:sz w:val="20"/>
          <w:szCs w:val="20"/>
        </w:rPr>
        <w:t>(dále jen „Občanský zákoník“)</w:t>
      </w:r>
    </w:p>
    <w:p>
      <w:pPr>
        <w:pStyle w:val="Normal"/>
        <w:jc w:val="center"/>
        <w:rPr>
          <w:rFonts w:ascii="Arial" w:hAnsi="Arial" w:cs="Arial"/>
          <w:sz w:val="20"/>
          <w:szCs w:val="20"/>
        </w:rPr>
      </w:pPr>
      <w:r>
        <w:rPr>
          <w:rFonts w:cs="Arial" w:ascii="Arial" w:hAnsi="Arial"/>
          <w:sz w:val="20"/>
          <w:szCs w:val="20"/>
        </w:rPr>
      </w:r>
    </w:p>
    <w:p>
      <w:pPr>
        <w:pStyle w:val="Normal"/>
        <w:jc w:val="center"/>
        <w:rPr>
          <w:rFonts w:ascii="Arial" w:hAnsi="Arial" w:cs="Arial"/>
          <w:sz w:val="20"/>
          <w:szCs w:val="20"/>
        </w:rPr>
      </w:pPr>
      <w:r>
        <w:rPr>
          <w:rFonts w:cs="Arial" w:ascii="Arial" w:hAnsi="Arial"/>
          <w:sz w:val="20"/>
          <w:szCs w:val="20"/>
        </w:rPr>
        <w:t>(dále jen „</w:t>
      </w:r>
      <w:r>
        <w:rPr>
          <w:rFonts w:cs="Arial" w:ascii="Arial" w:hAnsi="Arial"/>
          <w:b/>
          <w:sz w:val="20"/>
          <w:szCs w:val="20"/>
        </w:rPr>
        <w:t>Smlouva</w:t>
      </w:r>
      <w:r>
        <w:rPr>
          <w:rFonts w:cs="Arial" w:ascii="Arial" w:hAnsi="Arial"/>
          <w:sz w:val="20"/>
          <w:szCs w:val="20"/>
        </w:rPr>
        <w:t>“)</w:t>
      </w:r>
    </w:p>
    <w:p>
      <w:pPr>
        <w:pStyle w:val="Normal"/>
        <w:jc w:val="center"/>
        <w:rPr>
          <w:rFonts w:ascii="Arial" w:hAnsi="Arial" w:cs="Arial"/>
          <w:i/>
          <w:i/>
          <w:iCs/>
          <w:sz w:val="20"/>
          <w:szCs w:val="20"/>
        </w:rPr>
      </w:pPr>
      <w:r>
        <w:rPr>
          <w:rFonts w:cs="Arial" w:ascii="Arial" w:hAnsi="Arial"/>
          <w:i/>
          <w:iCs/>
          <w:sz w:val="20"/>
          <w:szCs w:val="20"/>
        </w:rPr>
      </w:r>
    </w:p>
    <w:p>
      <w:pPr>
        <w:pStyle w:val="Normal"/>
        <w:jc w:val="center"/>
        <w:rPr>
          <w:rFonts w:ascii="Arial" w:hAnsi="Arial" w:cs="Arial"/>
          <w:b/>
          <w:b/>
        </w:rPr>
      </w:pPr>
      <w:r>
        <w:rPr>
          <w:rFonts w:cs="Arial" w:ascii="Arial" w:hAnsi="Arial"/>
          <w:b/>
        </w:rPr>
      </w:r>
    </w:p>
    <w:p>
      <w:pPr>
        <w:pStyle w:val="Normal"/>
        <w:jc w:val="center"/>
        <w:rPr>
          <w:rFonts w:ascii="Arial" w:hAnsi="Arial" w:cs="Arial"/>
          <w:b/>
          <w:b/>
        </w:rPr>
      </w:pPr>
      <w:r>
        <w:rPr>
          <w:rFonts w:cs="Arial" w:ascii="Arial" w:hAnsi="Arial"/>
          <w:b/>
        </w:rPr>
      </w:r>
    </w:p>
    <w:p>
      <w:pPr>
        <w:pStyle w:val="Normal"/>
        <w:jc w:val="center"/>
        <w:rPr>
          <w:rFonts w:ascii="Arial" w:hAnsi="Arial" w:cs="Arial"/>
          <w:b/>
          <w:b/>
          <w:sz w:val="22"/>
          <w:szCs w:val="22"/>
        </w:rPr>
      </w:pPr>
      <w:r>
        <w:rPr>
          <w:rFonts w:cs="Arial" w:ascii="Arial" w:hAnsi="Arial"/>
          <w:b/>
          <w:sz w:val="22"/>
          <w:szCs w:val="22"/>
        </w:rPr>
        <w:t>I.</w:t>
      </w:r>
    </w:p>
    <w:p>
      <w:pPr>
        <w:pStyle w:val="Normal"/>
        <w:jc w:val="center"/>
        <w:rPr>
          <w:rFonts w:ascii="Arial" w:hAnsi="Arial" w:cs="Arial"/>
          <w:b/>
          <w:b/>
          <w:sz w:val="22"/>
          <w:szCs w:val="22"/>
        </w:rPr>
      </w:pPr>
      <w:r>
        <w:rPr>
          <w:rFonts w:cs="Arial" w:ascii="Arial" w:hAnsi="Arial"/>
          <w:b/>
          <w:sz w:val="22"/>
          <w:szCs w:val="22"/>
        </w:rPr>
        <w:t>Smluvní strany</w:t>
      </w:r>
    </w:p>
    <w:p>
      <w:pPr>
        <w:pStyle w:val="Normal"/>
        <w:rPr>
          <w:rFonts w:ascii="Arial" w:hAnsi="Arial" w:cs="Arial"/>
          <w:sz w:val="22"/>
          <w:szCs w:val="22"/>
        </w:rPr>
      </w:pPr>
      <w:r>
        <w:rPr>
          <w:rFonts w:cs="Arial" w:ascii="Arial" w:hAnsi="Arial"/>
          <w:sz w:val="22"/>
          <w:szCs w:val="22"/>
        </w:rPr>
      </w:r>
    </w:p>
    <w:p>
      <w:pPr>
        <w:pStyle w:val="Odstavec11"/>
        <w:numPr>
          <w:ilvl w:val="0"/>
          <w:numId w:val="2"/>
        </w:numPr>
        <w:spacing w:before="0" w:after="0"/>
        <w:ind w:left="426" w:hanging="360"/>
        <w:rPr>
          <w:rFonts w:ascii="Arial" w:hAnsi="Arial" w:cs="Arial"/>
          <w:sz w:val="22"/>
          <w:szCs w:val="22"/>
        </w:rPr>
      </w:pPr>
      <w:r>
        <w:rPr>
          <w:rFonts w:cs="Arial" w:ascii="Arial" w:hAnsi="Arial"/>
          <w:b/>
          <w:sz w:val="22"/>
          <w:szCs w:val="22"/>
        </w:rPr>
        <w:t>Mateřská škola Prostějov, Smetanova ul. 24 příspěvková organizace</w:t>
      </w:r>
    </w:p>
    <w:p>
      <w:pPr>
        <w:pStyle w:val="Odstavec11"/>
        <w:numPr>
          <w:ilvl w:val="0"/>
          <w:numId w:val="0"/>
        </w:numPr>
        <w:spacing w:before="0" w:after="0"/>
        <w:ind w:left="567" w:hanging="567"/>
        <w:rPr>
          <w:rFonts w:ascii="Arial" w:hAnsi="Arial" w:cs="Arial"/>
          <w:b/>
          <w:b/>
          <w:color w:val="00B050"/>
          <w:sz w:val="22"/>
          <w:szCs w:val="22"/>
        </w:rPr>
      </w:pPr>
      <w:r>
        <w:rPr>
          <w:rFonts w:cs="Arial" w:ascii="Arial" w:hAnsi="Arial"/>
          <w:sz w:val="22"/>
          <w:szCs w:val="22"/>
        </w:rPr>
        <w:t xml:space="preserve">       </w:t>
      </w:r>
      <w:r>
        <w:rPr>
          <w:rFonts w:cs="Arial" w:ascii="Arial" w:hAnsi="Arial"/>
          <w:sz w:val="22"/>
          <w:szCs w:val="22"/>
        </w:rPr>
        <w:t>sídlo: Prostějov, Smetanova ul. 24, 798 11</w:t>
      </w:r>
    </w:p>
    <w:p>
      <w:pPr>
        <w:pStyle w:val="Odstavec11"/>
        <w:numPr>
          <w:ilvl w:val="0"/>
          <w:numId w:val="0"/>
        </w:numPr>
        <w:spacing w:before="0" w:after="0"/>
        <w:ind w:left="567" w:hanging="567"/>
        <w:rPr>
          <w:rFonts w:ascii="Arial" w:hAnsi="Arial" w:cs="Arial"/>
          <w:b/>
          <w:b/>
          <w:i/>
          <w:i/>
          <w:color w:val="00B050"/>
          <w:sz w:val="22"/>
          <w:szCs w:val="22"/>
        </w:rPr>
      </w:pPr>
      <w:r>
        <w:rPr>
          <w:rFonts w:cs="Arial" w:ascii="Arial" w:hAnsi="Arial"/>
          <w:sz w:val="22"/>
          <w:szCs w:val="22"/>
        </w:rPr>
        <w:t xml:space="preserve">       </w:t>
      </w:r>
      <w:r>
        <w:rPr>
          <w:rFonts w:cs="Arial" w:ascii="Arial" w:hAnsi="Arial"/>
          <w:sz w:val="22"/>
          <w:szCs w:val="22"/>
        </w:rPr>
        <w:t>zastoupený:</w:t>
        <w:tab/>
        <w:t>Evou Pírkovou</w:t>
      </w:r>
    </w:p>
    <w:p>
      <w:pPr>
        <w:pStyle w:val="Odstavec11"/>
        <w:numPr>
          <w:ilvl w:val="0"/>
          <w:numId w:val="0"/>
        </w:numPr>
        <w:spacing w:before="0" w:after="0"/>
        <w:ind w:left="567" w:hanging="567"/>
        <w:rPr>
          <w:rFonts w:ascii="Arial" w:hAnsi="Arial" w:cs="Arial"/>
          <w:i/>
          <w:i/>
          <w:sz w:val="22"/>
          <w:szCs w:val="22"/>
        </w:rPr>
      </w:pPr>
      <w:r>
        <w:rPr>
          <w:rFonts w:cs="Arial" w:ascii="Arial" w:hAnsi="Arial"/>
          <w:sz w:val="22"/>
          <w:szCs w:val="22"/>
        </w:rPr>
        <w:t xml:space="preserve">       </w:t>
      </w:r>
      <w:r>
        <w:rPr>
          <w:rFonts w:cs="Arial" w:ascii="Arial" w:hAnsi="Arial"/>
          <w:sz w:val="22"/>
          <w:szCs w:val="22"/>
        </w:rPr>
        <w:t>bank. spojení:</w:t>
        <w:tab/>
        <w:t>KB Prostějov</w:t>
      </w:r>
    </w:p>
    <w:p>
      <w:pPr>
        <w:pStyle w:val="Odstavec11"/>
        <w:numPr>
          <w:ilvl w:val="0"/>
          <w:numId w:val="0"/>
        </w:numPr>
        <w:spacing w:before="0" w:after="0"/>
        <w:ind w:left="567" w:hanging="567"/>
        <w:rPr>
          <w:rFonts w:ascii="Arial" w:hAnsi="Arial" w:cs="Arial"/>
          <w:sz w:val="22"/>
          <w:szCs w:val="22"/>
        </w:rPr>
      </w:pPr>
      <w:r>
        <w:rPr>
          <w:rFonts w:cs="Arial" w:ascii="Arial" w:hAnsi="Arial"/>
          <w:sz w:val="22"/>
          <w:szCs w:val="22"/>
        </w:rPr>
        <w:t xml:space="preserve">       </w:t>
      </w:r>
      <w:r>
        <w:rPr>
          <w:rFonts w:cs="Arial" w:ascii="Arial" w:hAnsi="Arial"/>
          <w:sz w:val="22"/>
          <w:szCs w:val="22"/>
        </w:rPr>
        <w:t>číslo účtu:            19-2143490237/0100</w:t>
      </w:r>
    </w:p>
    <w:p>
      <w:pPr>
        <w:pStyle w:val="Normal"/>
        <w:rPr>
          <w:rFonts w:ascii="Arial" w:hAnsi="Arial" w:cs="Arial"/>
          <w:sz w:val="22"/>
          <w:szCs w:val="22"/>
        </w:rPr>
      </w:pPr>
      <w:r>
        <w:rPr>
          <w:rFonts w:cs="Arial" w:ascii="Arial" w:hAnsi="Arial"/>
          <w:sz w:val="22"/>
          <w:szCs w:val="22"/>
        </w:rPr>
        <w:t xml:space="preserve">       </w:t>
      </w:r>
      <w:r>
        <w:rPr>
          <w:rFonts w:cs="Arial" w:ascii="Arial" w:hAnsi="Arial"/>
          <w:sz w:val="22"/>
          <w:szCs w:val="22"/>
        </w:rPr>
        <w:t>IČO:</w:t>
        <w:tab/>
        <w:tab/>
        <w:t>70287431</w:t>
      </w:r>
    </w:p>
    <w:p>
      <w:pPr>
        <w:pStyle w:val="Normal"/>
        <w:rPr>
          <w:rFonts w:ascii="Arial" w:hAnsi="Arial" w:cs="Arial"/>
          <w:sz w:val="22"/>
          <w:szCs w:val="22"/>
        </w:rPr>
      </w:pPr>
      <w:r>
        <w:rPr>
          <w:rFonts w:cs="Arial" w:ascii="Arial" w:hAnsi="Arial"/>
          <w:sz w:val="22"/>
          <w:szCs w:val="22"/>
        </w:rPr>
        <w:t xml:space="preserve">       </w:t>
      </w:r>
      <w:r>
        <w:rPr>
          <w:rFonts w:cs="Arial" w:ascii="Arial" w:hAnsi="Arial"/>
          <w:sz w:val="22"/>
          <w:szCs w:val="22"/>
        </w:rPr>
        <w:t>(na straně jedné dále jako „</w:t>
      </w:r>
      <w:r>
        <w:rPr>
          <w:rFonts w:cs="Arial" w:ascii="Arial" w:hAnsi="Arial"/>
          <w:b/>
          <w:sz w:val="22"/>
          <w:szCs w:val="22"/>
        </w:rPr>
        <w:t>Kupující</w:t>
      </w:r>
      <w:r>
        <w:rPr>
          <w:rFonts w:cs="Arial" w:ascii="Arial" w:hAnsi="Arial"/>
          <w:sz w:val="22"/>
          <w:szCs w:val="22"/>
        </w:rPr>
        <w:t xml:space="preserve">“) </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 xml:space="preserve"> </w:t>
      </w:r>
      <w:r>
        <w:rPr>
          <w:rFonts w:cs="Arial" w:ascii="Arial" w:hAnsi="Arial"/>
          <w:sz w:val="22"/>
          <w:szCs w:val="22"/>
        </w:rPr>
        <w:t>a</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Odstavec11"/>
        <w:numPr>
          <w:ilvl w:val="0"/>
          <w:numId w:val="2"/>
        </w:numPr>
        <w:spacing w:before="0" w:after="0"/>
        <w:ind w:left="426" w:hanging="360"/>
        <w:rPr>
          <w:shd w:fill="auto" w:val="clear"/>
        </w:rPr>
      </w:pPr>
      <w:r>
        <w:rPr>
          <w:rFonts w:cs="Arial" w:ascii="Arial" w:hAnsi="Arial"/>
          <w:b/>
          <w:sz w:val="22"/>
          <w:szCs w:val="22"/>
          <w:shd w:fill="auto" w:val="clear"/>
        </w:rPr>
        <w:t xml:space="preserve"> </w:t>
      </w:r>
      <w:r>
        <w:rPr>
          <w:rFonts w:cs="Arial" w:ascii="Arial" w:hAnsi="Arial"/>
          <w:b/>
          <w:sz w:val="22"/>
          <w:szCs w:val="22"/>
          <w:shd w:fill="auto" w:val="clear"/>
        </w:rPr>
        <w:t xml:space="preserve">Košt Prostějov, s.r.o.                                         </w:t>
      </w:r>
    </w:p>
    <w:p>
      <w:pPr>
        <w:pStyle w:val="Odstavec11"/>
        <w:numPr>
          <w:ilvl w:val="0"/>
          <w:numId w:val="0"/>
        </w:numPr>
        <w:spacing w:before="0" w:after="0"/>
        <w:ind w:left="0" w:hanging="0"/>
        <w:rPr>
          <w:rFonts w:ascii="Arial" w:hAnsi="Arial" w:cs="Arial"/>
          <w:sz w:val="22"/>
          <w:szCs w:val="22"/>
        </w:rPr>
      </w:pPr>
      <w:r>
        <w:rPr>
          <w:rFonts w:cs="Arial" w:ascii="Arial" w:hAnsi="Arial"/>
          <w:sz w:val="22"/>
          <w:szCs w:val="22"/>
        </w:rPr>
        <w:t xml:space="preserve">       </w:t>
      </w:r>
      <w:r>
        <w:rPr>
          <w:rFonts w:cs="Arial" w:ascii="Arial" w:hAnsi="Arial"/>
          <w:sz w:val="22"/>
          <w:szCs w:val="22"/>
        </w:rPr>
        <w:t>sídlo: Drozdovice 1031/12, 796 01 Prostějov</w:t>
        <w:tab/>
        <w:tab/>
        <w:tab/>
        <w:t xml:space="preserve">  </w:t>
      </w:r>
    </w:p>
    <w:p>
      <w:pPr>
        <w:pStyle w:val="Odstavec11"/>
        <w:numPr>
          <w:ilvl w:val="0"/>
          <w:numId w:val="0"/>
        </w:numPr>
        <w:spacing w:before="0" w:after="0"/>
        <w:ind w:left="567" w:hanging="567"/>
        <w:rPr>
          <w:rFonts w:ascii="Arial" w:hAnsi="Arial" w:cs="Arial"/>
          <w:sz w:val="22"/>
          <w:szCs w:val="22"/>
        </w:rPr>
      </w:pPr>
      <w:r>
        <w:rPr>
          <w:rFonts w:cs="Arial" w:ascii="Arial" w:hAnsi="Arial"/>
          <w:sz w:val="22"/>
          <w:szCs w:val="22"/>
        </w:rPr>
        <w:t xml:space="preserve">       </w:t>
      </w:r>
      <w:r>
        <w:rPr>
          <w:rFonts w:cs="Arial" w:ascii="Arial" w:hAnsi="Arial"/>
          <w:sz w:val="22"/>
          <w:szCs w:val="22"/>
        </w:rPr>
        <w:t>zastoupený: Věra Vágnerová</w:t>
        <w:tab/>
        <w:tab/>
        <w:t xml:space="preserve">   </w:t>
      </w:r>
    </w:p>
    <w:p>
      <w:pPr>
        <w:pStyle w:val="Odstavec11"/>
        <w:numPr>
          <w:ilvl w:val="0"/>
          <w:numId w:val="0"/>
        </w:numPr>
        <w:spacing w:before="0" w:after="0"/>
        <w:ind w:left="567" w:hanging="567"/>
        <w:rPr>
          <w:rFonts w:ascii="Arial" w:hAnsi="Arial" w:cs="Arial"/>
          <w:sz w:val="22"/>
          <w:szCs w:val="22"/>
        </w:rPr>
      </w:pPr>
      <w:r>
        <w:rPr>
          <w:rFonts w:cs="Arial" w:ascii="Arial" w:hAnsi="Arial"/>
          <w:sz w:val="22"/>
          <w:szCs w:val="22"/>
        </w:rPr>
        <w:t xml:space="preserve">       </w:t>
      </w:r>
      <w:r>
        <w:rPr>
          <w:rFonts w:cs="Arial" w:ascii="Arial" w:hAnsi="Arial"/>
          <w:sz w:val="22"/>
          <w:szCs w:val="22"/>
        </w:rPr>
        <w:t xml:space="preserve">bank. spojení: KB Prostějov </w:t>
        <w:tab/>
        <w:t xml:space="preserve">             </w:t>
      </w:r>
    </w:p>
    <w:p>
      <w:pPr>
        <w:pStyle w:val="Odstavec11"/>
        <w:numPr>
          <w:ilvl w:val="0"/>
          <w:numId w:val="0"/>
        </w:numPr>
        <w:spacing w:before="0" w:after="0"/>
        <w:ind w:left="567" w:hanging="567"/>
        <w:rPr>
          <w:rFonts w:ascii="Arial" w:hAnsi="Arial" w:cs="Arial"/>
          <w:sz w:val="22"/>
          <w:szCs w:val="22"/>
        </w:rPr>
      </w:pPr>
      <w:r>
        <w:rPr>
          <w:rFonts w:cs="Arial" w:ascii="Arial" w:hAnsi="Arial"/>
          <w:sz w:val="22"/>
          <w:szCs w:val="22"/>
        </w:rPr>
        <w:t xml:space="preserve">       </w:t>
      </w:r>
      <w:r>
        <w:rPr>
          <w:rFonts w:cs="Arial" w:ascii="Arial" w:hAnsi="Arial"/>
          <w:sz w:val="22"/>
          <w:szCs w:val="22"/>
        </w:rPr>
        <w:t>číslo účtu: 9721580237/0100</w:t>
        <w:tab/>
        <w:tab/>
        <w:t xml:space="preserve"> </w:t>
      </w:r>
    </w:p>
    <w:p>
      <w:pPr>
        <w:pStyle w:val="Normal"/>
        <w:rPr>
          <w:shd w:fill="auto" w:val="clear"/>
        </w:rPr>
      </w:pPr>
      <w:r>
        <w:rPr>
          <w:rFonts w:cs="Arial" w:ascii="Arial" w:hAnsi="Arial"/>
          <w:sz w:val="22"/>
          <w:szCs w:val="22"/>
          <w:shd w:fill="auto" w:val="clear"/>
        </w:rPr>
        <w:t xml:space="preserve">       </w:t>
      </w:r>
      <w:r>
        <w:rPr>
          <w:rFonts w:cs="Arial" w:ascii="Arial" w:hAnsi="Arial"/>
          <w:sz w:val="22"/>
          <w:szCs w:val="22"/>
          <w:shd w:fill="auto" w:val="clear"/>
        </w:rPr>
        <w:t>IČO: 26251906</w:t>
        <w:tab/>
        <w:tab/>
        <w:tab/>
        <w:t xml:space="preserve"> </w:t>
      </w:r>
    </w:p>
    <w:p>
      <w:pPr>
        <w:pStyle w:val="Normal"/>
        <w:rPr>
          <w:shd w:fill="auto" w:val="clear"/>
        </w:rPr>
      </w:pPr>
      <w:r>
        <w:rPr>
          <w:rFonts w:cs="Arial" w:ascii="Arial" w:hAnsi="Arial"/>
          <w:sz w:val="22"/>
          <w:szCs w:val="22"/>
          <w:shd w:fill="auto" w:val="clear"/>
        </w:rPr>
        <w:t xml:space="preserve">       </w:t>
      </w:r>
      <w:r>
        <w:rPr>
          <w:rFonts w:cs="Arial" w:ascii="Arial" w:hAnsi="Arial"/>
          <w:sz w:val="22"/>
          <w:szCs w:val="22"/>
          <w:shd w:fill="auto" w:val="clear"/>
        </w:rPr>
        <w:t>DIČ: CZ26251906</w:t>
        <w:tab/>
        <w:tab/>
        <w:tab/>
        <w:t xml:space="preserve">  </w:t>
      </w:r>
    </w:p>
    <w:p>
      <w:pPr>
        <w:pStyle w:val="Normal"/>
        <w:rPr>
          <w:shd w:fill="auto" w:val="clear"/>
        </w:rPr>
      </w:pPr>
      <w:r>
        <w:rPr>
          <w:rFonts w:cs="Arial" w:ascii="Arial" w:hAnsi="Arial"/>
          <w:sz w:val="22"/>
          <w:szCs w:val="22"/>
          <w:shd w:fill="auto" w:val="clear"/>
        </w:rPr>
        <w:t xml:space="preserve">       </w:t>
      </w:r>
      <w:r>
        <w:rPr>
          <w:rFonts w:cs="Arial" w:ascii="Arial" w:hAnsi="Arial"/>
          <w:sz w:val="22"/>
          <w:szCs w:val="22"/>
          <w:shd w:fill="auto" w:val="clear"/>
        </w:rPr>
        <w:t xml:space="preserve">zapsaný v Obchodním rejstříku vedeném u Kr. Obchodního soudu v Brně, </w:t>
      </w:r>
    </w:p>
    <w:p>
      <w:pPr>
        <w:pStyle w:val="Normal"/>
        <w:rPr>
          <w:shd w:fill="auto" w:val="clear"/>
        </w:rPr>
      </w:pPr>
      <w:r>
        <w:rPr>
          <w:rFonts w:cs="Arial" w:ascii="Arial" w:hAnsi="Arial"/>
          <w:sz w:val="22"/>
          <w:szCs w:val="22"/>
          <w:shd w:fill="auto" w:val="clear"/>
        </w:rPr>
        <w:t xml:space="preserve">       </w:t>
      </w:r>
      <w:r>
        <w:rPr>
          <w:rFonts w:cs="Arial" w:ascii="Arial" w:hAnsi="Arial"/>
          <w:sz w:val="22"/>
          <w:szCs w:val="22"/>
          <w:shd w:fill="auto" w:val="clear"/>
        </w:rPr>
        <w:t>oddíl C, vložka 40147</w:t>
      </w:r>
    </w:p>
    <w:p>
      <w:pPr>
        <w:pStyle w:val="Normal"/>
        <w:rPr>
          <w:rFonts w:ascii="Arial" w:hAnsi="Arial" w:cs="Arial"/>
          <w:sz w:val="22"/>
          <w:szCs w:val="22"/>
        </w:rPr>
      </w:pPr>
      <w:r>
        <w:rPr>
          <w:rFonts w:cs="Arial" w:ascii="Arial" w:hAnsi="Arial"/>
          <w:sz w:val="22"/>
          <w:szCs w:val="22"/>
        </w:rPr>
        <w:t xml:space="preserve">       </w:t>
      </w:r>
      <w:r>
        <w:rPr>
          <w:rFonts w:cs="Arial" w:ascii="Arial" w:hAnsi="Arial"/>
          <w:sz w:val="22"/>
          <w:szCs w:val="22"/>
        </w:rPr>
        <w:t>tel: +420 603 306 661 , e-mailová adresa: zarybnickap@kost.cz</w:t>
      </w:r>
    </w:p>
    <w:p>
      <w:pPr>
        <w:pStyle w:val="Normal"/>
        <w:rPr>
          <w:rFonts w:ascii="Arial" w:hAnsi="Arial" w:cs="Arial"/>
          <w:sz w:val="22"/>
          <w:szCs w:val="22"/>
        </w:rPr>
      </w:pPr>
      <w:r>
        <w:rPr>
          <w:rFonts w:cs="Arial" w:ascii="Arial" w:hAnsi="Arial"/>
          <w:sz w:val="22"/>
          <w:szCs w:val="22"/>
        </w:rPr>
        <w:t xml:space="preserve">       </w:t>
      </w:r>
      <w:r>
        <w:rPr>
          <w:rFonts w:cs="Arial" w:ascii="Arial" w:hAnsi="Arial"/>
          <w:sz w:val="22"/>
          <w:szCs w:val="22"/>
        </w:rPr>
        <w:t>(na straně druhé dále jako „</w:t>
      </w:r>
      <w:r>
        <w:rPr>
          <w:rFonts w:cs="Arial" w:ascii="Arial" w:hAnsi="Arial"/>
          <w:b/>
          <w:sz w:val="22"/>
          <w:szCs w:val="22"/>
        </w:rPr>
        <w:t>Prodávající</w:t>
      </w:r>
      <w:r>
        <w:rPr>
          <w:rFonts w:cs="Arial" w:ascii="Arial" w:hAnsi="Arial"/>
          <w:sz w:val="22"/>
          <w:szCs w:val="22"/>
        </w:rPr>
        <w:t>“)</w:t>
      </w:r>
    </w:p>
    <w:p>
      <w:pPr>
        <w:pStyle w:val="Normal"/>
        <w:rPr>
          <w:rFonts w:ascii="Arial" w:hAnsi="Arial" w:cs="Arial"/>
          <w:sz w:val="22"/>
          <w:szCs w:val="22"/>
        </w:rPr>
      </w:pPr>
      <w:r>
        <w:rPr>
          <w:rFonts w:cs="Arial" w:ascii="Arial" w:hAnsi="Arial"/>
          <w:sz w:val="22"/>
          <w:szCs w:val="22"/>
        </w:rPr>
        <w:t xml:space="preserve">     </w:t>
      </w:r>
    </w:p>
    <w:p>
      <w:pPr>
        <w:pStyle w:val="Normal"/>
        <w:rPr>
          <w:rFonts w:ascii="Arial" w:hAnsi="Arial" w:cs="Arial"/>
          <w:sz w:val="22"/>
          <w:szCs w:val="22"/>
        </w:rPr>
      </w:pPr>
      <w:r>
        <w:rPr>
          <w:rFonts w:cs="Arial" w:ascii="Arial" w:hAnsi="Arial"/>
          <w:sz w:val="22"/>
          <w:szCs w:val="22"/>
        </w:rPr>
        <w:t>Kupující a Prodávající dále společně též jako „</w:t>
      </w:r>
      <w:r>
        <w:rPr>
          <w:rFonts w:cs="Arial" w:ascii="Arial" w:hAnsi="Arial"/>
          <w:b/>
          <w:sz w:val="22"/>
          <w:szCs w:val="22"/>
        </w:rPr>
        <w:t>Smluvní strany</w:t>
      </w:r>
      <w:r>
        <w:rPr>
          <w:rFonts w:cs="Arial" w:ascii="Arial" w:hAnsi="Arial"/>
          <w:sz w:val="22"/>
          <w:szCs w:val="22"/>
        </w:rPr>
        <w:t>“.</w:t>
      </w:r>
    </w:p>
    <w:p>
      <w:pPr>
        <w:pStyle w:val="Normal"/>
        <w:rPr>
          <w:rFonts w:ascii="Arial" w:hAnsi="Arial" w:cs="Arial"/>
          <w:sz w:val="22"/>
          <w:szCs w:val="22"/>
        </w:rPr>
      </w:pPr>
      <w:r>
        <w:rPr>
          <w:rFonts w:cs="Arial" w:ascii="Arial" w:hAnsi="Arial"/>
          <w:sz w:val="22"/>
          <w:szCs w:val="22"/>
        </w:rPr>
      </w:r>
    </w:p>
    <w:p>
      <w:pPr>
        <w:pStyle w:val="Normal"/>
        <w:rPr>
          <w:rFonts w:ascii="Arial" w:hAnsi="Arial" w:cs="Arial"/>
          <w:b/>
          <w:b/>
          <w:bCs/>
          <w:sz w:val="22"/>
          <w:szCs w:val="22"/>
        </w:rPr>
      </w:pPr>
      <w:r>
        <w:rPr>
          <w:rFonts w:cs="Arial" w:ascii="Arial" w:hAnsi="Arial"/>
          <w:b/>
          <w:bCs/>
          <w:sz w:val="22"/>
          <w:szCs w:val="22"/>
        </w:rPr>
      </w:r>
    </w:p>
    <w:p>
      <w:pPr>
        <w:pStyle w:val="Normal"/>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II.</w:t>
      </w:r>
    </w:p>
    <w:p>
      <w:pPr>
        <w:pStyle w:val="Normal"/>
        <w:spacing w:before="0" w:after="240"/>
        <w:jc w:val="center"/>
        <w:rPr>
          <w:rFonts w:ascii="Arial" w:hAnsi="Arial" w:cs="Arial"/>
          <w:b/>
          <w:b/>
          <w:bCs/>
          <w:sz w:val="22"/>
          <w:szCs w:val="22"/>
        </w:rPr>
      </w:pPr>
      <w:r>
        <w:rPr>
          <w:rFonts w:cs="Arial" w:ascii="Arial" w:hAnsi="Arial"/>
          <w:b/>
          <w:bCs/>
          <w:sz w:val="22"/>
          <w:szCs w:val="22"/>
        </w:rPr>
        <w:t>Předmět smlouvy</w:t>
      </w:r>
    </w:p>
    <w:p>
      <w:pPr>
        <w:pStyle w:val="Normal"/>
        <w:numPr>
          <w:ilvl w:val="0"/>
          <w:numId w:val="12"/>
        </w:numPr>
        <w:spacing w:before="0" w:after="0"/>
        <w:ind w:left="284" w:hanging="218"/>
        <w:contextualSpacing/>
        <w:jc w:val="both"/>
        <w:rPr>
          <w:rFonts w:ascii="Arial" w:hAnsi="Arial" w:cs="Arial"/>
          <w:sz w:val="22"/>
          <w:szCs w:val="22"/>
        </w:rPr>
      </w:pPr>
      <w:r>
        <w:rPr>
          <w:rFonts w:cs="Arial" w:ascii="Arial" w:hAnsi="Arial"/>
          <w:sz w:val="22"/>
          <w:szCs w:val="22"/>
        </w:rPr>
        <w:t xml:space="preserve"> </w:t>
      </w:r>
      <w:r>
        <w:rPr>
          <w:rFonts w:cs="Arial" w:ascii="Arial" w:hAnsi="Arial"/>
          <w:sz w:val="22"/>
          <w:szCs w:val="22"/>
        </w:rPr>
        <w:t>Prodávající se touto smlouvou zavazuje odevzdat kupujícímu potravinářské zboží (dále též „zboží“), v rámci předmětu činnosti prodávajícího a umožnit mu nabýt vlastnické právo ke zboží a kupující se zavazuje zboží převzít a zaplatit prodávajícímu sjednanou kupní cenu (viz. čl. III. a V. této smlouvy).</w:t>
      </w:r>
    </w:p>
    <w:p>
      <w:pPr>
        <w:pStyle w:val="Normal"/>
        <w:spacing w:before="0" w:after="0"/>
        <w:ind w:left="284" w:hanging="0"/>
        <w:contextualSpacing/>
        <w:jc w:val="both"/>
        <w:rPr>
          <w:rFonts w:ascii="Arial" w:hAnsi="Arial" w:cs="Arial"/>
          <w:sz w:val="22"/>
          <w:szCs w:val="22"/>
        </w:rPr>
      </w:pPr>
      <w:r>
        <w:rPr>
          <w:rFonts w:cs="Arial" w:ascii="Arial" w:hAnsi="Arial"/>
          <w:sz w:val="22"/>
          <w:szCs w:val="22"/>
        </w:rPr>
      </w:r>
    </w:p>
    <w:p>
      <w:pPr>
        <w:pStyle w:val="Normal"/>
        <w:numPr>
          <w:ilvl w:val="0"/>
          <w:numId w:val="12"/>
        </w:numPr>
        <w:spacing w:before="0" w:after="0"/>
        <w:ind w:left="284" w:hanging="218"/>
        <w:contextualSpacing/>
        <w:jc w:val="both"/>
        <w:rPr>
          <w:rFonts w:ascii="Arial" w:hAnsi="Arial" w:cs="Arial"/>
          <w:sz w:val="22"/>
          <w:szCs w:val="22"/>
        </w:rPr>
      </w:pPr>
      <w:r>
        <w:rPr>
          <w:rFonts w:cs="Arial" w:ascii="Arial" w:hAnsi="Arial"/>
          <w:sz w:val="22"/>
          <w:szCs w:val="22"/>
        </w:rPr>
        <w:t>Kupující se zavazuje zaplatit prodávajícímu za předmět smlouvy úplatu ve výši a za podmínek stanovených touto smlouvou.</w:t>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 xml:space="preserve"> </w:t>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III.</w:t>
      </w:r>
    </w:p>
    <w:p>
      <w:pPr>
        <w:pStyle w:val="Normal"/>
        <w:spacing w:before="0" w:after="240"/>
        <w:jc w:val="center"/>
        <w:rPr>
          <w:rFonts w:ascii="Arial" w:hAnsi="Arial" w:cs="Arial"/>
          <w:b/>
          <w:b/>
          <w:bCs/>
          <w:sz w:val="22"/>
          <w:szCs w:val="22"/>
        </w:rPr>
      </w:pPr>
      <w:r>
        <w:rPr>
          <w:rFonts w:cs="Arial" w:ascii="Arial" w:hAnsi="Arial"/>
          <w:b/>
          <w:bCs/>
          <w:sz w:val="22"/>
          <w:szCs w:val="22"/>
        </w:rPr>
        <w:t>Termín a místo plnění</w:t>
      </w:r>
    </w:p>
    <w:p>
      <w:pPr>
        <w:pStyle w:val="Normal"/>
        <w:spacing w:before="0" w:after="240"/>
        <w:jc w:val="center"/>
        <w:rPr>
          <w:rFonts w:ascii="Arial" w:hAnsi="Arial" w:cs="Arial"/>
          <w:b/>
          <w:b/>
          <w:bCs/>
          <w:sz w:val="22"/>
          <w:szCs w:val="22"/>
        </w:rPr>
      </w:pPr>
      <w:r>
        <w:rPr>
          <w:rFonts w:cs="Arial" w:ascii="Arial" w:hAnsi="Arial"/>
          <w:b/>
          <w:bCs/>
          <w:sz w:val="22"/>
          <w:szCs w:val="22"/>
        </w:rPr>
      </w:r>
    </w:p>
    <w:p>
      <w:pPr>
        <w:pStyle w:val="Normal"/>
        <w:numPr>
          <w:ilvl w:val="0"/>
          <w:numId w:val="9"/>
        </w:numPr>
        <w:suppressAutoHyphens w:val="false"/>
        <w:ind w:left="426" w:hanging="426"/>
        <w:jc w:val="both"/>
        <w:rPr>
          <w:rFonts w:ascii="Arial" w:hAnsi="Arial" w:cs="Arial"/>
          <w:sz w:val="22"/>
          <w:szCs w:val="22"/>
        </w:rPr>
      </w:pPr>
      <w:r>
        <w:rPr>
          <w:rFonts w:cs="Arial" w:ascii="Arial" w:hAnsi="Arial"/>
          <w:sz w:val="22"/>
          <w:szCs w:val="22"/>
        </w:rPr>
        <w:t>Tato smlouva se uzavírá na dobu neurčitou.</w:t>
      </w:r>
      <w:r>
        <w:rPr>
          <w:rFonts w:cs="Arial" w:ascii="Arial" w:hAnsi="Arial"/>
          <w:sz w:val="22"/>
          <w:szCs w:val="22"/>
        </w:rPr>
        <w:t xml:space="preserve"> </w:t>
      </w:r>
    </w:p>
    <w:p>
      <w:pPr>
        <w:pStyle w:val="Normal"/>
        <w:suppressAutoHyphens w:val="false"/>
        <w:ind w:left="426" w:hanging="426"/>
        <w:jc w:val="both"/>
        <w:rPr>
          <w:rFonts w:ascii="Arial" w:hAnsi="Arial" w:cs="Arial"/>
          <w:sz w:val="22"/>
          <w:szCs w:val="22"/>
        </w:rPr>
      </w:pPr>
      <w:r>
        <w:rPr>
          <w:rFonts w:cs="Arial" w:ascii="Arial" w:hAnsi="Arial"/>
          <w:sz w:val="22"/>
          <w:szCs w:val="22"/>
        </w:rPr>
      </w:r>
    </w:p>
    <w:p>
      <w:pPr>
        <w:pStyle w:val="Normal"/>
        <w:numPr>
          <w:ilvl w:val="0"/>
          <w:numId w:val="9"/>
        </w:numPr>
        <w:suppressAutoHyphens w:val="false"/>
        <w:ind w:left="426" w:hanging="426"/>
        <w:jc w:val="both"/>
        <w:rPr>
          <w:rFonts w:ascii="Arial" w:hAnsi="Arial" w:cs="Arial"/>
          <w:sz w:val="22"/>
          <w:szCs w:val="22"/>
        </w:rPr>
      </w:pPr>
      <w:r>
        <w:rPr>
          <w:rFonts w:cs="Arial" w:ascii="Arial" w:hAnsi="Arial"/>
          <w:sz w:val="22"/>
          <w:szCs w:val="22"/>
        </w:rPr>
        <w:t xml:space="preserve">Místem plnění je </w:t>
      </w:r>
      <w:r>
        <w:rPr>
          <w:rFonts w:cs="Arial" w:ascii="Arial" w:hAnsi="Arial"/>
          <w:b/>
          <w:sz w:val="22"/>
          <w:szCs w:val="22"/>
        </w:rPr>
        <w:t>Školní jídelna při MŠ Prostějov, Smetanova ul. 24, 798 11 Prostějov</w:t>
      </w:r>
      <w:r>
        <w:rPr>
          <w:rFonts w:cs="Arial" w:ascii="Arial" w:hAnsi="Arial"/>
          <w:b/>
          <w:i/>
          <w:sz w:val="22"/>
          <w:szCs w:val="22"/>
        </w:rPr>
        <w:t xml:space="preserve"> </w:t>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IV.</w:t>
      </w:r>
    </w:p>
    <w:p>
      <w:pPr>
        <w:pStyle w:val="Normal"/>
        <w:spacing w:before="0" w:after="240"/>
        <w:jc w:val="center"/>
        <w:rPr>
          <w:rFonts w:ascii="Arial" w:hAnsi="Arial" w:cs="Arial"/>
          <w:b/>
          <w:b/>
          <w:bCs/>
          <w:sz w:val="22"/>
          <w:szCs w:val="22"/>
        </w:rPr>
      </w:pPr>
      <w:r>
        <w:rPr>
          <w:rFonts w:cs="Arial" w:ascii="Arial" w:hAnsi="Arial"/>
          <w:b/>
          <w:bCs/>
          <w:sz w:val="22"/>
          <w:szCs w:val="22"/>
        </w:rPr>
        <w:t>Práva a povinnosti smluvních stran</w:t>
      </w:r>
    </w:p>
    <w:p>
      <w:pPr>
        <w:pStyle w:val="Normal"/>
        <w:numPr>
          <w:ilvl w:val="0"/>
          <w:numId w:val="13"/>
        </w:numPr>
        <w:tabs>
          <w:tab w:val="clear" w:pos="709"/>
          <w:tab w:val="left" w:pos="426" w:leader="none"/>
        </w:tabs>
        <w:ind w:left="426" w:hanging="426"/>
        <w:jc w:val="both"/>
        <w:rPr>
          <w:rFonts w:ascii="Arial" w:hAnsi="Arial" w:cs="Arial"/>
          <w:sz w:val="22"/>
          <w:szCs w:val="22"/>
        </w:rPr>
      </w:pPr>
      <w:r>
        <w:rPr>
          <w:rFonts w:cs="Arial" w:ascii="Arial" w:hAnsi="Arial"/>
          <w:sz w:val="22"/>
          <w:szCs w:val="22"/>
        </w:rPr>
        <w:t>Prodávající je povinen dodat kupujícímu zboží dle objednávky, v odpovídající kvalitě dle Zákona č.258/2000 Sb., o ochraně veřejného zdraví a platných norem Nařízení Evropského parlamentu a Rady (ES) č.852/2004 a předpisů výrobce jednotlivých komodit ve sjednaném množství, provedení v I. jakostní kvalitě, včetně dokladů v českém jazyce.</w:t>
      </w:r>
    </w:p>
    <w:p>
      <w:pPr>
        <w:pStyle w:val="Normal"/>
        <w:jc w:val="both"/>
        <w:rPr>
          <w:rFonts w:ascii="Arial" w:hAnsi="Arial" w:cs="Arial"/>
          <w:sz w:val="22"/>
          <w:szCs w:val="22"/>
        </w:rPr>
      </w:pPr>
      <w:r>
        <w:rPr>
          <w:rFonts w:cs="Arial" w:ascii="Arial" w:hAnsi="Arial"/>
          <w:sz w:val="22"/>
          <w:szCs w:val="22"/>
        </w:rPr>
      </w:r>
    </w:p>
    <w:p>
      <w:pPr>
        <w:pStyle w:val="Normal"/>
        <w:numPr>
          <w:ilvl w:val="0"/>
          <w:numId w:val="13"/>
        </w:numPr>
        <w:ind w:left="426" w:hanging="426"/>
        <w:jc w:val="both"/>
        <w:rPr>
          <w:rFonts w:ascii="Arial" w:hAnsi="Arial" w:cs="Arial"/>
          <w:sz w:val="22"/>
          <w:szCs w:val="22"/>
        </w:rPr>
      </w:pPr>
      <w:r>
        <w:rPr>
          <w:rFonts w:cs="Arial" w:ascii="Arial" w:hAnsi="Arial"/>
          <w:sz w:val="22"/>
          <w:szCs w:val="22"/>
        </w:rPr>
        <w:t>Kupující na výzvu prodávajícího je povinen převzít v místě plnění prostřednictvím kontaktní osoby dodané zboží s doklady vztahujícími se ke zboží a potvrdit prodávajícímu převzetí formou písemného potvrzení dodacího listu (faktury) odpovědnou osobou.</w:t>
      </w:r>
    </w:p>
    <w:p>
      <w:pPr>
        <w:pStyle w:val="Normal"/>
        <w:ind w:left="426" w:hanging="426"/>
        <w:jc w:val="both"/>
        <w:rPr>
          <w:rFonts w:ascii="Arial" w:hAnsi="Arial" w:cs="Arial"/>
          <w:sz w:val="22"/>
          <w:szCs w:val="22"/>
        </w:rPr>
      </w:pPr>
      <w:r>
        <w:rPr>
          <w:rFonts w:cs="Arial" w:ascii="Arial" w:hAnsi="Arial"/>
          <w:sz w:val="22"/>
          <w:szCs w:val="22"/>
        </w:rPr>
      </w:r>
    </w:p>
    <w:p>
      <w:pPr>
        <w:pStyle w:val="Normal"/>
        <w:numPr>
          <w:ilvl w:val="0"/>
          <w:numId w:val="13"/>
        </w:numPr>
        <w:ind w:left="426" w:hanging="426"/>
        <w:jc w:val="both"/>
        <w:rPr>
          <w:rFonts w:ascii="Arial" w:hAnsi="Arial" w:cs="Arial"/>
          <w:sz w:val="22"/>
          <w:szCs w:val="22"/>
        </w:rPr>
      </w:pPr>
      <w:r>
        <w:rPr>
          <w:rFonts w:cs="Arial" w:ascii="Arial" w:hAnsi="Arial"/>
          <w:sz w:val="22"/>
          <w:szCs w:val="22"/>
        </w:rPr>
        <w:t>Prodávající a kupující vyhotoví protokol o převzetí dodávky, ve kterém bude potvrzeno množství, kompletnost a nepoškozenost zboží.</w:t>
      </w:r>
    </w:p>
    <w:p>
      <w:pPr>
        <w:pStyle w:val="Normal"/>
        <w:ind w:left="426" w:hanging="426"/>
        <w:jc w:val="both"/>
        <w:rPr>
          <w:rFonts w:ascii="Arial" w:hAnsi="Arial" w:cs="Arial"/>
          <w:sz w:val="22"/>
          <w:szCs w:val="22"/>
        </w:rPr>
      </w:pPr>
      <w:r>
        <w:rPr>
          <w:rFonts w:cs="Arial" w:ascii="Arial" w:hAnsi="Arial"/>
          <w:sz w:val="22"/>
          <w:szCs w:val="22"/>
        </w:rPr>
      </w:r>
    </w:p>
    <w:p>
      <w:pPr>
        <w:pStyle w:val="Normal"/>
        <w:numPr>
          <w:ilvl w:val="0"/>
          <w:numId w:val="13"/>
        </w:numPr>
        <w:ind w:left="426" w:hanging="426"/>
        <w:jc w:val="both"/>
        <w:rPr>
          <w:rFonts w:ascii="Arial" w:hAnsi="Arial" w:cs="Arial"/>
          <w:sz w:val="22"/>
          <w:szCs w:val="22"/>
        </w:rPr>
      </w:pPr>
      <w:r>
        <w:rPr>
          <w:rFonts w:cs="Arial" w:ascii="Arial" w:hAnsi="Arial"/>
          <w:sz w:val="22"/>
          <w:szCs w:val="22"/>
        </w:rPr>
        <w:t>Prodávající se zavazuje, že na zboží neváznou práva třetí osoby.</w:t>
      </w:r>
    </w:p>
    <w:p>
      <w:pPr>
        <w:pStyle w:val="Normal"/>
        <w:tabs>
          <w:tab w:val="clear" w:pos="709"/>
          <w:tab w:val="left" w:pos="360" w:leader="none"/>
        </w:tabs>
        <w:ind w:left="426" w:hanging="426"/>
        <w:jc w:val="both"/>
        <w:rPr>
          <w:rFonts w:ascii="Arial" w:hAnsi="Arial" w:cs="Arial"/>
          <w:sz w:val="22"/>
          <w:szCs w:val="22"/>
        </w:rPr>
      </w:pPr>
      <w:r>
        <w:rPr>
          <w:rFonts w:cs="Arial" w:ascii="Arial" w:hAnsi="Arial"/>
          <w:sz w:val="22"/>
          <w:szCs w:val="22"/>
        </w:rPr>
      </w:r>
    </w:p>
    <w:p>
      <w:pPr>
        <w:pStyle w:val="Normal"/>
        <w:numPr>
          <w:ilvl w:val="0"/>
          <w:numId w:val="13"/>
        </w:numPr>
        <w:tabs>
          <w:tab w:val="clear" w:pos="709"/>
          <w:tab w:val="left" w:pos="426" w:leader="none"/>
        </w:tabs>
        <w:ind w:left="426" w:hanging="426"/>
        <w:jc w:val="both"/>
        <w:rPr>
          <w:rFonts w:ascii="Arial" w:hAnsi="Arial" w:cs="Arial"/>
          <w:sz w:val="22"/>
          <w:szCs w:val="22"/>
        </w:rPr>
      </w:pPr>
      <w:r>
        <w:rPr>
          <w:rFonts w:cs="Arial" w:ascii="Arial" w:hAnsi="Arial"/>
          <w:sz w:val="22"/>
          <w:szCs w:val="22"/>
        </w:rPr>
        <w:t>Kupující nabude vlastnické právo k předmětu kupní smlouvy po zaplacení kupní ceny, specifikované v čl. V. této smlouvy.</w:t>
      </w:r>
    </w:p>
    <w:p>
      <w:pPr>
        <w:pStyle w:val="Normal"/>
        <w:spacing w:before="0" w:after="0"/>
        <w:contextualSpacing/>
        <w:jc w:val="both"/>
        <w:rPr>
          <w:rFonts w:ascii="Arial" w:hAnsi="Arial" w:cs="Arial"/>
          <w:bCs/>
          <w:sz w:val="22"/>
          <w:szCs w:val="22"/>
        </w:rPr>
      </w:pPr>
      <w:r>
        <w:rPr>
          <w:rFonts w:cs="Arial" w:ascii="Arial" w:hAnsi="Arial"/>
          <w:bCs/>
          <w:sz w:val="22"/>
          <w:szCs w:val="22"/>
        </w:rPr>
      </w:r>
    </w:p>
    <w:p>
      <w:pPr>
        <w:pStyle w:val="Normal"/>
        <w:spacing w:before="0" w:after="0"/>
        <w:contextualSpacing/>
        <w:jc w:val="both"/>
        <w:rPr>
          <w:rFonts w:ascii="Arial" w:hAnsi="Arial" w:cs="Arial"/>
          <w:bCs/>
          <w:sz w:val="22"/>
          <w:szCs w:val="22"/>
        </w:rPr>
      </w:pPr>
      <w:r>
        <w:rPr>
          <w:rFonts w:cs="Arial" w:ascii="Arial" w:hAnsi="Arial"/>
          <w:bCs/>
          <w:sz w:val="22"/>
          <w:szCs w:val="22"/>
        </w:rPr>
      </w:r>
    </w:p>
    <w:p>
      <w:pPr>
        <w:pStyle w:val="Normal"/>
        <w:spacing w:before="0" w:after="0"/>
        <w:contextualSpacing/>
        <w:jc w:val="both"/>
        <w:rPr>
          <w:rFonts w:ascii="Arial" w:hAnsi="Arial" w:cs="Arial"/>
          <w:bCs/>
          <w:sz w:val="22"/>
          <w:szCs w:val="22"/>
        </w:rPr>
      </w:pPr>
      <w:r>
        <w:rPr>
          <w:rFonts w:cs="Arial" w:ascii="Arial" w:hAnsi="Arial"/>
          <w:bCs/>
          <w:sz w:val="22"/>
          <w:szCs w:val="22"/>
        </w:rPr>
      </w:r>
    </w:p>
    <w:p>
      <w:pPr>
        <w:pStyle w:val="Normal"/>
        <w:jc w:val="center"/>
        <w:rPr>
          <w:rFonts w:ascii="Arial" w:hAnsi="Arial" w:cs="Arial"/>
          <w:b/>
          <w:b/>
          <w:bCs/>
          <w:sz w:val="22"/>
          <w:szCs w:val="22"/>
        </w:rPr>
      </w:pPr>
      <w:r>
        <w:rPr>
          <w:rFonts w:cs="Arial" w:ascii="Arial" w:hAnsi="Arial"/>
          <w:b/>
          <w:bCs/>
          <w:sz w:val="22"/>
          <w:szCs w:val="22"/>
        </w:rPr>
        <w:t>V.</w:t>
      </w:r>
    </w:p>
    <w:p>
      <w:pPr>
        <w:pStyle w:val="Normal"/>
        <w:spacing w:before="0" w:after="240"/>
        <w:jc w:val="center"/>
        <w:rPr>
          <w:rFonts w:ascii="Arial" w:hAnsi="Arial" w:cs="Arial"/>
          <w:b/>
          <w:b/>
          <w:bCs/>
          <w:sz w:val="22"/>
          <w:szCs w:val="22"/>
        </w:rPr>
      </w:pPr>
      <w:r>
        <w:rPr>
          <w:rFonts w:cs="Arial" w:ascii="Arial" w:hAnsi="Arial"/>
          <w:b/>
          <w:bCs/>
          <w:sz w:val="22"/>
          <w:szCs w:val="22"/>
        </w:rPr>
        <w:t>Cena a platební podmínky</w:t>
      </w:r>
    </w:p>
    <w:p>
      <w:pPr>
        <w:pStyle w:val="StylLatinkaArialSloitArial10bPed0cm"/>
        <w:numPr>
          <w:ilvl w:val="0"/>
          <w:numId w:val="10"/>
        </w:numPr>
        <w:tabs>
          <w:tab w:val="clear" w:pos="1531"/>
          <w:tab w:val="clear" w:pos="2325"/>
        </w:tabs>
        <w:spacing w:lineRule="atLeast" w:line="280"/>
        <w:ind w:left="426" w:hanging="360"/>
        <w:jc w:val="both"/>
        <w:rPr>
          <w:sz w:val="22"/>
          <w:szCs w:val="22"/>
        </w:rPr>
      </w:pPr>
      <w:r>
        <w:rPr>
          <w:sz w:val="22"/>
          <w:szCs w:val="22"/>
        </w:rPr>
        <w:t>Cena je sjednána jako nejvýše přípustná a obsahuje veškeré náklady zajišťující řádné plnění předmětu smlouvy, včetně veškerých poplatků, které jsou platnými zákony, předpisy a nařízeními požadovány pro splnění smluvních závazků včetně plnění, která nejsou výslovně uvedena v této smlouvě, ale o kterých prodávající vzhledem ke svým odborným znalostem s vynaložením veškeré odborné péče věděl nebo vědět měl a mohl.</w:t>
      </w:r>
    </w:p>
    <w:p>
      <w:pPr>
        <w:pStyle w:val="ListParagraph"/>
        <w:ind w:left="0" w:hanging="0"/>
        <w:rPr>
          <w:rFonts w:ascii="Arial" w:hAnsi="Arial" w:cs="Arial"/>
          <w:sz w:val="22"/>
          <w:szCs w:val="22"/>
        </w:rPr>
      </w:pPr>
      <w:r>
        <w:rPr>
          <w:rFonts w:cs="Arial" w:ascii="Arial" w:hAnsi="Arial"/>
          <w:sz w:val="22"/>
          <w:szCs w:val="22"/>
        </w:rPr>
      </w:r>
    </w:p>
    <w:p>
      <w:pPr>
        <w:pStyle w:val="StylLatinkaArialSloitArial10bPed0cm"/>
        <w:numPr>
          <w:ilvl w:val="0"/>
          <w:numId w:val="10"/>
        </w:numPr>
        <w:tabs>
          <w:tab w:val="clear" w:pos="1531"/>
          <w:tab w:val="clear" w:pos="2325"/>
        </w:tabs>
        <w:spacing w:lineRule="atLeast" w:line="280"/>
        <w:ind w:left="426" w:hanging="360"/>
        <w:jc w:val="both"/>
        <w:rPr>
          <w:sz w:val="22"/>
          <w:szCs w:val="22"/>
        </w:rPr>
      </w:pPr>
      <w:r>
        <w:rPr>
          <w:sz w:val="22"/>
          <w:szCs w:val="22"/>
        </w:rPr>
        <w:t xml:space="preserve">Cenu je možné překročit pouze v souvislosti se změnou daňových předpisů týkajících se DPH. </w:t>
      </w:r>
    </w:p>
    <w:p>
      <w:pPr>
        <w:pStyle w:val="StylLatinkaArialSloitArial10bPed0cm"/>
        <w:tabs>
          <w:tab w:val="clear" w:pos="1531"/>
          <w:tab w:val="clear" w:pos="2325"/>
        </w:tabs>
        <w:spacing w:lineRule="atLeast" w:line="280"/>
        <w:ind w:left="66" w:hanging="0"/>
        <w:jc w:val="both"/>
        <w:rPr>
          <w:sz w:val="22"/>
          <w:szCs w:val="22"/>
        </w:rPr>
      </w:pPr>
      <w:r>
        <w:rPr>
          <w:sz w:val="22"/>
          <w:szCs w:val="22"/>
        </w:rPr>
      </w:r>
    </w:p>
    <w:p>
      <w:pPr>
        <w:pStyle w:val="StylLatinkaArialSloitArial10bPed0cm"/>
        <w:numPr>
          <w:ilvl w:val="0"/>
          <w:numId w:val="10"/>
        </w:numPr>
        <w:tabs>
          <w:tab w:val="clear" w:pos="1531"/>
          <w:tab w:val="clear" w:pos="2325"/>
        </w:tabs>
        <w:spacing w:lineRule="atLeast" w:line="280"/>
        <w:ind w:left="426" w:hanging="426"/>
        <w:jc w:val="both"/>
        <w:rPr>
          <w:sz w:val="22"/>
          <w:szCs w:val="22"/>
        </w:rPr>
      </w:pPr>
      <w:r>
        <w:rPr>
          <w:sz w:val="22"/>
          <w:szCs w:val="22"/>
        </w:rPr>
        <w:t>Kupující neposkytuje zálohové platby. Platba bude uhrazena po převzetí a akceptaci dodávky dle předmětu smlouvy.</w:t>
      </w:r>
      <w:r>
        <w:rPr>
          <w:bCs/>
          <w:sz w:val="22"/>
          <w:szCs w:val="22"/>
        </w:rPr>
        <w:t xml:space="preserve"> </w:t>
      </w:r>
    </w:p>
    <w:p>
      <w:pPr>
        <w:pStyle w:val="ListParagraph"/>
        <w:rPr>
          <w:rFonts w:ascii="Arial" w:hAnsi="Arial" w:cs="Arial"/>
          <w:sz w:val="22"/>
          <w:szCs w:val="22"/>
        </w:rPr>
      </w:pPr>
      <w:r>
        <w:rPr>
          <w:rFonts w:cs="Arial" w:ascii="Arial" w:hAnsi="Arial"/>
          <w:sz w:val="22"/>
          <w:szCs w:val="22"/>
        </w:rPr>
      </w:r>
    </w:p>
    <w:p>
      <w:pPr>
        <w:pStyle w:val="StylLatinkaArialSloitArial10bPed0cm"/>
        <w:numPr>
          <w:ilvl w:val="0"/>
          <w:numId w:val="10"/>
        </w:numPr>
        <w:tabs>
          <w:tab w:val="clear" w:pos="1531"/>
          <w:tab w:val="clear" w:pos="2325"/>
        </w:tabs>
        <w:spacing w:lineRule="atLeast" w:line="280"/>
        <w:ind w:left="426" w:hanging="426"/>
        <w:jc w:val="both"/>
        <w:rPr>
          <w:sz w:val="22"/>
          <w:szCs w:val="22"/>
        </w:rPr>
      </w:pPr>
      <w:r>
        <w:rPr>
          <w:sz w:val="22"/>
          <w:szCs w:val="22"/>
        </w:rPr>
        <w:t xml:space="preserve">Daňový doklad – faktura musí obsahovat všechny náležitosti řádného účetního </w:t>
        <w:br/>
        <w:t>a daňového dokladu ve smyslu příslušných právních předpisů, zejména zákona č. 235/2004 Sb., o dani z přidané hodnoty, ve znění pozdějších předpisů a § 13a).</w:t>
      </w:r>
    </w:p>
    <w:p>
      <w:pPr>
        <w:pStyle w:val="StylLatinkaArialSloitArial10bPed0cm"/>
        <w:tabs>
          <w:tab w:val="clear" w:pos="1531"/>
          <w:tab w:val="clear" w:pos="2325"/>
        </w:tabs>
        <w:spacing w:lineRule="atLeast" w:line="280"/>
        <w:ind w:left="66" w:hanging="0"/>
        <w:jc w:val="both"/>
        <w:rPr>
          <w:sz w:val="22"/>
          <w:szCs w:val="22"/>
        </w:rPr>
      </w:pPr>
      <w:r>
        <w:rPr>
          <w:sz w:val="22"/>
          <w:szCs w:val="22"/>
        </w:rPr>
      </w:r>
    </w:p>
    <w:p>
      <w:pPr>
        <w:pStyle w:val="StylLatinkaArialSloitArial10bPed0cm"/>
        <w:numPr>
          <w:ilvl w:val="0"/>
          <w:numId w:val="10"/>
        </w:numPr>
        <w:tabs>
          <w:tab w:val="clear" w:pos="1531"/>
          <w:tab w:val="clear" w:pos="2325"/>
        </w:tabs>
        <w:spacing w:lineRule="atLeast" w:line="280"/>
        <w:ind w:left="426" w:hanging="360"/>
        <w:jc w:val="both"/>
        <w:rPr>
          <w:sz w:val="22"/>
          <w:szCs w:val="22"/>
        </w:rPr>
      </w:pPr>
      <w:r>
        <w:rPr>
          <w:sz w:val="22"/>
          <w:szCs w:val="22"/>
        </w:rPr>
        <w:t xml:space="preserve">Splatnost faktury činí 14 dnů ode dne jejího doručení na adresu kupujícího. Platba bude uskutečněna bezhotovostním převodem z účtu kupujícího na účet prodávajícího, </w:t>
        <w:br/>
        <w:t>a to v české měně. Za datum úhrady se považuje den odepsání příslušné částky z účtu kupujícího.</w:t>
      </w:r>
    </w:p>
    <w:p>
      <w:pPr>
        <w:pStyle w:val="StylLatinkaArialSloitArial10bPed0cm"/>
        <w:tabs>
          <w:tab w:val="clear" w:pos="1531"/>
          <w:tab w:val="clear" w:pos="2325"/>
        </w:tabs>
        <w:spacing w:lineRule="atLeast" w:line="280"/>
        <w:ind w:left="426" w:hanging="360"/>
        <w:jc w:val="both"/>
        <w:rPr>
          <w:sz w:val="22"/>
          <w:szCs w:val="22"/>
        </w:rPr>
      </w:pPr>
      <w:r>
        <w:rPr>
          <w:sz w:val="22"/>
          <w:szCs w:val="22"/>
        </w:rPr>
      </w:r>
    </w:p>
    <w:p>
      <w:pPr>
        <w:pStyle w:val="StylLatinkaArialSloitArial10bPed0cm"/>
        <w:tabs>
          <w:tab w:val="clear" w:pos="1531"/>
          <w:tab w:val="clear" w:pos="2325"/>
        </w:tabs>
        <w:spacing w:lineRule="atLeast" w:line="280"/>
        <w:ind w:left="426" w:hanging="360"/>
        <w:jc w:val="both"/>
        <w:rPr>
          <w:sz w:val="22"/>
          <w:szCs w:val="22"/>
        </w:rPr>
      </w:pPr>
      <w:r>
        <w:rPr>
          <w:sz w:val="22"/>
          <w:szCs w:val="22"/>
        </w:rPr>
      </w:r>
    </w:p>
    <w:p>
      <w:pPr>
        <w:pStyle w:val="StylLatinkaArialSloitArial10bPed0cm"/>
        <w:tabs>
          <w:tab w:val="clear" w:pos="1531"/>
          <w:tab w:val="clear" w:pos="2325"/>
        </w:tabs>
        <w:spacing w:lineRule="atLeast" w:line="280"/>
        <w:ind w:left="66" w:hanging="0"/>
        <w:jc w:val="both"/>
        <w:rPr>
          <w:sz w:val="22"/>
          <w:szCs w:val="22"/>
        </w:rPr>
      </w:pPr>
      <w:r>
        <w:rPr>
          <w:sz w:val="22"/>
          <w:szCs w:val="22"/>
        </w:rPr>
      </w:r>
    </w:p>
    <w:p>
      <w:pPr>
        <w:pStyle w:val="StylLatinkaArialSloitArial10bPed0cm"/>
        <w:numPr>
          <w:ilvl w:val="0"/>
          <w:numId w:val="10"/>
        </w:numPr>
        <w:tabs>
          <w:tab w:val="clear" w:pos="1531"/>
          <w:tab w:val="clear" w:pos="2325"/>
        </w:tabs>
        <w:spacing w:lineRule="atLeast" w:line="280"/>
        <w:ind w:left="426" w:hanging="360"/>
        <w:jc w:val="both"/>
        <w:rPr>
          <w:sz w:val="22"/>
          <w:szCs w:val="22"/>
        </w:rPr>
      </w:pPr>
      <w:r>
        <w:rPr>
          <w:sz w:val="22"/>
          <w:szCs w:val="22"/>
        </w:rPr>
        <w:t>V případě, že faktura nebo rozpis jednotlivých poskytnutých dílčích plnění nebude mít odpovídající náležitosti, je kupující oprávněn ji vrátit ve lhůtě splatnosti zpět prodávajícímu k doplnění, aniž se tak dostane do prodlení se splatností. Lhůta splatnosti počíná běžet znovu od opětovného doručení náležitě doplněného či opraveného dokladu kupujícímu.</w:t>
      </w:r>
    </w:p>
    <w:p>
      <w:pPr>
        <w:pStyle w:val="StylLatinkaArialSloitArial10bPed0cm"/>
        <w:tabs>
          <w:tab w:val="clear" w:pos="1531"/>
          <w:tab w:val="clear" w:pos="2325"/>
        </w:tabs>
        <w:spacing w:lineRule="atLeast" w:line="280"/>
        <w:jc w:val="both"/>
        <w:rPr>
          <w:sz w:val="22"/>
          <w:szCs w:val="22"/>
        </w:rPr>
      </w:pPr>
      <w:r>
        <w:rPr>
          <w:sz w:val="22"/>
          <w:szCs w:val="22"/>
        </w:rPr>
      </w:r>
    </w:p>
    <w:p>
      <w:pPr>
        <w:pStyle w:val="StylLatinkaArialSloitArial10bPed0cm"/>
        <w:tabs>
          <w:tab w:val="clear" w:pos="1531"/>
          <w:tab w:val="clear" w:pos="2325"/>
        </w:tabs>
        <w:spacing w:lineRule="atLeast" w:line="280"/>
        <w:jc w:val="both"/>
        <w:rPr>
          <w:sz w:val="22"/>
          <w:szCs w:val="22"/>
        </w:rPr>
      </w:pPr>
      <w:r>
        <w:rPr>
          <w:sz w:val="22"/>
          <w:szCs w:val="22"/>
        </w:rPr>
      </w:r>
    </w:p>
    <w:p>
      <w:pPr>
        <w:pStyle w:val="StylLatinkaArialSloitArial10bPed0cm"/>
        <w:tabs>
          <w:tab w:val="clear" w:pos="1531"/>
          <w:tab w:val="clear" w:pos="2325"/>
        </w:tabs>
        <w:spacing w:lineRule="atLeast" w:line="280"/>
        <w:jc w:val="both"/>
        <w:rPr>
          <w:sz w:val="22"/>
          <w:szCs w:val="22"/>
        </w:rPr>
      </w:pPr>
      <w:r>
        <w:rPr>
          <w:sz w:val="22"/>
          <w:szCs w:val="22"/>
        </w:rPr>
      </w:r>
    </w:p>
    <w:p>
      <w:pPr>
        <w:pStyle w:val="Normal"/>
        <w:ind w:left="426" w:hanging="284"/>
        <w:jc w:val="center"/>
        <w:rPr>
          <w:rFonts w:ascii="Arial" w:hAnsi="Arial" w:cs="Arial"/>
          <w:b/>
          <w:b/>
          <w:sz w:val="22"/>
          <w:szCs w:val="22"/>
        </w:rPr>
      </w:pPr>
      <w:r>
        <w:rPr>
          <w:rFonts w:cs="Arial" w:ascii="Arial" w:hAnsi="Arial"/>
          <w:b/>
          <w:sz w:val="22"/>
          <w:szCs w:val="22"/>
        </w:rPr>
        <w:t>VI.</w:t>
      </w:r>
    </w:p>
    <w:p>
      <w:pPr>
        <w:pStyle w:val="Normal"/>
        <w:spacing w:before="0" w:after="240"/>
        <w:ind w:left="426" w:hanging="284"/>
        <w:jc w:val="center"/>
        <w:rPr>
          <w:rFonts w:ascii="Arial" w:hAnsi="Arial" w:cs="Arial"/>
          <w:b/>
          <w:b/>
          <w:sz w:val="22"/>
          <w:szCs w:val="22"/>
        </w:rPr>
      </w:pPr>
      <w:r>
        <w:rPr>
          <w:rFonts w:cs="Arial" w:ascii="Arial" w:hAnsi="Arial"/>
          <w:b/>
          <w:sz w:val="22"/>
          <w:szCs w:val="22"/>
        </w:rPr>
        <w:t>Finanční kontrola, uchovávání dokladů a podkladů</w:t>
      </w:r>
    </w:p>
    <w:p>
      <w:pPr>
        <w:pStyle w:val="Normal"/>
        <w:numPr>
          <w:ilvl w:val="0"/>
          <w:numId w:val="11"/>
        </w:numPr>
        <w:tabs>
          <w:tab w:val="clear" w:pos="709"/>
          <w:tab w:val="left" w:pos="360" w:leader="none"/>
          <w:tab w:val="left" w:pos="426" w:leader="none"/>
        </w:tabs>
        <w:suppressAutoHyphens w:val="false"/>
        <w:ind w:left="426" w:hanging="284"/>
        <w:jc w:val="both"/>
        <w:rPr>
          <w:rFonts w:ascii="Arial" w:hAnsi="Arial" w:cs="Arial"/>
          <w:bCs/>
          <w:sz w:val="22"/>
          <w:szCs w:val="22"/>
        </w:rPr>
      </w:pPr>
      <w:r>
        <w:rPr>
          <w:rFonts w:cs="Arial" w:ascii="Arial" w:hAnsi="Arial"/>
          <w:bCs/>
          <w:sz w:val="22"/>
          <w:szCs w:val="22"/>
        </w:rPr>
        <w:t xml:space="preserve"> </w:t>
      </w:r>
      <w:r>
        <w:rPr>
          <w:rFonts w:cs="Arial" w:ascii="Arial" w:hAnsi="Arial"/>
          <w:bCs/>
          <w:sz w:val="22"/>
          <w:szCs w:val="22"/>
        </w:rPr>
        <w:t xml:space="preserve">Prodávající </w:t>
      </w:r>
      <w:r>
        <w:rPr>
          <w:rFonts w:cs="Arial" w:ascii="Arial" w:hAnsi="Arial"/>
          <w:sz w:val="22"/>
          <w:szCs w:val="22"/>
        </w:rPr>
        <w:t xml:space="preserve">umožní všem subjektům oprávněným k výkonu kontroly projektu, </w:t>
        <w:br/>
        <w:t>z jehož prostředků je dodávka hrazena, provést kontrolu dokladů souvisejících s plněním zakázky, a to po dobu danou právními předpisy ČR k jejich uchovávání (zákon č. 563/1991 Sb., o účetnictví, a zákon č. 235/2004 Sb., o dani z přidané hodnoty).</w:t>
      </w:r>
    </w:p>
    <w:p>
      <w:pPr>
        <w:pStyle w:val="Normal"/>
        <w:tabs>
          <w:tab w:val="clear" w:pos="709"/>
          <w:tab w:val="left" w:pos="360" w:leader="none"/>
          <w:tab w:val="left" w:pos="426" w:leader="none"/>
        </w:tabs>
        <w:jc w:val="both"/>
        <w:rPr>
          <w:rFonts w:ascii="Arial" w:hAnsi="Arial" w:cs="Arial"/>
          <w:bCs/>
          <w:sz w:val="22"/>
          <w:szCs w:val="22"/>
        </w:rPr>
      </w:pPr>
      <w:r>
        <w:rPr>
          <w:rFonts w:cs="Arial" w:ascii="Arial" w:hAnsi="Arial"/>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VII.</w:t>
      </w:r>
    </w:p>
    <w:p>
      <w:pPr>
        <w:pStyle w:val="Normal"/>
        <w:spacing w:before="0" w:after="240"/>
        <w:jc w:val="center"/>
        <w:rPr>
          <w:rFonts w:ascii="Arial" w:hAnsi="Arial" w:cs="Arial"/>
          <w:b/>
          <w:b/>
          <w:bCs/>
          <w:sz w:val="22"/>
          <w:szCs w:val="22"/>
        </w:rPr>
      </w:pPr>
      <w:r>
        <w:rPr>
          <w:rFonts w:cs="Arial" w:ascii="Arial" w:hAnsi="Arial"/>
          <w:b/>
          <w:bCs/>
          <w:sz w:val="22"/>
          <w:szCs w:val="22"/>
        </w:rPr>
        <w:t>Sankční ujednání</w:t>
      </w:r>
    </w:p>
    <w:p>
      <w:pPr>
        <w:pStyle w:val="Normal"/>
        <w:numPr>
          <w:ilvl w:val="0"/>
          <w:numId w:val="8"/>
        </w:numPr>
        <w:suppressAutoHyphens w:val="false"/>
        <w:ind w:left="426" w:hanging="284"/>
        <w:jc w:val="both"/>
        <w:rPr>
          <w:rFonts w:ascii="Arial" w:hAnsi="Arial" w:cs="Arial"/>
          <w:sz w:val="22"/>
          <w:szCs w:val="22"/>
        </w:rPr>
      </w:pPr>
      <w:r>
        <w:rPr>
          <w:rFonts w:cs="Arial" w:ascii="Arial" w:hAnsi="Arial"/>
          <w:sz w:val="22"/>
          <w:szCs w:val="22"/>
        </w:rPr>
        <w:t>Dostane-li se prodávající do prodlení s dodávkou zboží, zaplatí kupujícímu smluvní pokutu ve výši 0,5% z kupní ceny za zboží, které nebylo dodáno řádně a včas, a to za každý i započatý kalendářní den prodlení.</w:t>
      </w:r>
    </w:p>
    <w:p>
      <w:pPr>
        <w:pStyle w:val="Normal"/>
        <w:suppressAutoHyphens w:val="false"/>
        <w:ind w:left="426" w:hanging="0"/>
        <w:jc w:val="both"/>
        <w:rPr>
          <w:rFonts w:ascii="Arial" w:hAnsi="Arial" w:cs="Arial"/>
          <w:sz w:val="22"/>
          <w:szCs w:val="22"/>
        </w:rPr>
      </w:pPr>
      <w:r>
        <w:rPr>
          <w:rFonts w:cs="Arial" w:ascii="Arial" w:hAnsi="Arial"/>
          <w:sz w:val="22"/>
          <w:szCs w:val="22"/>
        </w:rPr>
      </w:r>
    </w:p>
    <w:p>
      <w:pPr>
        <w:pStyle w:val="ListParagraph"/>
        <w:numPr>
          <w:ilvl w:val="0"/>
          <w:numId w:val="8"/>
        </w:numPr>
        <w:ind w:left="426" w:hanging="284"/>
        <w:jc w:val="both"/>
        <w:rPr>
          <w:rFonts w:ascii="Arial" w:hAnsi="Arial" w:cs="Arial"/>
          <w:sz w:val="22"/>
          <w:szCs w:val="22"/>
        </w:rPr>
      </w:pPr>
      <w:r>
        <w:rPr>
          <w:rFonts w:cs="Arial" w:ascii="Arial" w:hAnsi="Arial"/>
          <w:sz w:val="22"/>
          <w:szCs w:val="22"/>
        </w:rPr>
        <w:t>Pro případ prodlení s úhradou faktury v termínu splatnosti je prodávající oprávněn požadovat zákonný úrok z prodlení.</w:t>
      </w:r>
    </w:p>
    <w:p>
      <w:pPr>
        <w:pStyle w:val="Normal"/>
        <w:ind w:left="426" w:hanging="284"/>
        <w:jc w:val="both"/>
        <w:rPr>
          <w:rFonts w:ascii="Arial" w:hAnsi="Arial" w:cs="Arial"/>
          <w:sz w:val="22"/>
          <w:szCs w:val="22"/>
        </w:rPr>
      </w:pPr>
      <w:r>
        <w:rPr>
          <w:rFonts w:cs="Arial" w:ascii="Arial" w:hAnsi="Arial"/>
          <w:sz w:val="22"/>
          <w:szCs w:val="22"/>
        </w:rPr>
      </w:r>
    </w:p>
    <w:p>
      <w:pPr>
        <w:pStyle w:val="StylLatinkaArialSloitArial10bPed0cm"/>
        <w:numPr>
          <w:ilvl w:val="0"/>
          <w:numId w:val="8"/>
        </w:numPr>
        <w:tabs>
          <w:tab w:val="clear" w:pos="1531"/>
          <w:tab w:val="clear" w:pos="2325"/>
        </w:tabs>
        <w:spacing w:lineRule="atLeast" w:line="280"/>
        <w:ind w:left="426" w:hanging="284"/>
        <w:jc w:val="both"/>
        <w:rPr>
          <w:sz w:val="22"/>
          <w:szCs w:val="22"/>
        </w:rPr>
      </w:pPr>
      <w:r>
        <w:rPr>
          <w:sz w:val="22"/>
          <w:szCs w:val="22"/>
        </w:rPr>
        <w:t>Úhradou smluvní pokuty zůstávají nedotčena práva kupujícího na náhradu škody.</w:t>
      </w:r>
    </w:p>
    <w:p>
      <w:pPr>
        <w:pStyle w:val="ListParagraph"/>
        <w:ind w:left="426" w:hanging="284"/>
        <w:rPr>
          <w:rFonts w:ascii="Arial" w:hAnsi="Arial" w:cs="Arial"/>
          <w:sz w:val="22"/>
          <w:szCs w:val="22"/>
        </w:rPr>
      </w:pPr>
      <w:r>
        <w:rPr>
          <w:rFonts w:cs="Arial" w:ascii="Arial" w:hAnsi="Arial"/>
          <w:sz w:val="22"/>
          <w:szCs w:val="22"/>
        </w:rPr>
      </w:r>
    </w:p>
    <w:p>
      <w:pPr>
        <w:pStyle w:val="StylLatinkaArialSloitArial10bPed0cm"/>
        <w:numPr>
          <w:ilvl w:val="0"/>
          <w:numId w:val="8"/>
        </w:numPr>
        <w:tabs>
          <w:tab w:val="clear" w:pos="1531"/>
          <w:tab w:val="clear" w:pos="2325"/>
        </w:tabs>
        <w:spacing w:lineRule="atLeast" w:line="280"/>
        <w:ind w:left="426" w:hanging="284"/>
        <w:jc w:val="both"/>
        <w:rPr>
          <w:sz w:val="22"/>
          <w:szCs w:val="22"/>
        </w:rPr>
      </w:pPr>
      <w:r>
        <w:rPr>
          <w:sz w:val="22"/>
          <w:szCs w:val="22"/>
        </w:rPr>
        <w:t>Smluvní strana, která se dostane vzhledem k výše uvedenému porušení smluvních povinností do pozice dlužníka, je i po zaplacení sankce zavázána splnit hlavní závazek, neboť jejím zaplacením tento závazek nezanikne.</w:t>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VIII.</w:t>
      </w:r>
    </w:p>
    <w:p>
      <w:pPr>
        <w:pStyle w:val="Normal"/>
        <w:spacing w:before="0" w:after="240"/>
        <w:ind w:left="426" w:hanging="284"/>
        <w:jc w:val="center"/>
        <w:rPr>
          <w:rFonts w:ascii="Arial" w:hAnsi="Arial" w:cs="Arial"/>
          <w:b/>
          <w:b/>
          <w:bCs/>
          <w:sz w:val="22"/>
          <w:szCs w:val="22"/>
        </w:rPr>
      </w:pPr>
      <w:r>
        <w:rPr>
          <w:rFonts w:cs="Arial" w:ascii="Arial" w:hAnsi="Arial"/>
          <w:b/>
          <w:bCs/>
          <w:sz w:val="22"/>
          <w:szCs w:val="22"/>
        </w:rPr>
        <w:t>Záruční doba</w:t>
      </w:r>
    </w:p>
    <w:p>
      <w:pPr>
        <w:pStyle w:val="Normal"/>
        <w:numPr>
          <w:ilvl w:val="0"/>
          <w:numId w:val="14"/>
        </w:numPr>
        <w:jc w:val="both"/>
        <w:rPr>
          <w:rFonts w:ascii="Arial" w:hAnsi="Arial" w:cs="Arial"/>
          <w:sz w:val="22"/>
          <w:szCs w:val="22"/>
        </w:rPr>
      </w:pPr>
      <w:r>
        <w:rPr>
          <w:rFonts w:cs="Arial" w:ascii="Arial" w:hAnsi="Arial"/>
          <w:sz w:val="22"/>
          <w:szCs w:val="22"/>
        </w:rPr>
        <w:t>Záruční doba jednotlivých komodit se řídí dobou uvedenou na etiketě zboží výrobcem začíná běžet dnem podpisu protokolu o převzetí dodávky.</w:t>
      </w:r>
    </w:p>
    <w:p>
      <w:pPr>
        <w:pStyle w:val="Normal"/>
        <w:ind w:left="502" w:hanging="0"/>
        <w:jc w:val="both"/>
        <w:rPr>
          <w:rFonts w:ascii="Arial" w:hAnsi="Arial" w:cs="Arial"/>
          <w:sz w:val="22"/>
          <w:szCs w:val="22"/>
        </w:rPr>
      </w:pPr>
      <w:r>
        <w:rPr>
          <w:rFonts w:cs="Arial" w:ascii="Arial" w:hAnsi="Arial"/>
          <w:sz w:val="22"/>
          <w:szCs w:val="22"/>
        </w:rPr>
      </w:r>
    </w:p>
    <w:p>
      <w:pPr>
        <w:pStyle w:val="Normal"/>
        <w:numPr>
          <w:ilvl w:val="0"/>
          <w:numId w:val="14"/>
        </w:numPr>
        <w:jc w:val="both"/>
        <w:rPr>
          <w:rFonts w:ascii="Arial" w:hAnsi="Arial" w:cs="Arial"/>
          <w:sz w:val="22"/>
          <w:szCs w:val="22"/>
        </w:rPr>
      </w:pPr>
      <w:r>
        <w:rPr>
          <w:rFonts w:cs="Arial" w:ascii="Arial" w:hAnsi="Arial"/>
          <w:sz w:val="22"/>
          <w:szCs w:val="22"/>
        </w:rPr>
        <w:t>Prodávající odpovídá za to, že dodané zboží má uvedené vlastnosti a odpovídá platným předpisům o potravinách (zákon 258/2000 Sb. o ochraně veřejného zdraví).</w:t>
      </w:r>
    </w:p>
    <w:p>
      <w:pPr>
        <w:pStyle w:val="Normal"/>
        <w:ind w:left="142" w:hanging="0"/>
        <w:jc w:val="both"/>
        <w:rPr>
          <w:rFonts w:ascii="Arial" w:hAnsi="Arial" w:cs="Arial"/>
          <w:sz w:val="22"/>
          <w:szCs w:val="22"/>
        </w:rPr>
      </w:pPr>
      <w:r>
        <w:rPr>
          <w:rFonts w:cs="Arial" w:ascii="Arial" w:hAnsi="Arial"/>
          <w:sz w:val="22"/>
          <w:szCs w:val="22"/>
        </w:rPr>
      </w:r>
    </w:p>
    <w:p>
      <w:pPr>
        <w:pStyle w:val="Normal"/>
        <w:numPr>
          <w:ilvl w:val="0"/>
          <w:numId w:val="14"/>
        </w:numPr>
        <w:spacing w:before="0" w:after="180"/>
        <w:jc w:val="both"/>
        <w:rPr>
          <w:rFonts w:ascii="Arial" w:hAnsi="Arial" w:cs="Arial"/>
          <w:sz w:val="22"/>
          <w:szCs w:val="22"/>
        </w:rPr>
      </w:pPr>
      <w:r>
        <w:rPr>
          <w:rFonts w:cs="Arial" w:ascii="Arial" w:hAnsi="Arial"/>
          <w:sz w:val="22"/>
          <w:szCs w:val="22"/>
        </w:rPr>
        <w:t>Případné neodstranitelné vady, které budou bránit užívání předmětu smlouvy, nahradí prodávající kupujícímu novým, bezvadným plněním bez nároku na další finanční odměnu.</w:t>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r>
    </w:p>
    <w:p>
      <w:pPr>
        <w:pStyle w:val="Normal"/>
        <w:jc w:val="center"/>
        <w:rPr>
          <w:rFonts w:ascii="Arial" w:hAnsi="Arial" w:cs="Arial"/>
          <w:b/>
          <w:b/>
          <w:bCs/>
          <w:sz w:val="22"/>
          <w:szCs w:val="22"/>
        </w:rPr>
      </w:pPr>
      <w:r>
        <w:rPr>
          <w:rFonts w:cs="Arial" w:ascii="Arial" w:hAnsi="Arial"/>
          <w:b/>
          <w:bCs/>
          <w:sz w:val="22"/>
          <w:szCs w:val="22"/>
        </w:rPr>
        <w:t xml:space="preserve">IX. </w:t>
      </w:r>
    </w:p>
    <w:p>
      <w:pPr>
        <w:pStyle w:val="Normal"/>
        <w:spacing w:before="0" w:after="240"/>
        <w:jc w:val="center"/>
        <w:rPr>
          <w:rFonts w:ascii="Arial" w:hAnsi="Arial" w:cs="Arial"/>
          <w:b/>
          <w:b/>
          <w:bCs/>
          <w:sz w:val="22"/>
          <w:szCs w:val="22"/>
        </w:rPr>
      </w:pPr>
      <w:r>
        <w:rPr>
          <w:rFonts w:cs="Arial" w:ascii="Arial" w:hAnsi="Arial"/>
          <w:b/>
          <w:bCs/>
          <w:sz w:val="22"/>
          <w:szCs w:val="22"/>
        </w:rPr>
        <w:t>Platnost a účinnost smlouvy</w:t>
      </w:r>
    </w:p>
    <w:p>
      <w:pPr>
        <w:pStyle w:val="Normal"/>
        <w:numPr>
          <w:ilvl w:val="0"/>
          <w:numId w:val="5"/>
        </w:numPr>
        <w:suppressAutoHyphens w:val="false"/>
        <w:ind w:left="426" w:hanging="360"/>
        <w:jc w:val="both"/>
        <w:rPr>
          <w:rFonts w:ascii="Arial" w:hAnsi="Arial" w:cs="Arial"/>
          <w:sz w:val="22"/>
          <w:szCs w:val="22"/>
        </w:rPr>
      </w:pPr>
      <w:r>
        <w:rPr>
          <w:rFonts w:cs="Arial" w:ascii="Arial" w:hAnsi="Arial"/>
          <w:sz w:val="22"/>
          <w:szCs w:val="22"/>
        </w:rPr>
        <w:t>Tato smlouva nabývá platnosti a účinnosti dnem podpisu smlouvy odpovědnými zástupci obou smluvních stran.</w:t>
      </w:r>
    </w:p>
    <w:p>
      <w:pPr>
        <w:pStyle w:val="Normal"/>
        <w:rPr>
          <w:rFonts w:ascii="Arial" w:hAnsi="Arial" w:cs="Arial"/>
          <w:sz w:val="22"/>
          <w:szCs w:val="22"/>
        </w:rPr>
      </w:pPr>
      <w:r>
        <w:rPr>
          <w:rFonts w:cs="Arial" w:ascii="Arial" w:hAnsi="Arial"/>
          <w:sz w:val="22"/>
          <w:szCs w:val="22"/>
        </w:rPr>
      </w:r>
    </w:p>
    <w:p>
      <w:pPr>
        <w:pStyle w:val="Normal"/>
        <w:numPr>
          <w:ilvl w:val="0"/>
          <w:numId w:val="5"/>
        </w:numPr>
        <w:suppressAutoHyphens w:val="false"/>
        <w:ind w:left="426" w:hanging="360"/>
        <w:jc w:val="both"/>
        <w:rPr>
          <w:rFonts w:ascii="Arial" w:hAnsi="Arial" w:cs="Arial"/>
          <w:sz w:val="22"/>
          <w:szCs w:val="22"/>
        </w:rPr>
      </w:pPr>
      <w:r>
        <w:rPr>
          <w:rFonts w:cs="Arial" w:ascii="Arial" w:hAnsi="Arial"/>
          <w:sz w:val="22"/>
          <w:szCs w:val="22"/>
        </w:rPr>
        <w:t xml:space="preserve">Obě strany mohou smlouvu vypovědět písemně bez udání důvodů v měsíční výpovědní lhůtě, která počíná běžet první den následujícího měsíce po doručení výpovědi druhé straně. Při porušení ustanovení této smlouvy lze od smlouvy odstoupit okamžitě a to formou písemného oznámení druhé straně. </w:t>
      </w:r>
    </w:p>
    <w:p>
      <w:pPr>
        <w:pStyle w:val="Normal"/>
        <w:suppressAutoHyphens w:val="false"/>
        <w:ind w:left="426" w:hanging="0"/>
        <w:jc w:val="both"/>
        <w:rPr>
          <w:rFonts w:ascii="Arial" w:hAnsi="Arial" w:cs="Arial"/>
          <w:sz w:val="22"/>
          <w:szCs w:val="22"/>
        </w:rPr>
      </w:pPr>
      <w:r>
        <w:rPr>
          <w:rFonts w:cs="Arial" w:ascii="Arial" w:hAnsi="Arial"/>
          <w:sz w:val="22"/>
          <w:szCs w:val="22"/>
        </w:rPr>
      </w:r>
    </w:p>
    <w:p>
      <w:pPr>
        <w:pStyle w:val="Odstavec11"/>
        <w:numPr>
          <w:ilvl w:val="0"/>
          <w:numId w:val="5"/>
        </w:numPr>
        <w:spacing w:before="0" w:after="0"/>
        <w:ind w:left="426" w:hanging="360"/>
        <w:jc w:val="both"/>
        <w:rPr>
          <w:rFonts w:ascii="Arial" w:hAnsi="Arial" w:cs="Arial"/>
          <w:sz w:val="22"/>
          <w:szCs w:val="22"/>
        </w:rPr>
      </w:pPr>
      <w:r>
        <w:rPr>
          <w:rFonts w:cs="Arial" w:ascii="Arial" w:hAnsi="Arial"/>
          <w:sz w:val="22"/>
          <w:szCs w:val="22"/>
        </w:rPr>
        <w:t>Kupující je oprávněn odstoupit bez jakýchkoli sankcí od této smlouvy zejména v případech, že:</w:t>
      </w:r>
    </w:p>
    <w:p>
      <w:pPr>
        <w:pStyle w:val="StylZa0b"/>
        <w:numPr>
          <w:ilvl w:val="0"/>
          <w:numId w:val="7"/>
        </w:numPr>
        <w:ind w:left="709" w:hanging="283"/>
        <w:jc w:val="both"/>
        <w:rPr>
          <w:rFonts w:ascii="Arial" w:hAnsi="Arial" w:cs="Arial"/>
          <w:color w:val="000000"/>
          <w:sz w:val="22"/>
          <w:szCs w:val="22"/>
        </w:rPr>
      </w:pPr>
      <w:r>
        <w:rPr>
          <w:rFonts w:cs="Arial" w:ascii="Arial" w:hAnsi="Arial"/>
          <w:sz w:val="22"/>
          <w:szCs w:val="22"/>
        </w:rPr>
        <w:t>nebude prodávajícím dodána i část předmětu smlouvy ve smluvené kvalitě</w:t>
      </w:r>
    </w:p>
    <w:p>
      <w:pPr>
        <w:pStyle w:val="StylZa0b"/>
        <w:numPr>
          <w:ilvl w:val="0"/>
          <w:numId w:val="7"/>
        </w:numPr>
        <w:ind w:left="709" w:hanging="283"/>
        <w:rPr>
          <w:rFonts w:ascii="Arial" w:hAnsi="Arial" w:cs="Arial"/>
          <w:sz w:val="22"/>
          <w:szCs w:val="22"/>
        </w:rPr>
      </w:pPr>
      <w:r>
        <w:rPr>
          <w:rFonts w:cs="Arial" w:ascii="Arial" w:hAnsi="Arial"/>
          <w:sz w:val="22"/>
          <w:szCs w:val="22"/>
        </w:rPr>
        <w:t>postupuje-li prodávající při provádění předmětu smlouvy v rozporu s ujednáními této smlouvy, s pokyny oprávněného zástupce kupujícího nebo s právními předpisy a jinými normami vztahujícími se k předmětu plnění.</w:t>
      </w:r>
    </w:p>
    <w:p>
      <w:pPr>
        <w:pStyle w:val="Normal"/>
        <w:ind w:left="709" w:hanging="0"/>
        <w:rPr>
          <w:rFonts w:ascii="Arial" w:hAnsi="Arial" w:cs="Arial"/>
          <w:sz w:val="22"/>
          <w:szCs w:val="22"/>
        </w:rPr>
      </w:pPr>
      <w:r>
        <w:rPr>
          <w:rFonts w:cs="Arial" w:ascii="Arial" w:hAnsi="Arial"/>
          <w:sz w:val="22"/>
          <w:szCs w:val="22"/>
        </w:rPr>
      </w:r>
    </w:p>
    <w:p>
      <w:pPr>
        <w:pStyle w:val="Normal"/>
        <w:numPr>
          <w:ilvl w:val="0"/>
          <w:numId w:val="5"/>
        </w:numPr>
        <w:suppressAutoHyphens w:val="false"/>
        <w:ind w:left="426" w:hanging="360"/>
        <w:jc w:val="both"/>
        <w:rPr>
          <w:rFonts w:ascii="Arial" w:hAnsi="Arial" w:cs="Arial"/>
          <w:sz w:val="22"/>
          <w:szCs w:val="22"/>
        </w:rPr>
      </w:pPr>
      <w:r>
        <w:rPr>
          <w:rFonts w:cs="Arial" w:ascii="Arial" w:hAnsi="Arial"/>
          <w:sz w:val="22"/>
          <w:szCs w:val="22"/>
        </w:rPr>
        <w:t>Skončením účinnosti smlouvy zanikají všechny závazky smluvních stran ze smlouvy, s výjimkou odpovědnosti prodávajícího ze záruky. Skončením účinnosti nebo jejím zánikem nezanikají nároky na náhradu škody a zaplacení smluvních pokut sjednaných pro případ porušení smluvních povinností vzniklé před skončením účinnosti smlouvy, a ty závazky smluvních stran, které podle smlouvy nebo vzhledem ke své povaze mají trvat i nadále, nebo u kterých tak stanoví zákon.</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X.</w:t>
      </w:r>
    </w:p>
    <w:p>
      <w:pPr>
        <w:pStyle w:val="Normal"/>
        <w:spacing w:before="0" w:after="240"/>
        <w:jc w:val="center"/>
        <w:rPr>
          <w:rFonts w:ascii="Arial" w:hAnsi="Arial" w:cs="Arial"/>
          <w:b/>
          <w:b/>
          <w:sz w:val="22"/>
          <w:szCs w:val="22"/>
        </w:rPr>
      </w:pPr>
      <w:r>
        <w:rPr>
          <w:rFonts w:cs="Arial" w:ascii="Arial" w:hAnsi="Arial"/>
          <w:b/>
          <w:sz w:val="22"/>
          <w:szCs w:val="22"/>
        </w:rPr>
        <w:t>Kontaktní osoby</w:t>
      </w:r>
    </w:p>
    <w:p>
      <w:pPr>
        <w:pStyle w:val="Normal"/>
        <w:numPr>
          <w:ilvl w:val="0"/>
          <w:numId w:val="4"/>
        </w:numPr>
        <w:suppressAutoHyphens w:val="false"/>
        <w:ind w:left="426" w:hanging="360"/>
        <w:jc w:val="both"/>
        <w:rPr>
          <w:rFonts w:ascii="Arial" w:hAnsi="Arial" w:cs="Arial"/>
          <w:sz w:val="22"/>
          <w:szCs w:val="22"/>
        </w:rPr>
      </w:pPr>
      <w:r>
        <w:rPr>
          <w:rFonts w:cs="Arial" w:ascii="Arial" w:hAnsi="Arial"/>
          <w:sz w:val="22"/>
          <w:szCs w:val="22"/>
        </w:rPr>
        <w:t>Strany se dohodly a prodávající určil, že osobou oprávněnou k jednání za prodávajícího ve věcech, které se týkají této smlouvy a její realizace je/jsou:</w:t>
      </w:r>
    </w:p>
    <w:p>
      <w:pPr>
        <w:pStyle w:val="Normal"/>
        <w:ind w:left="708" w:hanging="0"/>
        <w:rPr>
          <w:rFonts w:ascii="Arial" w:hAnsi="Arial" w:cs="Arial"/>
          <w:sz w:val="22"/>
          <w:szCs w:val="22"/>
        </w:rPr>
      </w:pPr>
      <w:r>
        <w:rPr>
          <w:rFonts w:cs="Arial" w:ascii="Arial" w:hAnsi="Arial"/>
          <w:sz w:val="22"/>
          <w:szCs w:val="22"/>
        </w:rPr>
        <w:t xml:space="preserve">Jméno: </w:t>
        <w:tab/>
      </w:r>
      <w:r>
        <w:rPr>
          <w:rFonts w:cs="Arial" w:ascii="Arial" w:hAnsi="Arial"/>
          <w:sz w:val="22"/>
          <w:szCs w:val="22"/>
          <w:shd w:fill="auto" w:val="clear"/>
        </w:rPr>
        <w:t>Petra Zárybnická</w:t>
      </w:r>
    </w:p>
    <w:p>
      <w:pPr>
        <w:pStyle w:val="Normal"/>
        <w:ind w:left="708" w:hanging="0"/>
        <w:rPr>
          <w:shd w:fill="auto" w:val="clear"/>
        </w:rPr>
      </w:pPr>
      <w:r>
        <w:rPr>
          <w:rFonts w:cs="Arial" w:ascii="Arial" w:hAnsi="Arial"/>
          <w:sz w:val="22"/>
          <w:szCs w:val="22"/>
          <w:shd w:fill="auto" w:val="clear"/>
        </w:rPr>
        <w:t>email:</w:t>
        <w:tab/>
        <w:tab/>
        <w:t>zarybnickap@kostpv.cz</w:t>
      </w:r>
    </w:p>
    <w:p>
      <w:pPr>
        <w:pStyle w:val="Normal"/>
        <w:ind w:left="708" w:hanging="0"/>
        <w:rPr>
          <w:shd w:fill="auto" w:val="clear"/>
        </w:rPr>
      </w:pPr>
      <w:r>
        <w:rPr>
          <w:rFonts w:cs="Arial" w:ascii="Arial" w:hAnsi="Arial"/>
          <w:sz w:val="22"/>
          <w:szCs w:val="22"/>
          <w:shd w:fill="auto" w:val="clear"/>
        </w:rPr>
        <w:t xml:space="preserve">tel.: </w:t>
        <w:tab/>
        <w:t xml:space="preserve">            603 306 661</w:t>
        <w:tab/>
      </w:r>
    </w:p>
    <w:p>
      <w:pPr>
        <w:pStyle w:val="Normal"/>
        <w:ind w:left="708" w:hanging="0"/>
        <w:rPr>
          <w:shd w:fill="auto" w:val="clear"/>
        </w:rPr>
      </w:pPr>
      <w:r>
        <w:rPr>
          <w:shd w:fill="auto" w:val="clear"/>
        </w:rPr>
      </w:r>
    </w:p>
    <w:p>
      <w:pPr>
        <w:pStyle w:val="Normal"/>
        <w:numPr>
          <w:ilvl w:val="0"/>
          <w:numId w:val="4"/>
        </w:numPr>
        <w:suppressAutoHyphens w:val="false"/>
        <w:ind w:left="426" w:hanging="360"/>
        <w:jc w:val="both"/>
        <w:rPr>
          <w:rFonts w:ascii="Arial" w:hAnsi="Arial" w:cs="Arial"/>
          <w:sz w:val="22"/>
          <w:szCs w:val="22"/>
        </w:rPr>
      </w:pPr>
      <w:r>
        <w:rPr>
          <w:rFonts w:cs="Arial" w:ascii="Arial" w:hAnsi="Arial"/>
          <w:sz w:val="22"/>
          <w:szCs w:val="22"/>
        </w:rPr>
        <w:t>Strany se dohodly a kupující určil, že osobou oprávněnou k jednání za kupujícího ve věcech, které se týkají této smlouvy, její realizace a podávání pokynů prodávajícímu je:</w:t>
      </w:r>
    </w:p>
    <w:p>
      <w:pPr>
        <w:pStyle w:val="Normal"/>
        <w:ind w:left="709" w:hanging="0"/>
        <w:rPr>
          <w:rFonts w:ascii="Arial" w:hAnsi="Arial" w:cs="Arial"/>
          <w:b/>
          <w:b/>
          <w:sz w:val="22"/>
          <w:szCs w:val="22"/>
        </w:rPr>
      </w:pPr>
      <w:r>
        <w:rPr>
          <w:rFonts w:cs="Arial" w:ascii="Arial" w:hAnsi="Arial"/>
          <w:sz w:val="22"/>
          <w:szCs w:val="22"/>
        </w:rPr>
        <w:t xml:space="preserve">Jméno: </w:t>
        <w:tab/>
      </w:r>
      <w:r>
        <w:rPr>
          <w:rFonts w:cs="Arial" w:ascii="Arial" w:hAnsi="Arial"/>
          <w:b/>
          <w:bCs/>
          <w:sz w:val="22"/>
          <w:szCs w:val="22"/>
        </w:rPr>
        <w:t>Marcela Marciánová,</w:t>
      </w:r>
      <w:r>
        <w:rPr>
          <w:rFonts w:cs="Arial" w:ascii="Arial" w:hAnsi="Arial"/>
          <w:b/>
          <w:sz w:val="22"/>
          <w:szCs w:val="22"/>
        </w:rPr>
        <w:t xml:space="preserve"> vedoucí ŠJ; Marcela Klíčová, hlavní kuchařka</w:t>
      </w:r>
    </w:p>
    <w:p>
      <w:pPr>
        <w:pStyle w:val="Normal"/>
        <w:ind w:left="708" w:hanging="0"/>
        <w:rPr>
          <w:rFonts w:ascii="Arial" w:hAnsi="Arial" w:cs="Arial"/>
          <w:b/>
          <w:b/>
          <w:sz w:val="22"/>
          <w:szCs w:val="22"/>
        </w:rPr>
      </w:pPr>
      <w:r>
        <w:rPr>
          <w:rFonts w:cs="Arial" w:ascii="Arial" w:hAnsi="Arial"/>
          <w:sz w:val="22"/>
          <w:szCs w:val="22"/>
        </w:rPr>
        <w:t>email:</w:t>
      </w:r>
      <w:r>
        <w:rPr>
          <w:rFonts w:cs="Arial" w:ascii="Arial" w:hAnsi="Arial"/>
          <w:b/>
          <w:i/>
          <w:sz w:val="22"/>
          <w:szCs w:val="22"/>
        </w:rPr>
        <w:tab/>
        <w:tab/>
      </w:r>
      <w:r>
        <w:rPr>
          <w:rFonts w:cs="Arial" w:ascii="Arial" w:hAnsi="Arial"/>
          <w:b/>
          <w:color w:val="000000"/>
          <w:sz w:val="22"/>
          <w:szCs w:val="22"/>
          <w:u w:val="single"/>
          <w:shd w:fill="FFFFFF" w:val="clear"/>
        </w:rPr>
        <w:t>skolnijidelnasmetanova@seznam.cz</w:t>
      </w:r>
      <w:r>
        <w:rPr>
          <w:rFonts w:cs="Arial" w:ascii="Arial" w:hAnsi="Arial"/>
          <w:b/>
          <w:color w:val="000000"/>
          <w:sz w:val="22"/>
          <w:szCs w:val="22"/>
          <w:shd w:fill="FFFFFF" w:val="clear"/>
        </w:rPr>
        <w:t xml:space="preserve"> </w:t>
      </w:r>
    </w:p>
    <w:p>
      <w:pPr>
        <w:pStyle w:val="Normal"/>
        <w:ind w:left="708" w:hanging="0"/>
        <w:rPr>
          <w:rFonts w:ascii="Arial" w:hAnsi="Arial" w:cs="Arial"/>
          <w:sz w:val="22"/>
          <w:szCs w:val="22"/>
        </w:rPr>
      </w:pPr>
      <w:r>
        <w:rPr>
          <w:rFonts w:cs="Arial" w:ascii="Arial" w:hAnsi="Arial"/>
          <w:sz w:val="22"/>
          <w:szCs w:val="22"/>
        </w:rPr>
        <w:t>tel.:</w:t>
      </w:r>
      <w:r>
        <w:rPr>
          <w:rFonts w:cs="Arial" w:ascii="Arial" w:hAnsi="Arial"/>
          <w:b/>
          <w:i/>
          <w:sz w:val="22"/>
          <w:szCs w:val="22"/>
        </w:rPr>
        <w:t xml:space="preserve"> </w:t>
        <w:tab/>
      </w:r>
      <w:r>
        <w:rPr>
          <w:rFonts w:cs="Arial" w:ascii="Arial" w:hAnsi="Arial"/>
          <w:sz w:val="22"/>
          <w:szCs w:val="22"/>
        </w:rPr>
        <w:tab/>
        <w:t>582 360 321, 733 629 822</w:t>
      </w:r>
    </w:p>
    <w:p>
      <w:pPr>
        <w:pStyle w:val="Normal"/>
        <w:ind w:left="708" w:hanging="0"/>
        <w:rPr>
          <w:rFonts w:ascii="Arial" w:hAnsi="Arial" w:cs="Arial"/>
          <w:sz w:val="22"/>
          <w:szCs w:val="22"/>
        </w:rPr>
      </w:pPr>
      <w:r>
        <w:rPr>
          <w:rFonts w:cs="Arial" w:ascii="Arial" w:hAnsi="Arial"/>
          <w:sz w:val="22"/>
          <w:szCs w:val="22"/>
        </w:rPr>
      </w:r>
    </w:p>
    <w:p>
      <w:pPr>
        <w:pStyle w:val="Normal"/>
        <w:numPr>
          <w:ilvl w:val="0"/>
          <w:numId w:val="4"/>
        </w:numPr>
        <w:suppressAutoHyphens w:val="false"/>
        <w:ind w:left="426" w:hanging="360"/>
        <w:jc w:val="both"/>
        <w:rPr>
          <w:rFonts w:ascii="Arial" w:hAnsi="Arial" w:cs="Arial"/>
          <w:sz w:val="22"/>
          <w:szCs w:val="22"/>
        </w:rPr>
      </w:pPr>
      <w:r>
        <w:rPr>
          <w:rFonts w:cs="Arial" w:ascii="Arial" w:hAnsi="Arial"/>
          <w:sz w:val="22"/>
          <w:szCs w:val="22"/>
        </w:rPr>
        <w:t>Veškerá korespondence, pokyny, oznámení, žádosti, záznamy a jiné dokumenty vzniklé na základě této smlouvy mezi smluvními stranami nebo v souvislosti s ní budou vyhotoveny v písemné formě v českém jazyce a doručují se buď osobně nebo doporučenou poštou, faxem či e-mailem, k rukám a na doručovací adresy oprávněných osob dle této smlouvy.</w:t>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XI.</w:t>
      </w:r>
    </w:p>
    <w:p>
      <w:pPr>
        <w:pStyle w:val="Normal"/>
        <w:jc w:val="center"/>
        <w:rPr>
          <w:rFonts w:ascii="Arial" w:hAnsi="Arial" w:cs="Arial"/>
          <w:b/>
          <w:b/>
          <w:sz w:val="22"/>
          <w:szCs w:val="22"/>
        </w:rPr>
      </w:pPr>
      <w:r>
        <w:rPr>
          <w:rFonts w:cs="Arial" w:ascii="Arial" w:hAnsi="Arial"/>
          <w:b/>
          <w:sz w:val="22"/>
          <w:szCs w:val="22"/>
        </w:rPr>
        <w:t>Reklamace</w:t>
      </w:r>
    </w:p>
    <w:p>
      <w:pPr>
        <w:pStyle w:val="Normal"/>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rPr>
          <w:rFonts w:ascii="Arial" w:hAnsi="Arial" w:cs="Arial"/>
          <w:b/>
          <w:b/>
          <w:sz w:val="22"/>
          <w:szCs w:val="22"/>
        </w:rPr>
      </w:pPr>
      <w:r>
        <w:rPr>
          <w:rFonts w:cs="Arial" w:ascii="Arial" w:hAnsi="Arial"/>
          <w:sz w:val="22"/>
          <w:szCs w:val="22"/>
        </w:rPr>
        <w:t>Kupující je povinen prohlédnout zboží ihned při jeho odevzdání – převzetí a zjistit jeho kvalitu a množství a ihned informovat prodávajícího nebo dopravce, pokud je zboží dodáno v nesouladu s objednávkou, dodacím listem, fakturou. Případné vady kupující reklamuje ihned na místě. Dále se postupuje dle předpisu č.634/1992 Sb., Zákon o ochraně spotřebitele.</w:t>
      </w:r>
    </w:p>
    <w:p>
      <w:pPr>
        <w:pStyle w:val="Normal"/>
        <w:suppressAutoHyphens w:val="false"/>
        <w:ind w:left="426" w:hanging="0"/>
        <w:rPr>
          <w:rFonts w:ascii="Arial" w:hAnsi="Arial" w:cs="Arial"/>
          <w:b/>
          <w:b/>
          <w:sz w:val="22"/>
          <w:szCs w:val="22"/>
        </w:rPr>
      </w:pPr>
      <w:r>
        <w:rPr>
          <w:rFonts w:cs="Arial" w:ascii="Arial" w:hAnsi="Arial"/>
          <w:b/>
          <w:sz w:val="22"/>
          <w:szCs w:val="22"/>
        </w:rPr>
      </w:r>
    </w:p>
    <w:p>
      <w:pPr>
        <w:pStyle w:val="Normal"/>
        <w:suppressAutoHyphens w:val="false"/>
        <w:ind w:left="426" w:hanging="0"/>
        <w:rPr>
          <w:rFonts w:ascii="Arial" w:hAnsi="Arial" w:cs="Arial"/>
          <w:b/>
          <w:b/>
          <w:sz w:val="22"/>
          <w:szCs w:val="22"/>
        </w:rPr>
      </w:pPr>
      <w:r>
        <w:rPr>
          <w:rFonts w:cs="Arial" w:ascii="Arial" w:hAnsi="Arial"/>
          <w:b/>
          <w:sz w:val="22"/>
          <w:szCs w:val="22"/>
        </w:rPr>
      </w:r>
    </w:p>
    <w:p>
      <w:pPr>
        <w:pStyle w:val="Normal"/>
        <w:suppressAutoHyphens w:val="false"/>
        <w:ind w:left="426" w:hanging="0"/>
        <w:rPr>
          <w:rFonts w:ascii="Arial" w:hAnsi="Arial" w:cs="Arial"/>
          <w:b/>
          <w:b/>
          <w:sz w:val="22"/>
          <w:szCs w:val="22"/>
        </w:rPr>
      </w:pPr>
      <w:r>
        <w:rPr>
          <w:rFonts w:cs="Arial" w:ascii="Arial" w:hAnsi="Arial"/>
          <w:b/>
          <w:sz w:val="22"/>
          <w:szCs w:val="22"/>
        </w:rPr>
      </w:r>
    </w:p>
    <w:p>
      <w:pPr>
        <w:pStyle w:val="Normal"/>
        <w:jc w:val="center"/>
        <w:rPr>
          <w:rFonts w:ascii="Arial" w:hAnsi="Arial" w:cs="Arial"/>
          <w:b/>
          <w:b/>
          <w:sz w:val="22"/>
          <w:szCs w:val="22"/>
        </w:rPr>
      </w:pPr>
      <w:r>
        <w:rPr>
          <w:rFonts w:cs="Arial" w:ascii="Arial" w:hAnsi="Arial"/>
          <w:b/>
          <w:sz w:val="22"/>
          <w:szCs w:val="22"/>
        </w:rPr>
        <w:t>XII.</w:t>
      </w:r>
    </w:p>
    <w:p>
      <w:pPr>
        <w:pStyle w:val="Normal"/>
        <w:jc w:val="center"/>
        <w:rPr>
          <w:rFonts w:ascii="Arial" w:hAnsi="Arial" w:cs="Arial"/>
          <w:b/>
          <w:b/>
          <w:sz w:val="22"/>
          <w:szCs w:val="22"/>
        </w:rPr>
      </w:pPr>
      <w:r>
        <w:rPr>
          <w:rFonts w:cs="Arial" w:ascii="Arial" w:hAnsi="Arial"/>
          <w:b/>
          <w:sz w:val="22"/>
          <w:szCs w:val="22"/>
        </w:rPr>
        <w:t>Závěrečná ustanovení</w:t>
      </w:r>
    </w:p>
    <w:p>
      <w:pPr>
        <w:pStyle w:val="Normal"/>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jc w:val="both"/>
        <w:rPr>
          <w:rFonts w:ascii="Arial" w:hAnsi="Arial" w:cs="Arial"/>
          <w:sz w:val="22"/>
          <w:szCs w:val="22"/>
        </w:rPr>
      </w:pPr>
      <w:r>
        <w:rPr>
          <w:rFonts w:cs="Arial" w:ascii="Arial" w:hAnsi="Arial"/>
          <w:sz w:val="22"/>
          <w:szCs w:val="22"/>
        </w:rPr>
        <w:t xml:space="preserve">Vztahy mezi stranami se řídí českým právním řádem. Ve věcech smlouvou výslovně neupravených se právní vztahy z ní vznikající a vyplývající řídí příslušnými ustanoveními zákona č. </w:t>
      </w:r>
      <w:r>
        <w:rPr>
          <w:rFonts w:cs="Arial" w:ascii="Arial" w:hAnsi="Arial"/>
          <w:iCs/>
          <w:sz w:val="22"/>
          <w:szCs w:val="22"/>
        </w:rPr>
        <w:t>89/2012 Sb., občanský zákoník</w:t>
      </w:r>
      <w:r>
        <w:rPr>
          <w:rFonts w:cs="Arial" w:ascii="Arial" w:hAnsi="Arial"/>
          <w:sz w:val="22"/>
          <w:szCs w:val="22"/>
        </w:rPr>
        <w:t xml:space="preserve">, ve znění pozdějších předpisů, a ostatními obecně závaznými právními předpisy. </w:t>
      </w:r>
    </w:p>
    <w:p>
      <w:pPr>
        <w:pStyle w:val="Normal"/>
        <w:ind w:left="426" w:hanging="0"/>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jc w:val="both"/>
        <w:rPr>
          <w:rFonts w:ascii="Arial" w:hAnsi="Arial" w:cs="Arial"/>
          <w:sz w:val="22"/>
          <w:szCs w:val="22"/>
        </w:rPr>
      </w:pPr>
      <w:r>
        <w:rPr>
          <w:rFonts w:cs="Arial" w:ascii="Arial" w:hAnsi="Arial"/>
          <w:sz w:val="22"/>
          <w:szCs w:val="22"/>
        </w:rPr>
        <w:t>Veškeré změny či doplnění smlouvy lze učinit pouze na základě písemné dohody smluvních stran. Takové dohody musí mít podobu datovaných, číslovaných a oběma smluvními stranami podepsaných dodatků smlouvy.</w:t>
      </w:r>
    </w:p>
    <w:p>
      <w:pPr>
        <w:pStyle w:val="Normal"/>
        <w:ind w:left="426" w:hanging="0"/>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jc w:val="both"/>
        <w:rPr>
          <w:rFonts w:ascii="Arial" w:hAnsi="Arial" w:cs="Arial"/>
          <w:sz w:val="22"/>
          <w:szCs w:val="22"/>
        </w:rPr>
      </w:pPr>
      <w:r>
        <w:rPr>
          <w:rFonts w:cs="Arial" w:ascii="Arial" w:hAnsi="Arial"/>
          <w:sz w:val="22"/>
          <w:szCs w:val="22"/>
        </w:rPr>
        <w:t xml:space="preserve">Vztahuje-li se důvod neplatnosti jen na některé ustanovení smlouvy, je neplatným pouze toto ustanovení, pokud z jeho povahy, obsahu anebo z okolností, za nichž bylo sjednáno, nevyplývá, že jej nelze oddělit od ostatního obsahu smlouvy. </w:t>
      </w:r>
    </w:p>
    <w:p>
      <w:pPr>
        <w:pStyle w:val="Normal"/>
        <w:ind w:left="426" w:hanging="0"/>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jc w:val="both"/>
        <w:rPr>
          <w:rFonts w:ascii="Arial" w:hAnsi="Arial" w:cs="Arial"/>
          <w:sz w:val="22"/>
          <w:szCs w:val="22"/>
        </w:rPr>
      </w:pPr>
      <w:r>
        <w:rPr>
          <w:rFonts w:cs="Arial" w:ascii="Arial" w:hAnsi="Arial"/>
          <w:sz w:val="22"/>
          <w:szCs w:val="22"/>
        </w:rPr>
        <w:t>Smluvní strany budou vždy usilovat o přátelské urovnání případných sporů vzniklých ze smlouvy. Pokud nebylo dosaženo přátelského urovnání sporu ani do 30 kalendářních dnů po jeho prvním oznámení druhé straně, je kterákoliv ze smluvních stran oprávněna obrátit se se svým nárokem k věcně a místně příslušnému obecnému soudu. Rozhodčí řízení je vyloučeno.</w:t>
      </w:r>
    </w:p>
    <w:p>
      <w:pPr>
        <w:pStyle w:val="Normal"/>
        <w:suppressAutoHyphens w:val="false"/>
        <w:jc w:val="both"/>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jc w:val="both"/>
        <w:rPr>
          <w:rFonts w:ascii="Arial" w:hAnsi="Arial" w:cs="Arial"/>
          <w:sz w:val="22"/>
          <w:szCs w:val="22"/>
        </w:rPr>
      </w:pPr>
      <w:r>
        <w:rPr>
          <w:rFonts w:cs="Arial" w:ascii="Arial" w:hAnsi="Arial"/>
          <w:sz w:val="22"/>
          <w:szCs w:val="22"/>
        </w:rPr>
        <w:t>Smluvní strany prohlašují, že si smlouvu před jejím podpisem přečetly a s jejím obsahem bez výhrad souhlasí. Smlouva je vyjádřením jejich pravé, skutečné, svobodné a vážné vůle. Na důkaz pravosti a pravdivosti těchto prohlášení připojují oprávnění zástupci smluvních stran své vlastnoruční podpisy.</w:t>
      </w:r>
    </w:p>
    <w:p>
      <w:pPr>
        <w:pStyle w:val="Normal"/>
        <w:ind w:left="426" w:firstLine="75"/>
        <w:rPr>
          <w:rFonts w:ascii="Arial" w:hAnsi="Arial" w:cs="Arial"/>
          <w:sz w:val="22"/>
          <w:szCs w:val="22"/>
        </w:rPr>
      </w:pPr>
      <w:r>
        <w:rPr>
          <w:rFonts w:cs="Arial" w:ascii="Arial" w:hAnsi="Arial"/>
          <w:sz w:val="22"/>
          <w:szCs w:val="22"/>
        </w:rPr>
      </w:r>
    </w:p>
    <w:p>
      <w:pPr>
        <w:pStyle w:val="Normal"/>
        <w:numPr>
          <w:ilvl w:val="0"/>
          <w:numId w:val="3"/>
        </w:numPr>
        <w:suppressAutoHyphens w:val="false"/>
        <w:ind w:left="426" w:hanging="360"/>
        <w:jc w:val="both"/>
        <w:rPr>
          <w:rFonts w:ascii="Arial" w:hAnsi="Arial" w:cs="Arial"/>
          <w:sz w:val="22"/>
          <w:szCs w:val="22"/>
        </w:rPr>
      </w:pPr>
      <w:r>
        <w:rPr>
          <w:rFonts w:cs="Arial" w:ascii="Arial" w:hAnsi="Arial"/>
          <w:sz w:val="22"/>
          <w:szCs w:val="22"/>
        </w:rPr>
        <w:t xml:space="preserve">Smlouva </w:t>
      </w:r>
      <w:r>
        <w:rPr>
          <w:rFonts w:cs="Arial" w:ascii="Arial" w:hAnsi="Arial"/>
          <w:sz w:val="22"/>
          <w:szCs w:val="22"/>
        </w:rPr>
        <w:t>j</w:t>
      </w:r>
      <w:r>
        <w:rPr>
          <w:rFonts w:cs="Arial" w:ascii="Arial" w:hAnsi="Arial"/>
          <w:sz w:val="22"/>
          <w:szCs w:val="22"/>
        </w:rPr>
        <w:t>e vyhotov</w:t>
      </w:r>
      <w:r>
        <w:rPr>
          <w:rFonts w:cs="Arial" w:ascii="Arial" w:hAnsi="Arial"/>
          <w:sz w:val="22"/>
          <w:szCs w:val="22"/>
        </w:rPr>
        <w:t>ena</w:t>
      </w:r>
      <w:r>
        <w:rPr>
          <w:rFonts w:cs="Arial" w:ascii="Arial" w:hAnsi="Arial"/>
          <w:sz w:val="22"/>
          <w:szCs w:val="22"/>
        </w:rPr>
        <w:t xml:space="preserve"> ve dvou stejnopisech, z nichž každ</w:t>
      </w:r>
      <w:r>
        <w:rPr>
          <w:rFonts w:cs="Arial" w:ascii="Arial" w:hAnsi="Arial"/>
          <w:sz w:val="22"/>
          <w:szCs w:val="22"/>
        </w:rPr>
        <w:t>á</w:t>
      </w:r>
      <w:r>
        <w:rPr>
          <w:rFonts w:cs="Arial" w:ascii="Arial" w:hAnsi="Arial"/>
          <w:sz w:val="22"/>
          <w:szCs w:val="22"/>
        </w:rPr>
        <w:t xml:space="preserve"> </w:t>
      </w:r>
      <w:r>
        <w:rPr>
          <w:rFonts w:cs="Arial" w:ascii="Arial" w:hAnsi="Arial"/>
          <w:sz w:val="22"/>
          <w:szCs w:val="22"/>
        </w:rPr>
        <w:t>strana obdrží jedno vyhotovení. Smlouvu je možno měnit pouze písemnými, vzájemně odsouhlasenými dodatky.</w:t>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r>
    </w:p>
    <w:p>
      <w:pPr>
        <w:pStyle w:val="Normal"/>
        <w:rPr>
          <w:rFonts w:ascii="Arial" w:hAnsi="Arial" w:cs="Arial"/>
          <w:sz w:val="22"/>
          <w:szCs w:val="22"/>
        </w:rPr>
      </w:pPr>
      <w:r>
        <w:rPr>
          <w:rFonts w:cs="Arial" w:ascii="Arial" w:hAnsi="Arial"/>
          <w:sz w:val="22"/>
          <w:szCs w:val="22"/>
        </w:rPr>
        <w:t xml:space="preserve">V Prostějově dne    31.3.2024         </w:t>
      </w:r>
      <w:r>
        <w:rPr>
          <w:rFonts w:cs="Arial" w:ascii="Arial" w:hAnsi="Arial"/>
          <w:sz w:val="22"/>
          <w:szCs w:val="22"/>
          <w:shd w:fill="auto" w:val="clear"/>
        </w:rPr>
        <w:tab/>
        <w:tab/>
        <w:t xml:space="preserve">           </w:t>
        <w:tab/>
        <w:t>V ………………………… dne ……………….</w:t>
      </w:r>
    </w:p>
    <w:p>
      <w:pPr>
        <w:pStyle w:val="Normal"/>
        <w:rPr>
          <w:rFonts w:ascii="Arial" w:hAnsi="Arial" w:cs="Arial"/>
          <w:sz w:val="22"/>
          <w:szCs w:val="22"/>
          <w:shd w:fill="auto" w:val="clear"/>
        </w:rPr>
      </w:pPr>
      <w:r>
        <w:rPr>
          <w:rFonts w:cs="Arial" w:ascii="Arial" w:hAnsi="Arial"/>
          <w:sz w:val="22"/>
          <w:szCs w:val="22"/>
          <w:shd w:fill="auto" w:val="clear"/>
        </w:rPr>
      </w:r>
    </w:p>
    <w:p>
      <w:pPr>
        <w:pStyle w:val="Normal"/>
        <w:rPr>
          <w:rFonts w:ascii="Arial" w:hAnsi="Arial" w:cs="Arial"/>
          <w:sz w:val="22"/>
          <w:szCs w:val="22"/>
          <w:shd w:fill="auto" w:val="clear"/>
        </w:rPr>
      </w:pPr>
      <w:r>
        <w:rPr>
          <w:rFonts w:cs="Arial" w:ascii="Arial" w:hAnsi="Arial"/>
          <w:sz w:val="22"/>
          <w:szCs w:val="22"/>
          <w:shd w:fill="auto" w:val="clear"/>
        </w:rPr>
      </w:r>
      <w:bookmarkStart w:id="0" w:name="_GoBack"/>
      <w:bookmarkStart w:id="1" w:name="_GoBack"/>
      <w:bookmarkEnd w:id="1"/>
    </w:p>
    <w:p>
      <w:pPr>
        <w:pStyle w:val="Normal"/>
        <w:rPr>
          <w:shd w:fill="auto" w:val="clear"/>
        </w:rPr>
      </w:pPr>
      <w:r>
        <w:rPr>
          <w:rFonts w:cs="Arial" w:ascii="Arial" w:hAnsi="Arial"/>
          <w:sz w:val="22"/>
          <w:szCs w:val="22"/>
          <w:shd w:fill="auto" w:val="clear"/>
        </w:rPr>
        <w:t>Za kupujícího:</w:t>
        <w:tab/>
        <w:tab/>
        <w:tab/>
        <w:tab/>
        <w:tab/>
        <w:tab/>
        <w:t xml:space="preserve">            Za prodávajícího:</w:t>
      </w:r>
    </w:p>
    <w:p>
      <w:pPr>
        <w:pStyle w:val="Normal"/>
        <w:rPr>
          <w:shd w:fill="auto" w:val="clear"/>
        </w:rPr>
      </w:pPr>
      <w:r>
        <w:rPr>
          <w:rFonts w:cs="Arial" w:ascii="Arial" w:hAnsi="Arial"/>
          <w:sz w:val="22"/>
          <w:szCs w:val="22"/>
          <w:shd w:fill="auto" w:val="clear"/>
        </w:rPr>
        <w:tab/>
        <w:tab/>
        <w:tab/>
      </w:r>
    </w:p>
    <w:p>
      <w:pPr>
        <w:pStyle w:val="Normal"/>
        <w:rPr>
          <w:rFonts w:ascii="Arial" w:hAnsi="Arial" w:cs="Arial"/>
          <w:b/>
          <w:b/>
          <w:sz w:val="22"/>
          <w:szCs w:val="22"/>
          <w:shd w:fill="auto" w:val="clear"/>
        </w:rPr>
      </w:pPr>
      <w:r>
        <w:rPr>
          <w:rFonts w:cs="Arial" w:ascii="Arial" w:hAnsi="Arial"/>
          <w:b/>
          <w:sz w:val="22"/>
          <w:szCs w:val="22"/>
          <w:shd w:fill="auto" w:val="clear"/>
        </w:rPr>
      </w:r>
    </w:p>
    <w:p>
      <w:pPr>
        <w:pStyle w:val="Normal"/>
        <w:rPr>
          <w:shd w:fill="auto" w:val="clear"/>
        </w:rPr>
      </w:pPr>
      <w:r>
        <w:rPr>
          <w:rFonts w:cs="Arial" w:ascii="Arial" w:hAnsi="Arial"/>
          <w:sz w:val="22"/>
          <w:szCs w:val="22"/>
          <w:shd w:fill="auto" w:val="clear"/>
        </w:rPr>
        <w:t xml:space="preserve">…………………………………………… </w:t>
      </w:r>
      <w:r>
        <w:rPr>
          <w:rFonts w:cs="Arial" w:ascii="Arial" w:hAnsi="Arial"/>
          <w:sz w:val="22"/>
          <w:szCs w:val="22"/>
          <w:shd w:fill="auto" w:val="clear"/>
        </w:rPr>
        <w:tab/>
        <w:t xml:space="preserve">                  ……………………………………………</w:t>
      </w:r>
    </w:p>
    <w:p>
      <w:pPr>
        <w:pStyle w:val="Normal"/>
        <w:rPr>
          <w:shd w:fill="auto" w:val="clear"/>
        </w:rPr>
      </w:pPr>
      <w:r>
        <w:rPr>
          <w:rFonts w:cs="Arial" w:ascii="Arial" w:hAnsi="Arial"/>
          <w:b/>
          <w:sz w:val="22"/>
          <w:szCs w:val="22"/>
          <w:shd w:fill="auto" w:val="clear"/>
        </w:rPr>
        <w:t xml:space="preserve">     </w:t>
      </w:r>
      <w:r>
        <w:rPr>
          <w:rFonts w:cs="Arial" w:ascii="Arial" w:hAnsi="Arial"/>
          <w:b/>
          <w:sz w:val="22"/>
          <w:szCs w:val="22"/>
          <w:shd w:fill="auto" w:val="clear"/>
        </w:rPr>
        <w:t xml:space="preserve">Eva Pírková, ředitelka školy    </w:t>
      </w:r>
      <w:r>
        <w:rPr>
          <w:rFonts w:cs="Arial" w:ascii="Arial" w:hAnsi="Arial"/>
          <w:b/>
          <w:i/>
          <w:color w:val="00B050"/>
          <w:sz w:val="22"/>
          <w:szCs w:val="22"/>
          <w:shd w:fill="auto" w:val="clear"/>
        </w:rPr>
        <w:tab/>
      </w:r>
      <w:r>
        <w:rPr>
          <w:rFonts w:cs="Arial" w:ascii="Arial" w:hAnsi="Arial"/>
          <w:sz w:val="22"/>
          <w:szCs w:val="22"/>
          <w:shd w:fill="auto" w:val="clear"/>
        </w:rPr>
        <w:tab/>
        <w:t xml:space="preserve">                        podpis osoby oprávněné jednat  </w:t>
      </w:r>
    </w:p>
    <w:p>
      <w:pPr>
        <w:pStyle w:val="Normal"/>
        <w:rPr>
          <w:shd w:fill="auto" w:val="clear"/>
        </w:rPr>
      </w:pPr>
      <w:r>
        <w:rPr>
          <w:rFonts w:cs="Arial" w:ascii="Arial" w:hAnsi="Arial"/>
          <w:sz w:val="22"/>
          <w:szCs w:val="22"/>
          <w:shd w:fill="auto" w:val="clear"/>
        </w:rPr>
        <w:t xml:space="preserve">                                                                                                     </w:t>
      </w:r>
      <w:r>
        <w:rPr>
          <w:rFonts w:cs="Arial" w:ascii="Arial" w:hAnsi="Arial"/>
          <w:sz w:val="22"/>
          <w:szCs w:val="22"/>
          <w:shd w:fill="auto" w:val="clear"/>
        </w:rPr>
        <w:t>jménem prodávajícího</w:t>
      </w:r>
    </w:p>
    <w:sectPr>
      <w:footerReference w:type="default" r:id="rId2"/>
      <w:footerReference w:type="first" r:id="rId3"/>
      <w:type w:val="nextPage"/>
      <w:pgSz w:w="11906" w:h="16838"/>
      <w:pgMar w:left="964" w:right="964" w:header="0" w:top="680" w:footer="709" w:bottom="766"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Tahoma">
    <w:charset w:val="ee"/>
    <w:family w:val="roman"/>
    <w:pitch w:val="variable"/>
  </w:font>
  <w:font w:name="Liberation Sans">
    <w:altName w:val="Arial"/>
    <w:charset w:val="ee"/>
    <w:family w:val="roman"/>
    <w:pitch w:val="variable"/>
  </w:font>
  <w:font w:name="Arial">
    <w:charset w:val="ee"/>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Verdan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582767172"/>
    </w:sdtPr>
    <w:sdtContent>
      <w:p>
        <w:pPr>
          <w:pStyle w:val="Zpat"/>
          <w:jc w:val="center"/>
          <w:rPr>
            <w:sz w:val="20"/>
            <w:szCs w:val="20"/>
          </w:rPr>
        </w:pPr>
        <w:r>
          <w:rPr>
            <w:sz w:val="20"/>
            <w:szCs w:val="20"/>
          </w:rPr>
          <w:t xml:space="preserve">Strana č. </w:t>
        </w:r>
        <w:r>
          <w:rPr>
            <w:sz w:val="20"/>
            <w:szCs w:val="20"/>
          </w:rPr>
          <w:fldChar w:fldCharType="begin"/>
        </w:r>
        <w:r>
          <w:rPr>
            <w:sz w:val="20"/>
            <w:szCs w:val="20"/>
          </w:rPr>
          <w:instrText> PAGE </w:instrText>
        </w:r>
        <w:r>
          <w:rPr>
            <w:sz w:val="20"/>
            <w:szCs w:val="20"/>
          </w:rPr>
          <w:fldChar w:fldCharType="separate"/>
        </w:r>
        <w:r>
          <w:rPr>
            <w:sz w:val="20"/>
            <w:szCs w:val="20"/>
          </w:rPr>
          <w:t>5</w:t>
        </w:r>
        <w:r>
          <w:rPr>
            <w:sz w:val="20"/>
            <w:szCs w:val="20"/>
          </w:rPr>
          <w:fldChar w:fldCharType="end"/>
        </w:r>
      </w:p>
    </w:sdtContent>
  </w:sdt>
  <w:p>
    <w:pPr>
      <w:pStyle w:val="Zpat"/>
      <w:jc w:val="center"/>
      <w:rPr>
        <w:sz w:val="20"/>
        <w:szCs w:val="20"/>
      </w:rPr>
    </w:pPr>
    <w:r>
      <w:rPr>
        <w:sz w:val="20"/>
        <w:szCs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262827660"/>
    </w:sdtPr>
    <w:sdtContent>
      <w:p>
        <w:pPr>
          <w:pStyle w:val="Zpat"/>
          <w:jc w:val="center"/>
          <w:rPr/>
        </w:pPr>
        <w:r>
          <w:rPr>
            <w:sz w:val="20"/>
            <w:szCs w:val="20"/>
          </w:rPr>
          <w:t xml:space="preserve">Strana č. </w:t>
        </w:r>
        <w:r>
          <w:rPr>
            <w:sz w:val="20"/>
            <w:szCs w:val="20"/>
          </w:rPr>
          <w:fldChar w:fldCharType="begin"/>
        </w:r>
        <w:r>
          <w:rPr>
            <w:sz w:val="20"/>
            <w:szCs w:val="20"/>
          </w:rPr>
          <w:instrText> PAGE </w:instrText>
        </w:r>
        <w:r>
          <w:rPr>
            <w:sz w:val="20"/>
            <w:szCs w:val="20"/>
          </w:rPr>
          <w:fldChar w:fldCharType="separate"/>
        </w:r>
        <w:r>
          <w:rPr>
            <w:sz w:val="20"/>
            <w:szCs w:val="20"/>
          </w:rPr>
          <w:t>1</w:t>
        </w:r>
        <w:r>
          <w:rPr>
            <w:sz w:val="20"/>
            <w:szCs w:val="20"/>
          </w:rPr>
          <w:fldChar w:fldCharType="end"/>
        </w:r>
      </w:p>
    </w:sdtContent>
  </w:sdt>
  <w:p>
    <w:pPr>
      <w:pStyle w:val="Zpat"/>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sz w:val="22"/>
        <w:b/>
        <w:rFonts w:ascii="Arial" w:hAnsi="Arial" w:cs="Times New Roman"/>
      </w:rPr>
    </w:lvl>
    <w:lvl w:ilvl="1">
      <w:start w:val="1"/>
      <w:numFmt w:val="decimal"/>
      <w:lvlText w:val="%1.%2."/>
      <w:lvlJc w:val="left"/>
      <w:pPr>
        <w:tabs>
          <w:tab w:val="num" w:pos="567"/>
        </w:tabs>
        <w:ind w:left="567" w:hanging="567"/>
      </w:pPr>
      <w:rPr>
        <w:sz w:val="22"/>
        <w:b/>
        <w:szCs w:val="22"/>
        <w:rFonts w:ascii="Arial" w:hAnsi="Arial" w:cs="Times New Roman"/>
      </w:rPr>
    </w:lvl>
    <w:lvl w:ilvl="2">
      <w:start w:val="1"/>
      <w:numFmt w:val="decimal"/>
      <w:lvlText w:val="%1.%2.%3."/>
      <w:lvlJc w:val="left"/>
      <w:pPr>
        <w:tabs>
          <w:tab w:val="num" w:pos="864"/>
        </w:tabs>
        <w:ind w:left="864" w:hanging="504"/>
      </w:pPr>
      <w:rPr>
        <w:rFonts w:cs="Times New Roman"/>
      </w:rPr>
    </w:lvl>
    <w:lvl w:ilvl="3">
      <w:start w:val="1"/>
      <w:numFmt w:val="decimal"/>
      <w:lvlText w:val="%1.%2.%3.%4."/>
      <w:lvlJc w:val="left"/>
      <w:pPr>
        <w:tabs>
          <w:tab w:val="num" w:pos="1440"/>
        </w:tabs>
        <w:ind w:left="1368" w:hanging="648"/>
      </w:pPr>
      <w:rPr>
        <w:rFonts w:cs="Times New Roman"/>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2">
    <w:lvl w:ilvl="0">
      <w:start w:val="1"/>
      <w:numFmt w:val="decimal"/>
      <w:lvlText w:val="%1."/>
      <w:lvlJc w:val="left"/>
      <w:pPr>
        <w:tabs>
          <w:tab w:val="num" w:pos="0"/>
        </w:tabs>
        <w:ind w:left="720"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lvl w:ilvl="0">
      <w:start w:val="1"/>
      <w:numFmt w:val="decimal"/>
      <w:lvlText w:val="%1."/>
      <w:lvlJc w:val="left"/>
      <w:pPr>
        <w:tabs>
          <w:tab w:val="num" w:pos="0"/>
        </w:tabs>
        <w:ind w:left="720" w:hanging="360"/>
      </w:pPr>
      <w:rPr>
        <w:b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
    <w:lvl w:ilvl="0">
      <w:numFmt w:val="bullet"/>
      <w:lvlText w:val="-"/>
      <w:lvlJc w:val="left"/>
      <w:pPr>
        <w:tabs>
          <w:tab w:val="num" w:pos="1062"/>
        </w:tabs>
        <w:ind w:left="1062" w:hanging="357"/>
      </w:pPr>
      <w:rPr>
        <w:rFonts w:ascii="Times New Roman" w:hAnsi="Times New Roman" w:cs="Times New Roman" w:hint="default"/>
      </w:rPr>
    </w:lvl>
    <w:lvl w:ilvl="1">
      <w:start w:val="1"/>
      <w:numFmt w:val="bullet"/>
      <w:lvlText w:val="o"/>
      <w:lvlJc w:val="left"/>
      <w:pPr>
        <w:tabs>
          <w:tab w:val="num" w:pos="2145"/>
        </w:tabs>
        <w:ind w:left="2145" w:hanging="360"/>
      </w:pPr>
      <w:rPr>
        <w:rFonts w:ascii="Courier New" w:hAnsi="Courier New" w:cs="Courier New" w:hint="default"/>
      </w:rPr>
    </w:lvl>
    <w:lvl w:ilvl="2">
      <w:start w:val="1"/>
      <w:numFmt w:val="bullet"/>
      <w:lvlText w:val=""/>
      <w:lvlJc w:val="left"/>
      <w:pPr>
        <w:tabs>
          <w:tab w:val="num" w:pos="2865"/>
        </w:tabs>
        <w:ind w:left="2865" w:hanging="360"/>
      </w:pPr>
      <w:rPr>
        <w:rFonts w:ascii="Wingdings" w:hAnsi="Wingdings" w:cs="Wingdings" w:hint="default"/>
      </w:rPr>
    </w:lvl>
    <w:lvl w:ilvl="3">
      <w:start w:val="1"/>
      <w:numFmt w:val="bullet"/>
      <w:lvlText w:val=""/>
      <w:lvlJc w:val="left"/>
      <w:pPr>
        <w:tabs>
          <w:tab w:val="num" w:pos="3585"/>
        </w:tabs>
        <w:ind w:left="3585" w:hanging="360"/>
      </w:pPr>
      <w:rPr>
        <w:rFonts w:ascii="Symbol" w:hAnsi="Symbol" w:cs="Symbol" w:hint="default"/>
      </w:rPr>
    </w:lvl>
    <w:lvl w:ilvl="4">
      <w:start w:val="1"/>
      <w:numFmt w:val="bullet"/>
      <w:lvlText w:val="o"/>
      <w:lvlJc w:val="left"/>
      <w:pPr>
        <w:tabs>
          <w:tab w:val="num" w:pos="4305"/>
        </w:tabs>
        <w:ind w:left="4305" w:hanging="360"/>
      </w:pPr>
      <w:rPr>
        <w:rFonts w:ascii="Courier New" w:hAnsi="Courier New" w:cs="Courier New" w:hint="default"/>
      </w:rPr>
    </w:lvl>
    <w:lvl w:ilvl="5">
      <w:start w:val="1"/>
      <w:numFmt w:val="bullet"/>
      <w:lvlText w:val=""/>
      <w:lvlJc w:val="left"/>
      <w:pPr>
        <w:tabs>
          <w:tab w:val="num" w:pos="5025"/>
        </w:tabs>
        <w:ind w:left="5025" w:hanging="360"/>
      </w:pPr>
      <w:rPr>
        <w:rFonts w:ascii="Wingdings" w:hAnsi="Wingdings" w:cs="Wingdings" w:hint="default"/>
      </w:rPr>
    </w:lvl>
    <w:lvl w:ilvl="6">
      <w:start w:val="1"/>
      <w:numFmt w:val="bullet"/>
      <w:lvlText w:val=""/>
      <w:lvlJc w:val="left"/>
      <w:pPr>
        <w:tabs>
          <w:tab w:val="num" w:pos="5745"/>
        </w:tabs>
        <w:ind w:left="5745" w:hanging="360"/>
      </w:pPr>
      <w:rPr>
        <w:rFonts w:ascii="Symbol" w:hAnsi="Symbol" w:cs="Symbol" w:hint="default"/>
      </w:rPr>
    </w:lvl>
    <w:lvl w:ilvl="7">
      <w:start w:val="1"/>
      <w:numFmt w:val="bullet"/>
      <w:lvlText w:val="o"/>
      <w:lvlJc w:val="left"/>
      <w:pPr>
        <w:tabs>
          <w:tab w:val="num" w:pos="6465"/>
        </w:tabs>
        <w:ind w:left="6465" w:hanging="360"/>
      </w:pPr>
      <w:rPr>
        <w:rFonts w:ascii="Courier New" w:hAnsi="Courier New" w:cs="Courier New" w:hint="default"/>
      </w:rPr>
    </w:lvl>
    <w:lvl w:ilvl="8">
      <w:start w:val="1"/>
      <w:numFmt w:val="bullet"/>
      <w:lvlText w:val=""/>
      <w:lvlJc w:val="left"/>
      <w:pPr>
        <w:tabs>
          <w:tab w:val="num" w:pos="7185"/>
        </w:tabs>
        <w:ind w:left="7185" w:hanging="360"/>
      </w:pPr>
      <w:rPr>
        <w:rFonts w:ascii="Wingdings" w:hAnsi="Wingdings" w:cs="Wingdings" w:hint="default"/>
      </w:rPr>
    </w:lvl>
  </w:abstractNum>
  <w:abstractNum w:abstractNumId="7">
    <w:lvl w:ilvl="0">
      <w:start w:val="2"/>
      <w:numFmt w:val="bullet"/>
      <w:lvlText w:val="-"/>
      <w:lvlJc w:val="left"/>
      <w:pPr>
        <w:tabs>
          <w:tab w:val="num" w:pos="0"/>
        </w:tabs>
        <w:ind w:left="720" w:hanging="360"/>
      </w:pPr>
      <w:rPr>
        <w:rFonts w:ascii="Verdana" w:hAnsi="Verdana" w:cs="Verdan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1."/>
      <w:lvlJc w:val="left"/>
      <w:pPr>
        <w:tabs>
          <w:tab w:val="num" w:pos="0"/>
        </w:tabs>
        <w:ind w:left="720" w:hanging="360"/>
      </w:pPr>
      <w:rPr>
        <w:i w:val="false"/>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1">
    <w:lvl w:ilvl="0">
      <w:start w:val="1"/>
      <w:numFmt w:val="decimal"/>
      <w:lvlText w:val="%1."/>
      <w:lvlJc w:val="left"/>
      <w:pPr>
        <w:tabs>
          <w:tab w:val="num" w:pos="720"/>
        </w:tabs>
        <w:ind w:left="720" w:hanging="360"/>
      </w:pPr>
      <w:rPr>
        <w:b w:val="false"/>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lvl w:ilvl="0">
      <w:start w:val="1"/>
      <w:numFmt w:val="decimal"/>
      <w:lvlText w:val="%1."/>
      <w:lvlJc w:val="left"/>
      <w:pPr>
        <w:tabs>
          <w:tab w:val="num" w:pos="0"/>
        </w:tabs>
        <w:ind w:left="4208" w:hanging="360"/>
      </w:pPr>
    </w:lvl>
    <w:lvl w:ilvl="1">
      <w:start w:val="1"/>
      <w:numFmt w:val="lowerLetter"/>
      <w:lvlText w:val="%2."/>
      <w:lvlJc w:val="left"/>
      <w:pPr>
        <w:tabs>
          <w:tab w:val="num" w:pos="0"/>
        </w:tabs>
        <w:ind w:left="4928" w:hanging="360"/>
      </w:pPr>
    </w:lvl>
    <w:lvl w:ilvl="2">
      <w:start w:val="1"/>
      <w:numFmt w:val="lowerRoman"/>
      <w:lvlText w:val="%3."/>
      <w:lvlJc w:val="right"/>
      <w:pPr>
        <w:tabs>
          <w:tab w:val="num" w:pos="0"/>
        </w:tabs>
        <w:ind w:left="5648" w:hanging="180"/>
      </w:pPr>
    </w:lvl>
    <w:lvl w:ilvl="3">
      <w:start w:val="1"/>
      <w:numFmt w:val="decimal"/>
      <w:lvlText w:val="%4."/>
      <w:lvlJc w:val="left"/>
      <w:pPr>
        <w:tabs>
          <w:tab w:val="num" w:pos="0"/>
        </w:tabs>
        <w:ind w:left="6368" w:hanging="360"/>
      </w:pPr>
    </w:lvl>
    <w:lvl w:ilvl="4">
      <w:start w:val="1"/>
      <w:numFmt w:val="lowerLetter"/>
      <w:lvlText w:val="%5."/>
      <w:lvlJc w:val="left"/>
      <w:pPr>
        <w:tabs>
          <w:tab w:val="num" w:pos="0"/>
        </w:tabs>
        <w:ind w:left="7088" w:hanging="360"/>
      </w:pPr>
    </w:lvl>
    <w:lvl w:ilvl="5">
      <w:start w:val="1"/>
      <w:numFmt w:val="lowerRoman"/>
      <w:lvlText w:val="%6."/>
      <w:lvlJc w:val="right"/>
      <w:pPr>
        <w:tabs>
          <w:tab w:val="num" w:pos="0"/>
        </w:tabs>
        <w:ind w:left="7808" w:hanging="180"/>
      </w:pPr>
    </w:lvl>
    <w:lvl w:ilvl="6">
      <w:start w:val="1"/>
      <w:numFmt w:val="decimal"/>
      <w:lvlText w:val="%7."/>
      <w:lvlJc w:val="left"/>
      <w:pPr>
        <w:tabs>
          <w:tab w:val="num" w:pos="0"/>
        </w:tabs>
        <w:ind w:left="8528" w:hanging="360"/>
      </w:pPr>
    </w:lvl>
    <w:lvl w:ilvl="7">
      <w:start w:val="1"/>
      <w:numFmt w:val="lowerLetter"/>
      <w:lvlText w:val="%8."/>
      <w:lvlJc w:val="left"/>
      <w:pPr>
        <w:tabs>
          <w:tab w:val="num" w:pos="0"/>
        </w:tabs>
        <w:ind w:left="9248" w:hanging="360"/>
      </w:pPr>
    </w:lvl>
    <w:lvl w:ilvl="8">
      <w:start w:val="1"/>
      <w:numFmt w:val="lowerRoman"/>
      <w:lvlText w:val="%9."/>
      <w:lvlJc w:val="right"/>
      <w:pPr>
        <w:tabs>
          <w:tab w:val="num" w:pos="0"/>
        </w:tabs>
        <w:ind w:left="9968" w:hanging="180"/>
      </w:pPr>
    </w:lvl>
  </w:abstractNum>
  <w:abstractNum w:abstractNumId="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cs-CZ" w:eastAsia="cs-CZ"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footer" w:locked="1" w:semiHidden="0" w:unhideWhenUsed="0"/>
    <w:lsdException w:name="caption" w:locked="1" w:uiPriority="0" w:qFormat="1"/>
    <w:lsdException w:name="page number" w:locked="1" w:uiPriority="0" w:semiHidden="0" w:unhideWhenUsed="0"/>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a1687"/>
    <w:pPr>
      <w:widowControl/>
      <w:suppressAutoHyphens w:val="true"/>
      <w:bidi w:val="0"/>
      <w:spacing w:before="0" w:after="0"/>
      <w:jc w:val="left"/>
    </w:pPr>
    <w:rPr>
      <w:rFonts w:ascii="Times New Roman" w:hAnsi="Times New Roman" w:eastAsia="Times New Roman" w:cs="Times New Roman"/>
      <w:color w:val="auto"/>
      <w:kern w:val="0"/>
      <w:sz w:val="24"/>
      <w:szCs w:val="24"/>
      <w:lang w:val="cs-CZ" w:eastAsia="ar-SA"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uiPriority w:val="99"/>
    <w:qFormat/>
    <w:rsid w:val="009a1687"/>
    <w:rPr>
      <w:rFonts w:cs="Times New Roman"/>
    </w:rPr>
  </w:style>
  <w:style w:type="character" w:styleId="ZhlavChar" w:customStyle="1">
    <w:name w:val="Záhlaví Char"/>
    <w:basedOn w:val="DefaultParagraphFont"/>
    <w:link w:val="Zhlav"/>
    <w:uiPriority w:val="99"/>
    <w:qFormat/>
    <w:locked/>
    <w:rsid w:val="009a1687"/>
    <w:rPr>
      <w:rFonts w:ascii="Times New Roman" w:hAnsi="Times New Roman" w:cs="Times New Roman"/>
      <w:sz w:val="20"/>
      <w:szCs w:val="20"/>
      <w:lang w:eastAsia="ar-SA" w:bidi="ar-SA"/>
    </w:rPr>
  </w:style>
  <w:style w:type="character" w:styleId="ZpatChar" w:customStyle="1">
    <w:name w:val="Zápatí Char"/>
    <w:basedOn w:val="DefaultParagraphFont"/>
    <w:link w:val="Zpat"/>
    <w:uiPriority w:val="99"/>
    <w:qFormat/>
    <w:locked/>
    <w:rsid w:val="009a1687"/>
    <w:rPr>
      <w:rFonts w:ascii="Times New Roman" w:hAnsi="Times New Roman" w:cs="Times New Roman"/>
      <w:sz w:val="24"/>
      <w:szCs w:val="24"/>
      <w:lang w:eastAsia="ar-SA" w:bidi="ar-SA"/>
    </w:rPr>
  </w:style>
  <w:style w:type="character" w:styleId="TextbublinyChar" w:customStyle="1">
    <w:name w:val="Text bubliny Char"/>
    <w:basedOn w:val="DefaultParagraphFont"/>
    <w:link w:val="Textbubliny"/>
    <w:uiPriority w:val="99"/>
    <w:semiHidden/>
    <w:qFormat/>
    <w:locked/>
    <w:rsid w:val="009a1687"/>
    <w:rPr>
      <w:rFonts w:ascii="Tahoma" w:hAnsi="Tahoma" w:cs="Tahoma"/>
      <w:sz w:val="16"/>
      <w:szCs w:val="16"/>
      <w:lang w:eastAsia="ar-SA" w:bidi="ar-SA"/>
    </w:rPr>
  </w:style>
  <w:style w:type="character" w:styleId="Annotationreference">
    <w:name w:val="annotation reference"/>
    <w:basedOn w:val="DefaultParagraphFont"/>
    <w:uiPriority w:val="99"/>
    <w:semiHidden/>
    <w:qFormat/>
    <w:rsid w:val="00d26ba6"/>
    <w:rPr>
      <w:rFonts w:cs="Times New Roman"/>
      <w:sz w:val="16"/>
      <w:szCs w:val="16"/>
    </w:rPr>
  </w:style>
  <w:style w:type="character" w:styleId="TextkomenteChar" w:customStyle="1">
    <w:name w:val="Text komentáře Char"/>
    <w:basedOn w:val="DefaultParagraphFont"/>
    <w:link w:val="Textkomente"/>
    <w:uiPriority w:val="99"/>
    <w:semiHidden/>
    <w:qFormat/>
    <w:locked/>
    <w:rsid w:val="00d26ba6"/>
    <w:rPr>
      <w:rFonts w:ascii="Times New Roman" w:hAnsi="Times New Roman" w:cs="Times New Roman"/>
      <w:sz w:val="20"/>
      <w:szCs w:val="20"/>
      <w:lang w:eastAsia="ar-SA" w:bidi="ar-SA"/>
    </w:rPr>
  </w:style>
  <w:style w:type="character" w:styleId="PedmtkomenteChar" w:customStyle="1">
    <w:name w:val="Předmět komentáře Char"/>
    <w:basedOn w:val="TextkomenteChar"/>
    <w:link w:val="Pedmtkomente"/>
    <w:uiPriority w:val="99"/>
    <w:semiHidden/>
    <w:qFormat/>
    <w:locked/>
    <w:rsid w:val="00d26ba6"/>
    <w:rPr>
      <w:rFonts w:ascii="Times New Roman" w:hAnsi="Times New Roman" w:cs="Times New Roman"/>
      <w:b/>
      <w:bCs/>
      <w:sz w:val="20"/>
      <w:szCs w:val="20"/>
      <w:lang w:eastAsia="ar-SA" w:bidi="ar-SA"/>
    </w:rPr>
  </w:style>
  <w:style w:type="character" w:styleId="H1a" w:customStyle="1">
    <w:name w:val="h1a"/>
    <w:basedOn w:val="DefaultParagraphFont"/>
    <w:uiPriority w:val="99"/>
    <w:qFormat/>
    <w:rsid w:val="0094081f"/>
    <w:rPr>
      <w:rFonts w:cs="Times New Roman"/>
    </w:rPr>
  </w:style>
  <w:style w:type="character" w:styleId="Internetovodkaz">
    <w:name w:val="Internetový odkaz"/>
    <w:basedOn w:val="DefaultParagraphFont"/>
    <w:uiPriority w:val="99"/>
    <w:unhideWhenUsed/>
    <w:rsid w:val="00da79af"/>
    <w:rPr>
      <w:color w:val="0000FF" w:themeColor="hyperlink"/>
      <w:u w:val="single"/>
    </w:rPr>
  </w:style>
  <w:style w:type="paragraph" w:styleId="Nadpis">
    <w:name w:val="Nadpis"/>
    <w:basedOn w:val="Normal"/>
    <w:next w:val="Tlotextu"/>
    <w:qFormat/>
    <w:pPr>
      <w:keepNext w:val="true"/>
      <w:spacing w:before="240" w:after="120"/>
    </w:pPr>
    <w:rPr>
      <w:rFonts w:ascii="Liberation Sans" w:hAnsi="Liberation Sans" w:eastAsia="Microsoft YaHei" w:cs="Arial"/>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w:rPr>
  </w:style>
  <w:style w:type="paragraph" w:styleId="Popisek">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Zhlavazpat">
    <w:name w:val="Záhlaví a zápatí"/>
    <w:basedOn w:val="Normal"/>
    <w:qFormat/>
    <w:pPr/>
    <w:rPr/>
  </w:style>
  <w:style w:type="paragraph" w:styleId="Zhlav">
    <w:name w:val="Header"/>
    <w:basedOn w:val="Normal"/>
    <w:link w:val="ZhlavChar"/>
    <w:uiPriority w:val="99"/>
    <w:rsid w:val="009a1687"/>
    <w:pPr>
      <w:tabs>
        <w:tab w:val="clear" w:pos="709"/>
        <w:tab w:val="center" w:pos="4536" w:leader="none"/>
        <w:tab w:val="right" w:pos="9072" w:leader="none"/>
      </w:tabs>
    </w:pPr>
    <w:rPr>
      <w:sz w:val="20"/>
      <w:szCs w:val="20"/>
    </w:rPr>
  </w:style>
  <w:style w:type="paragraph" w:styleId="Zpat">
    <w:name w:val="Footer"/>
    <w:basedOn w:val="Normal"/>
    <w:link w:val="ZpatChar"/>
    <w:uiPriority w:val="99"/>
    <w:rsid w:val="009a1687"/>
    <w:pPr>
      <w:tabs>
        <w:tab w:val="clear" w:pos="709"/>
        <w:tab w:val="center" w:pos="4536" w:leader="none"/>
        <w:tab w:val="right" w:pos="9072" w:leader="none"/>
      </w:tabs>
    </w:pPr>
    <w:rPr/>
  </w:style>
  <w:style w:type="paragraph" w:styleId="ListParagraph">
    <w:name w:val="List Paragraph"/>
    <w:basedOn w:val="Normal"/>
    <w:qFormat/>
    <w:rsid w:val="009a1687"/>
    <w:pPr>
      <w:suppressAutoHyphens w:val="false"/>
      <w:ind w:left="708" w:hanging="0"/>
    </w:pPr>
    <w:rPr>
      <w:lang w:eastAsia="cs-CZ"/>
    </w:rPr>
  </w:style>
  <w:style w:type="paragraph" w:styleId="Odstavec1" w:customStyle="1">
    <w:name w:val="Odstavec 1."/>
    <w:basedOn w:val="Normal"/>
    <w:uiPriority w:val="99"/>
    <w:qFormat/>
    <w:rsid w:val="009a1687"/>
    <w:pPr>
      <w:keepNext w:val="true"/>
      <w:numPr>
        <w:ilvl w:val="0"/>
        <w:numId w:val="1"/>
      </w:numPr>
      <w:suppressAutoHyphens w:val="false"/>
      <w:spacing w:before="360" w:after="120"/>
    </w:pPr>
    <w:rPr>
      <w:b/>
      <w:bCs/>
      <w:lang w:eastAsia="cs-CZ"/>
    </w:rPr>
  </w:style>
  <w:style w:type="paragraph" w:styleId="Odstavec11" w:customStyle="1">
    <w:name w:val="Odstavec 1.1"/>
    <w:basedOn w:val="Normal"/>
    <w:uiPriority w:val="99"/>
    <w:qFormat/>
    <w:rsid w:val="009a1687"/>
    <w:pPr>
      <w:numPr>
        <w:ilvl w:val="0"/>
        <w:numId w:val="1"/>
      </w:numPr>
      <w:suppressAutoHyphens w:val="false"/>
      <w:spacing w:before="120" w:after="0"/>
    </w:pPr>
    <w:rPr>
      <w:sz w:val="20"/>
      <w:lang w:eastAsia="cs-CZ"/>
    </w:rPr>
  </w:style>
  <w:style w:type="paragraph" w:styleId="StylZa0b" w:customStyle="1">
    <w:name w:val="Styl Za:  0 b."/>
    <w:basedOn w:val="Normal"/>
    <w:uiPriority w:val="99"/>
    <w:qFormat/>
    <w:rsid w:val="009a1687"/>
    <w:pPr>
      <w:numPr>
        <w:ilvl w:val="0"/>
        <w:numId w:val="6"/>
      </w:numPr>
      <w:suppressAutoHyphens w:val="false"/>
    </w:pPr>
    <w:rPr>
      <w:lang w:eastAsia="cs-CZ"/>
    </w:rPr>
  </w:style>
  <w:style w:type="paragraph" w:styleId="StylLatinkaArialSloitArial10bPed0cm" w:customStyle="1">
    <w:name w:val="Styl (Latinka) Arial (Složité) Arial 10 b. Před:  0 cm"/>
    <w:basedOn w:val="Normal"/>
    <w:uiPriority w:val="99"/>
    <w:qFormat/>
    <w:rsid w:val="009a1687"/>
    <w:pPr>
      <w:tabs>
        <w:tab w:val="clear" w:pos="709"/>
        <w:tab w:val="left" w:pos="1531" w:leader="none"/>
        <w:tab w:val="left" w:pos="2325" w:leader="none"/>
      </w:tabs>
      <w:suppressAutoHyphens w:val="false"/>
      <w:spacing w:lineRule="atLeast" w:line="200"/>
    </w:pPr>
    <w:rPr>
      <w:rFonts w:ascii="Arial" w:hAnsi="Arial" w:cs="Arial"/>
      <w:sz w:val="20"/>
      <w:szCs w:val="20"/>
      <w:lang w:eastAsia="en-US"/>
    </w:rPr>
  </w:style>
  <w:style w:type="paragraph" w:styleId="BalloonText">
    <w:name w:val="Balloon Text"/>
    <w:basedOn w:val="Normal"/>
    <w:link w:val="TextbublinyChar"/>
    <w:uiPriority w:val="99"/>
    <w:semiHidden/>
    <w:qFormat/>
    <w:rsid w:val="009a1687"/>
    <w:pPr/>
    <w:rPr>
      <w:rFonts w:ascii="Tahoma" w:hAnsi="Tahoma" w:cs="Tahoma"/>
      <w:sz w:val="16"/>
      <w:szCs w:val="16"/>
    </w:rPr>
  </w:style>
  <w:style w:type="paragraph" w:styleId="Annotationtext">
    <w:name w:val="annotation text"/>
    <w:basedOn w:val="Normal"/>
    <w:link w:val="TextkomenteChar"/>
    <w:uiPriority w:val="99"/>
    <w:semiHidden/>
    <w:qFormat/>
    <w:rsid w:val="00d26ba6"/>
    <w:pPr/>
    <w:rPr>
      <w:sz w:val="20"/>
      <w:szCs w:val="20"/>
    </w:rPr>
  </w:style>
  <w:style w:type="paragraph" w:styleId="Annotationsubject">
    <w:name w:val="annotation subject"/>
    <w:basedOn w:val="Annotationtext"/>
    <w:next w:val="Annotationtext"/>
    <w:link w:val="PedmtkomenteChar"/>
    <w:uiPriority w:val="99"/>
    <w:semiHidden/>
    <w:qFormat/>
    <w:rsid w:val="00d26ba6"/>
    <w:pPr/>
    <w:rPr>
      <w:b/>
      <w:bCs/>
    </w:rPr>
  </w:style>
  <w:style w:type="paragraph" w:styleId="NoSpacing">
    <w:name w:val="No Spacing"/>
    <w:uiPriority w:val="99"/>
    <w:qFormat/>
    <w:rsid w:val="00845ed8"/>
    <w:pPr>
      <w:widowControl/>
      <w:suppressAutoHyphens w:val="true"/>
      <w:bidi w:val="0"/>
      <w:spacing w:before="0" w:after="0"/>
      <w:jc w:val="left"/>
    </w:pPr>
    <w:rPr>
      <w:rFonts w:ascii="Calibri" w:hAnsi="Calibri" w:eastAsia="Calibri" w:cs="Times New Roman"/>
      <w:color w:val="auto"/>
      <w:kern w:val="0"/>
      <w:sz w:val="22"/>
      <w:szCs w:val="22"/>
      <w:lang w:val="cs-CZ" w:eastAsia="en-US" w:bidi="ar-SA"/>
    </w:rPr>
  </w:style>
  <w:style w:type="numbering" w:styleId="NoList" w:default="1">
    <w:name w:val="No List"/>
    <w:uiPriority w:val="99"/>
    <w:semiHidden/>
    <w:unhideWhenUsed/>
    <w:qFormat/>
  </w:style>
  <w:style w:type="table" w:default="1" w:styleId="Normlntabulka">
    <w:name w:val="Normal Table"/>
    <w:uiPriority w:val="99"/>
    <w:semiHidden/>
    <w:unhideWhenUsed/>
    <w:qFormat/>
    <w:tblPr>
      <w:tblCellMar>
        <w:top w:w="0" w:type="dxa"/>
        <w:left w:w="108" w:type="dxa"/>
        <w:bottom w:w="0" w:type="dxa"/>
        <w:right w:w="108" w:type="dxa"/>
      </w:tblCellMar>
    </w:tblPr>
  </w:style>
  <w:style w:type="table" w:styleId="Mkatabulky">
    <w:name w:val="Table Grid"/>
    <w:basedOn w:val="Normlntabulka"/>
    <w:rsid w:val="000462e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Eli_x0161_ka xmlns="f2cd544c-5cef-4b61-8822-7e6829d74770">true</Eli_x0161_ka>
    <V3Comments xmlns="http://schemas.microsoft.com/sharepoint/v3" xsi:nil="true"/>
    <Petr xmlns="f2cd544c-5cef-4b61-8822-7e6829d74770">false</Petr>
    <Ivo xmlns="f2cd544c-5cef-4b61-8822-7e6829d74770">false</Ivo>
    <Petra xmlns="f2cd544c-5cef-4b61-8822-7e6829d74770">false</Petra>
    <KpiComments xmlns="http://schemas.microsoft.com/sharepoint/v3" xsi:nil="true"/>
    <Martin xmlns="f2cd544c-5cef-4b61-8822-7e6829d74770">true</Martin>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D708F187663594E8A1EA6147D4C980B" ma:contentTypeVersion="9" ma:contentTypeDescription="Vytvoří nový dokument" ma:contentTypeScope="" ma:versionID="b82804a6fa364de1655d7db048ae91ed">
  <xsd:schema xmlns:xsd="http://www.w3.org/2001/XMLSchema" xmlns:xs="http://www.w3.org/2001/XMLSchema" xmlns:p="http://schemas.microsoft.com/office/2006/metadata/properties" xmlns:ns1="http://schemas.microsoft.com/sharepoint/v3" xmlns:ns2="f2cd544c-5cef-4b61-8822-7e6829d74770" xmlns:ns3="56e34804-054f-4372-9f09-cff9d9b144cb" targetNamespace="http://schemas.microsoft.com/office/2006/metadata/properties" ma:root="true" ma:fieldsID="abd48322e5e119becc75669643fcfebd" ns1:_="" ns2:_="" ns3:_="">
    <xsd:import namespace="http://schemas.microsoft.com/sharepoint/v3"/>
    <xsd:import namespace="f2cd544c-5cef-4b61-8822-7e6829d74770"/>
    <xsd:import namespace="56e34804-054f-4372-9f09-cff9d9b144cb"/>
    <xsd:element name="properties">
      <xsd:complexType>
        <xsd:sequence>
          <xsd:element name="documentManagement">
            <xsd:complexType>
              <xsd:all>
                <xsd:element ref="ns2:Petra" minOccurs="0"/>
                <xsd:element ref="ns1:V3Comments" minOccurs="0"/>
                <xsd:element ref="ns1:KpiComments" minOccurs="0"/>
                <xsd:element ref="ns2:Martin" minOccurs="0"/>
                <xsd:element ref="ns2:Petr" minOccurs="0"/>
                <xsd:element ref="ns2:Ivo" minOccurs="0"/>
                <xsd:element ref="ns2:Eli_x0161_ka"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V3Comments" ma:index="9" nillable="true" ma:displayName="Pouze připojené komentáře" ma:internalName="V3Comments">
      <xsd:simpleType>
        <xsd:restriction base="dms:Note">
          <xsd:maxLength value="255"/>
        </xsd:restriction>
      </xsd:simpleType>
    </xsd:element>
    <xsd:element name="KpiComments" ma:index="10" nillable="true" ma:displayName="Komentář k ukazateli" ma:description="Komentář popisuje aktuální stav ukazatele a může poskytovat informace o možných důvodech či potížích." ma:internalName="Kpi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cd544c-5cef-4b61-8822-7e6829d74770" elementFormDefault="qualified">
    <xsd:import namespace="http://schemas.microsoft.com/office/2006/documentManagement/types"/>
    <xsd:import namespace="http://schemas.microsoft.com/office/infopath/2007/PartnerControls"/>
    <xsd:element name="Petra" ma:index="8" nillable="true" ma:displayName="Petra" ma:default="0" ma:internalName="Petra">
      <xsd:simpleType>
        <xsd:restriction base="dms:Boolean"/>
      </xsd:simpleType>
    </xsd:element>
    <xsd:element name="Martin" ma:index="12" nillable="true" ma:displayName="Martin" ma:default="0" ma:internalName="Martin">
      <xsd:simpleType>
        <xsd:restriction base="dms:Boolean"/>
      </xsd:simpleType>
    </xsd:element>
    <xsd:element name="Petr" ma:index="13" nillable="true" ma:displayName="Petr" ma:default="0" ma:internalName="Petr">
      <xsd:simpleType>
        <xsd:restriction base="dms:Boolean"/>
      </xsd:simpleType>
    </xsd:element>
    <xsd:element name="Ivo" ma:index="14" nillable="true" ma:displayName="Ivo" ma:default="0" ma:internalName="Ivo">
      <xsd:simpleType>
        <xsd:restriction base="dms:Boolean"/>
      </xsd:simpleType>
    </xsd:element>
    <xsd:element name="Eli_x0161_ka" ma:index="15" nillable="true" ma:displayName="Eliška" ma:default="0" ma:internalName="Eli_x0161_ka">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6e34804-054f-4372-9f09-cff9d9b144cb"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ma:index="11" ma:displayName="Komentář"/>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89A1A3-4019-4121-9C10-D21AE73BD9AE}">
  <ds:schemaRefs>
    <ds:schemaRef ds:uri="http://schemas.microsoft.com/office/2006/metadata/properties"/>
    <ds:schemaRef ds:uri="http://schemas.microsoft.com/office/infopath/2007/PartnerControls"/>
    <ds:schemaRef ds:uri="f2cd544c-5cef-4b61-8822-7e6829d74770"/>
    <ds:schemaRef ds:uri="http://schemas.microsoft.com/sharepoint/v3"/>
  </ds:schemaRefs>
</ds:datastoreItem>
</file>

<file path=customXml/itemProps2.xml><?xml version="1.0" encoding="utf-8"?>
<ds:datastoreItem xmlns:ds="http://schemas.openxmlformats.org/officeDocument/2006/customXml" ds:itemID="{54615E2C-FD38-426B-9A8F-A3BDC3EED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cd544c-5cef-4b61-8822-7e6829d74770"/>
    <ds:schemaRef ds:uri="56e34804-054f-4372-9f09-cff9d9b144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A0D62B-752E-4CBA-B13C-8DBE2F79BB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387</TotalTime>
  <Application>LibreOffice/7.0.3.1$Windows_X86_64 LibreOffice_project/d7547858d014d4cf69878db179d326fc3483e082</Application>
  <Pages>5</Pages>
  <Words>1437</Words>
  <Characters>8421</Characters>
  <CharactersWithSpaces>10167</CharactersWithSpaces>
  <Paragraphs>103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Křižková Eliška</dc:creator>
  <dc:description/>
  <dc:language>cs-CZ</dc:language>
  <cp:lastModifiedBy/>
  <cp:lastPrinted>2024-03-07T11:34:20Z</cp:lastPrinted>
  <dcterms:modified xsi:type="dcterms:W3CDTF">2024-03-07T11:34:51Z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ContentTypeId">
    <vt:lpwstr>0x0101008D708F187663594E8A1EA6147D4C980B</vt:lpwstr>
  </property>
  <property fmtid="{D5CDD505-2E9C-101B-9397-08002B2CF9AE}" pid="5" name="DocSecurity">
    <vt:i4>0</vt:i4>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