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F8" w:rsidRPr="00EE42FF" w:rsidRDefault="00EE42FF" w:rsidP="00EE42FF">
      <w:pPr>
        <w:pStyle w:val="Nzev"/>
        <w:rPr>
          <w:b/>
          <w:sz w:val="48"/>
          <w:szCs w:val="48"/>
        </w:rPr>
      </w:pPr>
      <w:r w:rsidRPr="00EE42FF">
        <w:rPr>
          <w:b/>
          <w:sz w:val="48"/>
          <w:szCs w:val="48"/>
        </w:rPr>
        <w:t>Dodatek č. 8</w:t>
      </w:r>
    </w:p>
    <w:p w:rsidR="00EE42FF" w:rsidRPr="00EE42FF" w:rsidRDefault="00EE42FF" w:rsidP="00EE42FF">
      <w:pPr>
        <w:jc w:val="center"/>
        <w:rPr>
          <w:rFonts w:ascii="Arial" w:hAnsi="Arial" w:cs="Arial"/>
          <w:b/>
          <w:sz w:val="48"/>
          <w:szCs w:val="48"/>
        </w:rPr>
      </w:pPr>
      <w:r w:rsidRPr="00EE42FF">
        <w:rPr>
          <w:rFonts w:ascii="Arial" w:hAnsi="Arial" w:cs="Arial"/>
          <w:b/>
          <w:sz w:val="48"/>
          <w:szCs w:val="48"/>
        </w:rPr>
        <w:t>smlouvy</w:t>
      </w:r>
    </w:p>
    <w:p w:rsidR="00EE42FF" w:rsidRDefault="00EE42FF" w:rsidP="00EE42FF">
      <w:pPr>
        <w:jc w:val="center"/>
        <w:rPr>
          <w:rFonts w:ascii="Arial" w:hAnsi="Arial" w:cs="Arial"/>
          <w:b/>
          <w:sz w:val="48"/>
          <w:szCs w:val="48"/>
        </w:rPr>
      </w:pPr>
      <w:r w:rsidRPr="00EE42FF">
        <w:rPr>
          <w:rFonts w:ascii="Arial" w:hAnsi="Arial" w:cs="Arial"/>
          <w:b/>
          <w:sz w:val="48"/>
          <w:szCs w:val="48"/>
        </w:rPr>
        <w:t>o poskytování služeb fyzické ostrahy</w:t>
      </w:r>
    </w:p>
    <w:p w:rsidR="00EE42FF" w:rsidRDefault="00EE42FF" w:rsidP="00EE42FF">
      <w:pPr>
        <w:jc w:val="center"/>
        <w:rPr>
          <w:rFonts w:ascii="Arial" w:hAnsi="Arial" w:cs="Arial"/>
          <w:sz w:val="36"/>
          <w:szCs w:val="36"/>
        </w:rPr>
      </w:pPr>
    </w:p>
    <w:p w:rsidR="00EE42FF" w:rsidRDefault="00EE42FF" w:rsidP="00EE42FF">
      <w:pPr>
        <w:pStyle w:val="Nadpis1"/>
      </w:pPr>
      <w:r>
        <w:t>Smluvní strany</w:t>
      </w:r>
    </w:p>
    <w:p w:rsidR="00EE42FF" w:rsidRDefault="00EE42FF" w:rsidP="00EE42FF">
      <w:pPr>
        <w:jc w:val="center"/>
        <w:rPr>
          <w:rFonts w:ascii="Arial" w:hAnsi="Arial" w:cs="Arial"/>
        </w:rPr>
      </w:pPr>
    </w:p>
    <w:p w:rsidR="00EE42FF" w:rsidRDefault="00EE42FF" w:rsidP="00EE42FF">
      <w:pPr>
        <w:spacing w:after="0" w:line="240" w:lineRule="auto"/>
        <w:rPr>
          <w:rFonts w:ascii="Arial" w:hAnsi="Arial" w:cs="Arial"/>
          <w:b/>
        </w:rPr>
      </w:pPr>
      <w:r>
        <w:rPr>
          <w:rFonts w:ascii="Arial" w:hAnsi="Arial" w:cs="Arial"/>
          <w:b/>
        </w:rPr>
        <w:t>Objednatel:</w:t>
      </w:r>
    </w:p>
    <w:p w:rsidR="00EE42FF" w:rsidRDefault="00EE42FF" w:rsidP="00EE42FF">
      <w:pPr>
        <w:spacing w:after="0" w:line="240" w:lineRule="auto"/>
        <w:rPr>
          <w:rFonts w:ascii="Arial" w:hAnsi="Arial" w:cs="Arial"/>
        </w:rPr>
      </w:pPr>
    </w:p>
    <w:p w:rsidR="00EE42FF" w:rsidRDefault="00EE42FF" w:rsidP="00EE42FF">
      <w:pPr>
        <w:tabs>
          <w:tab w:val="left" w:pos="2268"/>
        </w:tabs>
        <w:spacing w:after="0" w:line="240" w:lineRule="auto"/>
        <w:rPr>
          <w:rFonts w:ascii="Arial" w:hAnsi="Arial" w:cs="Arial"/>
        </w:rPr>
      </w:pPr>
      <w:r>
        <w:rPr>
          <w:rFonts w:ascii="Arial" w:hAnsi="Arial" w:cs="Arial"/>
        </w:rPr>
        <w:t>Název:</w:t>
      </w:r>
      <w:r>
        <w:rPr>
          <w:rFonts w:ascii="Arial" w:hAnsi="Arial" w:cs="Arial"/>
        </w:rPr>
        <w:tab/>
        <w:t>Správa silnic Olomouckého kraje, příspěvková organizace</w:t>
      </w:r>
    </w:p>
    <w:p w:rsidR="00EE42FF" w:rsidRDefault="00EE42FF" w:rsidP="00EE42FF">
      <w:pPr>
        <w:tabs>
          <w:tab w:val="left" w:pos="2268"/>
        </w:tabs>
        <w:spacing w:after="0" w:line="240" w:lineRule="auto"/>
        <w:rPr>
          <w:rFonts w:ascii="Arial" w:hAnsi="Arial" w:cs="Arial"/>
        </w:rPr>
      </w:pPr>
      <w:r>
        <w:rPr>
          <w:rFonts w:ascii="Arial" w:hAnsi="Arial" w:cs="Arial"/>
        </w:rPr>
        <w:t>Sídlo:</w:t>
      </w:r>
      <w:r>
        <w:rPr>
          <w:rFonts w:ascii="Arial" w:hAnsi="Arial" w:cs="Arial"/>
        </w:rPr>
        <w:tab/>
        <w:t>Lipenská 753/120, 779 00  Olomouc</w:t>
      </w:r>
    </w:p>
    <w:p w:rsidR="00EE42FF" w:rsidRDefault="00EE42FF" w:rsidP="00EE42FF">
      <w:pPr>
        <w:tabs>
          <w:tab w:val="left" w:pos="2268"/>
        </w:tabs>
        <w:spacing w:after="0" w:line="240" w:lineRule="auto"/>
        <w:rPr>
          <w:rFonts w:ascii="Arial" w:hAnsi="Arial" w:cs="Arial"/>
        </w:rPr>
      </w:pPr>
      <w:r>
        <w:rPr>
          <w:rFonts w:ascii="Arial" w:hAnsi="Arial" w:cs="Arial"/>
        </w:rPr>
        <w:t>jednající:</w:t>
      </w:r>
      <w:r>
        <w:rPr>
          <w:rFonts w:ascii="Arial" w:hAnsi="Arial" w:cs="Arial"/>
        </w:rPr>
        <w:tab/>
        <w:t>Ing. Ivo Černý, technický náměstek pověřený zastupováním ředitele</w:t>
      </w:r>
    </w:p>
    <w:p w:rsidR="00EE42FF" w:rsidRDefault="00EE42FF" w:rsidP="00EE42FF">
      <w:pPr>
        <w:tabs>
          <w:tab w:val="left" w:pos="2268"/>
        </w:tabs>
        <w:spacing w:after="0" w:line="240" w:lineRule="auto"/>
        <w:rPr>
          <w:rFonts w:ascii="Arial" w:hAnsi="Arial" w:cs="Arial"/>
        </w:rPr>
      </w:pPr>
      <w:r>
        <w:rPr>
          <w:rFonts w:ascii="Arial" w:hAnsi="Arial" w:cs="Arial"/>
        </w:rPr>
        <w:t>IČO:</w:t>
      </w:r>
      <w:r>
        <w:rPr>
          <w:rFonts w:ascii="Arial" w:hAnsi="Arial" w:cs="Arial"/>
        </w:rPr>
        <w:tab/>
        <w:t>70960399</w:t>
      </w:r>
    </w:p>
    <w:p w:rsidR="00EE42FF" w:rsidRDefault="00EE42FF" w:rsidP="00EE42FF">
      <w:pPr>
        <w:tabs>
          <w:tab w:val="left" w:pos="2268"/>
        </w:tabs>
        <w:spacing w:after="0" w:line="240" w:lineRule="auto"/>
        <w:rPr>
          <w:rFonts w:ascii="Arial" w:hAnsi="Arial" w:cs="Arial"/>
        </w:rPr>
      </w:pPr>
      <w:r>
        <w:rPr>
          <w:rFonts w:ascii="Arial" w:hAnsi="Arial" w:cs="Arial"/>
        </w:rPr>
        <w:t>DIČ:</w:t>
      </w:r>
      <w:r>
        <w:rPr>
          <w:rFonts w:ascii="Arial" w:hAnsi="Arial" w:cs="Arial"/>
        </w:rPr>
        <w:tab/>
        <w:t>CZ70960399</w:t>
      </w:r>
    </w:p>
    <w:p w:rsidR="00EE42FF" w:rsidRDefault="00EE42FF" w:rsidP="00EE42FF">
      <w:pPr>
        <w:tabs>
          <w:tab w:val="left" w:pos="2268"/>
        </w:tabs>
        <w:spacing w:after="0" w:line="240" w:lineRule="auto"/>
        <w:rPr>
          <w:rFonts w:ascii="Arial" w:hAnsi="Arial" w:cs="Arial"/>
        </w:rPr>
      </w:pPr>
      <w:r w:rsidRPr="00EE42FF">
        <w:rPr>
          <w:rFonts w:ascii="Arial" w:hAnsi="Arial" w:cs="Arial"/>
        </w:rPr>
        <w:t>Bankovní spojení:</w:t>
      </w:r>
      <w:r w:rsidRPr="00EE42FF">
        <w:rPr>
          <w:rFonts w:ascii="Arial" w:hAnsi="Arial" w:cs="Arial"/>
        </w:rPr>
        <w:tab/>
      </w:r>
      <w:r>
        <w:rPr>
          <w:rFonts w:ascii="Arial" w:hAnsi="Arial" w:cs="Arial"/>
        </w:rPr>
        <w:t>Komerční banka, a. s.</w:t>
      </w:r>
    </w:p>
    <w:p w:rsidR="00EE42FF" w:rsidRDefault="00EE42FF" w:rsidP="00EE42FF">
      <w:pPr>
        <w:tabs>
          <w:tab w:val="left" w:pos="2268"/>
        </w:tabs>
        <w:spacing w:after="0" w:line="240" w:lineRule="auto"/>
        <w:rPr>
          <w:rFonts w:ascii="Arial" w:hAnsi="Arial" w:cs="Arial"/>
        </w:rPr>
      </w:pPr>
      <w:r>
        <w:rPr>
          <w:rFonts w:ascii="Arial" w:hAnsi="Arial" w:cs="Arial"/>
        </w:rPr>
        <w:t>č. účtu:</w:t>
      </w:r>
      <w:r>
        <w:rPr>
          <w:rFonts w:ascii="Arial" w:hAnsi="Arial" w:cs="Arial"/>
        </w:rPr>
        <w:tab/>
        <w:t>27-4230410257/0100</w:t>
      </w:r>
    </w:p>
    <w:p w:rsidR="00EE42FF" w:rsidRDefault="00EE42FF" w:rsidP="00EE42FF">
      <w:pPr>
        <w:tabs>
          <w:tab w:val="left" w:pos="2268"/>
        </w:tabs>
        <w:spacing w:after="0" w:line="240" w:lineRule="auto"/>
        <w:rPr>
          <w:rFonts w:ascii="Arial" w:hAnsi="Arial" w:cs="Arial"/>
        </w:rPr>
      </w:pPr>
    </w:p>
    <w:p w:rsidR="00EE42FF" w:rsidRDefault="00EE42FF" w:rsidP="00EE42FF">
      <w:pPr>
        <w:tabs>
          <w:tab w:val="left" w:pos="2268"/>
        </w:tabs>
        <w:spacing w:after="0" w:line="240" w:lineRule="auto"/>
        <w:rPr>
          <w:rFonts w:ascii="Arial" w:hAnsi="Arial" w:cs="Arial"/>
        </w:rPr>
      </w:pPr>
    </w:p>
    <w:p w:rsidR="00EE42FF" w:rsidRDefault="00EE42FF" w:rsidP="00EE42FF">
      <w:pPr>
        <w:tabs>
          <w:tab w:val="left" w:pos="2268"/>
        </w:tabs>
        <w:spacing w:after="0" w:line="240" w:lineRule="auto"/>
        <w:rPr>
          <w:rFonts w:ascii="Arial" w:hAnsi="Arial" w:cs="Arial"/>
        </w:rPr>
      </w:pPr>
      <w:r>
        <w:rPr>
          <w:rFonts w:ascii="Arial" w:hAnsi="Arial" w:cs="Arial"/>
          <w:b/>
        </w:rPr>
        <w:t>Zhotovitel:</w:t>
      </w:r>
    </w:p>
    <w:p w:rsidR="00EE42FF" w:rsidRDefault="00EE42FF" w:rsidP="00EE42FF">
      <w:pPr>
        <w:tabs>
          <w:tab w:val="left" w:pos="2268"/>
        </w:tabs>
        <w:spacing w:after="0" w:line="240" w:lineRule="auto"/>
        <w:rPr>
          <w:rFonts w:ascii="Arial" w:hAnsi="Arial" w:cs="Arial"/>
        </w:rPr>
      </w:pPr>
    </w:p>
    <w:p w:rsidR="00EE42FF" w:rsidRDefault="00EE42FF" w:rsidP="00EE42FF">
      <w:pPr>
        <w:tabs>
          <w:tab w:val="left" w:pos="2268"/>
        </w:tabs>
        <w:spacing w:after="0" w:line="240" w:lineRule="auto"/>
        <w:rPr>
          <w:rFonts w:ascii="Arial" w:hAnsi="Arial" w:cs="Arial"/>
        </w:rPr>
      </w:pPr>
      <w:r>
        <w:rPr>
          <w:rFonts w:ascii="Arial" w:hAnsi="Arial" w:cs="Arial"/>
        </w:rPr>
        <w:t>Název:</w:t>
      </w:r>
      <w:r>
        <w:rPr>
          <w:rFonts w:ascii="Arial" w:hAnsi="Arial" w:cs="Arial"/>
        </w:rPr>
        <w:tab/>
        <w:t>S.O.S. akciová společnost, Olomouc</w:t>
      </w:r>
    </w:p>
    <w:p w:rsidR="00EE42FF" w:rsidRDefault="00EE42FF" w:rsidP="00EE42FF">
      <w:pPr>
        <w:tabs>
          <w:tab w:val="left" w:pos="2268"/>
        </w:tabs>
        <w:spacing w:after="0" w:line="240" w:lineRule="auto"/>
        <w:rPr>
          <w:rFonts w:ascii="Arial" w:hAnsi="Arial" w:cs="Arial"/>
        </w:rPr>
      </w:pPr>
      <w:r>
        <w:rPr>
          <w:rFonts w:ascii="Arial" w:hAnsi="Arial" w:cs="Arial"/>
        </w:rPr>
        <w:t>Sídlo:</w:t>
      </w:r>
      <w:r>
        <w:rPr>
          <w:rFonts w:ascii="Arial" w:hAnsi="Arial" w:cs="Arial"/>
        </w:rPr>
        <w:tab/>
        <w:t>Holická 557/31U, 779 00  Olomouc</w:t>
      </w:r>
    </w:p>
    <w:p w:rsidR="00EE42FF" w:rsidRDefault="00EE42FF" w:rsidP="00EE42FF">
      <w:pPr>
        <w:tabs>
          <w:tab w:val="left" w:pos="2268"/>
        </w:tabs>
        <w:spacing w:after="0" w:line="240" w:lineRule="auto"/>
        <w:rPr>
          <w:rFonts w:ascii="Arial" w:hAnsi="Arial" w:cs="Arial"/>
        </w:rPr>
      </w:pPr>
      <w:r>
        <w:rPr>
          <w:rFonts w:ascii="Arial" w:hAnsi="Arial" w:cs="Arial"/>
        </w:rPr>
        <w:t>jednající:</w:t>
      </w:r>
      <w:r>
        <w:rPr>
          <w:rFonts w:ascii="Arial" w:hAnsi="Arial" w:cs="Arial"/>
        </w:rPr>
        <w:tab/>
        <w:t xml:space="preserve">Vladan </w:t>
      </w:r>
      <w:proofErr w:type="spellStart"/>
      <w:r>
        <w:rPr>
          <w:rFonts w:ascii="Arial" w:hAnsi="Arial" w:cs="Arial"/>
        </w:rPr>
        <w:t>Rosenzweig</w:t>
      </w:r>
      <w:proofErr w:type="spellEnd"/>
      <w:r>
        <w:rPr>
          <w:rFonts w:ascii="Arial" w:hAnsi="Arial" w:cs="Arial"/>
        </w:rPr>
        <w:t>, prokurista</w:t>
      </w:r>
    </w:p>
    <w:p w:rsidR="00EE42FF" w:rsidRDefault="00EE42FF" w:rsidP="00EE42FF">
      <w:pPr>
        <w:tabs>
          <w:tab w:val="left" w:pos="2268"/>
        </w:tabs>
        <w:spacing w:after="0" w:line="240" w:lineRule="auto"/>
        <w:rPr>
          <w:rFonts w:ascii="Arial" w:hAnsi="Arial" w:cs="Arial"/>
        </w:rPr>
      </w:pPr>
      <w:r>
        <w:rPr>
          <w:rFonts w:ascii="Arial" w:hAnsi="Arial" w:cs="Arial"/>
        </w:rPr>
        <w:t>IČO:</w:t>
      </w:r>
      <w:r>
        <w:rPr>
          <w:rFonts w:ascii="Arial" w:hAnsi="Arial" w:cs="Arial"/>
        </w:rPr>
        <w:tab/>
        <w:t>43965181</w:t>
      </w:r>
    </w:p>
    <w:p w:rsidR="00EE42FF" w:rsidRDefault="00EE42FF" w:rsidP="00EE42FF">
      <w:pPr>
        <w:tabs>
          <w:tab w:val="left" w:pos="2268"/>
        </w:tabs>
        <w:spacing w:after="0" w:line="240" w:lineRule="auto"/>
        <w:rPr>
          <w:rFonts w:ascii="Arial" w:hAnsi="Arial" w:cs="Arial"/>
        </w:rPr>
      </w:pPr>
      <w:r>
        <w:rPr>
          <w:rFonts w:ascii="Arial" w:hAnsi="Arial" w:cs="Arial"/>
        </w:rPr>
        <w:t>DIČ:</w:t>
      </w:r>
      <w:r>
        <w:rPr>
          <w:rFonts w:ascii="Arial" w:hAnsi="Arial" w:cs="Arial"/>
        </w:rPr>
        <w:tab/>
        <w:t>CZ43965181</w:t>
      </w:r>
    </w:p>
    <w:p w:rsidR="00EE42FF" w:rsidRDefault="00EE42FF" w:rsidP="00EE42FF">
      <w:pPr>
        <w:tabs>
          <w:tab w:val="left" w:pos="2268"/>
        </w:tabs>
        <w:spacing w:after="0" w:line="240" w:lineRule="auto"/>
        <w:rPr>
          <w:rFonts w:ascii="Arial" w:hAnsi="Arial" w:cs="Arial"/>
        </w:rPr>
      </w:pPr>
      <w:r>
        <w:rPr>
          <w:rFonts w:ascii="Arial" w:hAnsi="Arial" w:cs="Arial"/>
        </w:rPr>
        <w:t>Bankovní spojení:</w:t>
      </w:r>
      <w:r>
        <w:rPr>
          <w:rFonts w:ascii="Arial" w:hAnsi="Arial" w:cs="Arial"/>
        </w:rPr>
        <w:tab/>
        <w:t>Komerční banka a. s.</w:t>
      </w:r>
    </w:p>
    <w:p w:rsidR="00EE42FF" w:rsidRDefault="00EE42FF" w:rsidP="00EE42FF">
      <w:pPr>
        <w:tabs>
          <w:tab w:val="left" w:pos="2268"/>
        </w:tabs>
        <w:spacing w:after="0" w:line="240" w:lineRule="auto"/>
        <w:rPr>
          <w:rFonts w:ascii="Arial" w:hAnsi="Arial" w:cs="Arial"/>
        </w:rPr>
      </w:pPr>
      <w:r>
        <w:rPr>
          <w:rFonts w:ascii="Arial" w:hAnsi="Arial" w:cs="Arial"/>
        </w:rPr>
        <w:t>č. účtu:</w:t>
      </w:r>
      <w:r>
        <w:rPr>
          <w:rFonts w:ascii="Arial" w:hAnsi="Arial" w:cs="Arial"/>
        </w:rPr>
        <w:tab/>
        <w:t>115-5241340287/0100</w:t>
      </w:r>
    </w:p>
    <w:p w:rsidR="00580264" w:rsidRDefault="00580264" w:rsidP="00EE42FF">
      <w:pPr>
        <w:tabs>
          <w:tab w:val="left" w:pos="2268"/>
        </w:tabs>
        <w:spacing w:after="0" w:line="240" w:lineRule="auto"/>
        <w:rPr>
          <w:rFonts w:ascii="Arial" w:hAnsi="Arial" w:cs="Arial"/>
        </w:rPr>
      </w:pPr>
    </w:p>
    <w:p w:rsidR="00580264" w:rsidRDefault="00580264" w:rsidP="00EE42FF">
      <w:pPr>
        <w:tabs>
          <w:tab w:val="left" w:pos="2268"/>
        </w:tabs>
        <w:spacing w:after="0" w:line="240" w:lineRule="auto"/>
        <w:rPr>
          <w:rFonts w:ascii="Arial" w:hAnsi="Arial" w:cs="Arial"/>
        </w:rPr>
      </w:pPr>
    </w:p>
    <w:p w:rsidR="00580264" w:rsidRDefault="00FB0D30" w:rsidP="00FB0D30">
      <w:pPr>
        <w:pStyle w:val="Nadpis1"/>
        <w:tabs>
          <w:tab w:val="left" w:pos="2268"/>
        </w:tabs>
        <w:spacing w:after="0" w:line="240" w:lineRule="auto"/>
      </w:pPr>
      <w:r>
        <w:t>Článek I</w:t>
      </w:r>
    </w:p>
    <w:p w:rsidR="00FB0D30" w:rsidRDefault="00FB0D30" w:rsidP="00FB0D30">
      <w:pPr>
        <w:pStyle w:val="Zkladntext"/>
      </w:pPr>
      <w:r>
        <w:t>Mezi smluvními stranami je uzavřena Smlouva o poskytování fyzické ostrahy ze dne 22. 3. 2013, na jejímž základě zajišťuje zhotovitel pro objednatele ostrahu sjednaných objektů v Olomouckém kraji. Smlouva byla dne 18. 3. 2015 doplněna dodatkem číslo 1, dne 19. 1. 2017 dodatkem číslo 2, dne 26. 6. 2018 dodatkem číslo 3, dne 11. 2. 2019 dodatkem číslo 4, dne 11. 2. 2020 dodatkem číslo 5, dne 15. 12. 2021 dodatkem číslo 6 a dne 17. 4. 2023 dodatkem číslo 7.</w:t>
      </w:r>
    </w:p>
    <w:p w:rsidR="00FB0D30" w:rsidRDefault="00FB0D30" w:rsidP="00FB0D30">
      <w:pPr>
        <w:tabs>
          <w:tab w:val="left" w:pos="2268"/>
        </w:tabs>
        <w:spacing w:after="0" w:line="240" w:lineRule="auto"/>
        <w:ind w:right="-426"/>
        <w:jc w:val="both"/>
        <w:rPr>
          <w:rFonts w:ascii="Arial" w:hAnsi="Arial" w:cs="Arial"/>
        </w:rPr>
      </w:pPr>
    </w:p>
    <w:p w:rsidR="00FB0D30" w:rsidRDefault="00FB0D30" w:rsidP="00FB0D30">
      <w:pPr>
        <w:tabs>
          <w:tab w:val="left" w:pos="2268"/>
        </w:tabs>
        <w:spacing w:after="0" w:line="240" w:lineRule="auto"/>
        <w:ind w:right="-426"/>
        <w:jc w:val="both"/>
        <w:rPr>
          <w:rFonts w:ascii="Arial" w:hAnsi="Arial" w:cs="Arial"/>
        </w:rPr>
      </w:pPr>
    </w:p>
    <w:p w:rsidR="00FB0D30" w:rsidRDefault="00FB0D30" w:rsidP="00FB0D30">
      <w:pPr>
        <w:pStyle w:val="Nadpis2"/>
      </w:pPr>
      <w:r>
        <w:t>Článek II</w:t>
      </w:r>
    </w:p>
    <w:p w:rsidR="00FB0D30" w:rsidRDefault="00FB0D30" w:rsidP="00F21605">
      <w:pPr>
        <w:pStyle w:val="Odstavecseseznamem"/>
        <w:numPr>
          <w:ilvl w:val="0"/>
          <w:numId w:val="2"/>
        </w:numPr>
        <w:tabs>
          <w:tab w:val="left" w:pos="2268"/>
        </w:tabs>
        <w:spacing w:after="0" w:line="240" w:lineRule="auto"/>
        <w:ind w:right="-426"/>
        <w:jc w:val="both"/>
        <w:rPr>
          <w:rFonts w:ascii="Arial" w:hAnsi="Arial" w:cs="Arial"/>
        </w:rPr>
      </w:pPr>
      <w:r>
        <w:rPr>
          <w:rFonts w:ascii="Arial" w:hAnsi="Arial" w:cs="Arial"/>
        </w:rPr>
        <w:t>Smluvní strany se v návaznosti na údaje Českého statistického úřadu o průměrné roční míře inflace v roce 2023 v souladu s ustanovením článku IV. odstavec 4 citované smlouvy o</w:t>
      </w:r>
      <w:r w:rsidR="00F21605">
        <w:rPr>
          <w:rFonts w:ascii="Arial" w:hAnsi="Arial" w:cs="Arial"/>
        </w:rPr>
        <w:t> </w:t>
      </w:r>
      <w:r>
        <w:rPr>
          <w:rFonts w:ascii="Arial" w:hAnsi="Arial" w:cs="Arial"/>
        </w:rPr>
        <w:t xml:space="preserve">poskytování </w:t>
      </w:r>
      <w:r w:rsidR="00F21605">
        <w:rPr>
          <w:rFonts w:ascii="Arial" w:hAnsi="Arial" w:cs="Arial"/>
        </w:rPr>
        <w:t>fyzické ostrahy a v návaznosti na zvýšení úrovně minimální mzdy dle Nařízení vlády č. 396/2023 Sb. dohody na tomto dodatku číslo 8, kterým se navýší ceny za poskytované služby o 14,29 % s účinností od 1. 3. 2024. Tímto se mění článek IV odstavec 1 takto:</w:t>
      </w:r>
    </w:p>
    <w:p w:rsidR="00F21605" w:rsidRDefault="00F21605" w:rsidP="00F21605">
      <w:pPr>
        <w:tabs>
          <w:tab w:val="left" w:pos="2268"/>
        </w:tabs>
        <w:spacing w:after="0" w:line="240" w:lineRule="auto"/>
        <w:ind w:right="-426"/>
        <w:jc w:val="both"/>
        <w:rPr>
          <w:rFonts w:ascii="Arial" w:hAnsi="Arial" w:cs="Arial"/>
        </w:rPr>
      </w:pPr>
    </w:p>
    <w:p w:rsidR="00F21605" w:rsidRDefault="00F21605" w:rsidP="00F21605">
      <w:pPr>
        <w:tabs>
          <w:tab w:val="left" w:pos="2268"/>
        </w:tabs>
        <w:spacing w:after="0" w:line="240" w:lineRule="auto"/>
        <w:ind w:right="-426"/>
        <w:jc w:val="center"/>
        <w:rPr>
          <w:rFonts w:ascii="Arial" w:hAnsi="Arial" w:cs="Arial"/>
          <w:sz w:val="18"/>
          <w:szCs w:val="18"/>
        </w:rPr>
      </w:pPr>
    </w:p>
    <w:p w:rsidR="00F21605" w:rsidRDefault="00F21605" w:rsidP="00F21605">
      <w:pPr>
        <w:tabs>
          <w:tab w:val="left" w:pos="2268"/>
        </w:tabs>
        <w:spacing w:after="0" w:line="240" w:lineRule="auto"/>
        <w:ind w:right="-426"/>
        <w:jc w:val="center"/>
        <w:rPr>
          <w:rFonts w:ascii="Arial" w:hAnsi="Arial" w:cs="Arial"/>
          <w:sz w:val="18"/>
          <w:szCs w:val="18"/>
        </w:rPr>
      </w:pPr>
    </w:p>
    <w:p w:rsidR="00F21605" w:rsidRDefault="00F21605" w:rsidP="00F21605">
      <w:pPr>
        <w:tabs>
          <w:tab w:val="left" w:pos="2268"/>
        </w:tabs>
        <w:spacing w:after="0" w:line="240" w:lineRule="auto"/>
        <w:ind w:right="-426"/>
        <w:jc w:val="center"/>
        <w:rPr>
          <w:rFonts w:ascii="Arial" w:hAnsi="Arial" w:cs="Arial"/>
          <w:sz w:val="18"/>
          <w:szCs w:val="18"/>
        </w:rPr>
      </w:pPr>
    </w:p>
    <w:p w:rsidR="00F21605" w:rsidRDefault="00F21605" w:rsidP="00F21605">
      <w:pPr>
        <w:tabs>
          <w:tab w:val="left" w:pos="2268"/>
        </w:tabs>
        <w:spacing w:after="0" w:line="240" w:lineRule="auto"/>
        <w:ind w:right="-426"/>
        <w:jc w:val="center"/>
        <w:rPr>
          <w:rFonts w:ascii="Arial" w:hAnsi="Arial" w:cs="Arial"/>
          <w:sz w:val="18"/>
          <w:szCs w:val="18"/>
        </w:rPr>
      </w:pPr>
      <w:bookmarkStart w:id="0" w:name="_GoBack"/>
      <w:bookmarkEnd w:id="0"/>
    </w:p>
    <w:p w:rsidR="00F21605" w:rsidRDefault="00F21605" w:rsidP="00F21605">
      <w:pPr>
        <w:tabs>
          <w:tab w:val="left" w:pos="2268"/>
        </w:tabs>
        <w:spacing w:after="0" w:line="240" w:lineRule="auto"/>
        <w:ind w:right="-426"/>
        <w:rPr>
          <w:rFonts w:ascii="Arial" w:hAnsi="Arial" w:cs="Arial"/>
        </w:rPr>
      </w:pPr>
    </w:p>
    <w:p w:rsidR="00F21605" w:rsidRDefault="00F21605" w:rsidP="00F21605">
      <w:pPr>
        <w:tabs>
          <w:tab w:val="left" w:pos="2268"/>
        </w:tabs>
        <w:spacing w:after="0" w:line="240" w:lineRule="auto"/>
        <w:ind w:right="-426"/>
        <w:rPr>
          <w:rFonts w:ascii="Arial" w:hAnsi="Arial" w:cs="Arial"/>
        </w:rPr>
      </w:pPr>
    </w:p>
    <w:p w:rsidR="00F21605" w:rsidRDefault="00F21605" w:rsidP="00DE525E">
      <w:pPr>
        <w:pStyle w:val="Zkladntext2"/>
        <w:spacing w:after="120"/>
        <w:ind w:right="-709"/>
      </w:pPr>
      <w:r w:rsidRPr="00F21605">
        <w:lastRenderedPageBreak/>
        <w:t>(1</w:t>
      </w:r>
      <w:r>
        <w:t xml:space="preserve">) </w:t>
      </w:r>
      <w:r w:rsidRPr="00F21605">
        <w:t>Ceny</w:t>
      </w:r>
      <w:r>
        <w:t xml:space="preserve"> za vykonané služby jsou sjednány ve smyslu příslušných ustanovení zák. č. 526/1990 Sb. o cenách a jeho prováděcích předpisů takto:</w:t>
      </w:r>
    </w:p>
    <w:tbl>
      <w:tblPr>
        <w:tblStyle w:val="Mkatabulky"/>
        <w:tblW w:w="0" w:type="auto"/>
        <w:tblInd w:w="84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670"/>
        <w:gridCol w:w="1843"/>
      </w:tblGrid>
      <w:tr w:rsidR="00DE525E" w:rsidTr="00664AB3">
        <w:trPr>
          <w:trHeight w:val="340"/>
        </w:trPr>
        <w:tc>
          <w:tcPr>
            <w:tcW w:w="5670" w:type="dxa"/>
            <w:tcBorders>
              <w:top w:val="double" w:sz="4" w:space="0" w:color="auto"/>
              <w:bottom w:val="double" w:sz="4" w:space="0" w:color="auto"/>
            </w:tcBorders>
            <w:vAlign w:val="center"/>
          </w:tcPr>
          <w:p w:rsidR="00DE525E" w:rsidRPr="006A4F93" w:rsidRDefault="00DE525E" w:rsidP="006A4F93">
            <w:pPr>
              <w:pStyle w:val="Zkladntext2"/>
              <w:spacing w:after="120"/>
              <w:ind w:right="-709"/>
              <w:rPr>
                <w:b/>
                <w:sz w:val="20"/>
                <w:szCs w:val="20"/>
              </w:rPr>
            </w:pPr>
            <w:r w:rsidRPr="006A4F93">
              <w:rPr>
                <w:b/>
                <w:sz w:val="20"/>
                <w:szCs w:val="20"/>
              </w:rPr>
              <w:t>Název objektu</w:t>
            </w:r>
          </w:p>
        </w:tc>
        <w:tc>
          <w:tcPr>
            <w:tcW w:w="1843" w:type="dxa"/>
            <w:tcBorders>
              <w:top w:val="double" w:sz="4" w:space="0" w:color="auto"/>
              <w:bottom w:val="double" w:sz="4" w:space="0" w:color="auto"/>
            </w:tcBorders>
            <w:vAlign w:val="center"/>
          </w:tcPr>
          <w:p w:rsidR="006A4F93" w:rsidRDefault="00DE525E" w:rsidP="00AD6701">
            <w:pPr>
              <w:pStyle w:val="Zkladntext2"/>
              <w:tabs>
                <w:tab w:val="left" w:pos="271"/>
              </w:tabs>
              <w:spacing w:after="120"/>
              <w:ind w:right="-709"/>
              <w:rPr>
                <w:b/>
                <w:sz w:val="20"/>
                <w:szCs w:val="20"/>
              </w:rPr>
            </w:pPr>
            <w:r w:rsidRPr="006A4F93">
              <w:rPr>
                <w:b/>
                <w:sz w:val="20"/>
                <w:szCs w:val="20"/>
              </w:rPr>
              <w:t>Kč za měsíc bez</w:t>
            </w:r>
          </w:p>
          <w:p w:rsidR="00DE525E" w:rsidRPr="006A4F93" w:rsidRDefault="00DE525E" w:rsidP="006A4F93">
            <w:pPr>
              <w:pStyle w:val="Zkladntext2"/>
              <w:tabs>
                <w:tab w:val="left" w:pos="744"/>
              </w:tabs>
              <w:spacing w:after="120"/>
              <w:ind w:right="-709"/>
              <w:rPr>
                <w:b/>
                <w:sz w:val="20"/>
                <w:szCs w:val="20"/>
              </w:rPr>
            </w:pPr>
            <w:r w:rsidRPr="006A4F93">
              <w:rPr>
                <w:b/>
                <w:sz w:val="20"/>
                <w:szCs w:val="20"/>
              </w:rPr>
              <w:t>DPH</w:t>
            </w:r>
          </w:p>
        </w:tc>
      </w:tr>
      <w:tr w:rsidR="00DE525E" w:rsidTr="00664AB3">
        <w:tc>
          <w:tcPr>
            <w:tcW w:w="5670" w:type="dxa"/>
            <w:tcBorders>
              <w:top w:val="double" w:sz="4" w:space="0" w:color="auto"/>
            </w:tcBorders>
            <w:vAlign w:val="center"/>
          </w:tcPr>
          <w:p w:rsidR="00AD6701" w:rsidRDefault="006A4F93" w:rsidP="006A4F93">
            <w:pPr>
              <w:pStyle w:val="Zkladntext2"/>
              <w:spacing w:after="120"/>
              <w:ind w:right="-709"/>
              <w:rPr>
                <w:b/>
                <w:sz w:val="20"/>
                <w:szCs w:val="20"/>
              </w:rPr>
            </w:pPr>
            <w:r w:rsidRPr="006A4F93">
              <w:rPr>
                <w:b/>
                <w:sz w:val="20"/>
                <w:szCs w:val="20"/>
              </w:rPr>
              <w:t xml:space="preserve">1. Středisko údržby Olomouc, </w:t>
            </w:r>
            <w:proofErr w:type="spellStart"/>
            <w:r w:rsidRPr="006A4F93">
              <w:rPr>
                <w:b/>
                <w:sz w:val="20"/>
                <w:szCs w:val="20"/>
              </w:rPr>
              <w:t>Cestmistrovství</w:t>
            </w:r>
            <w:proofErr w:type="spellEnd"/>
            <w:r w:rsidRPr="006A4F93">
              <w:rPr>
                <w:b/>
                <w:sz w:val="20"/>
                <w:szCs w:val="20"/>
              </w:rPr>
              <w:t xml:space="preserve"> Litovel,</w:t>
            </w:r>
            <w:r w:rsidR="00AD6701">
              <w:rPr>
                <w:b/>
                <w:sz w:val="20"/>
                <w:szCs w:val="20"/>
              </w:rPr>
              <w:t xml:space="preserve"> </w:t>
            </w:r>
          </w:p>
          <w:p w:rsidR="00DE525E" w:rsidRPr="006A4F93" w:rsidRDefault="006A4F93" w:rsidP="006A4F93">
            <w:pPr>
              <w:pStyle w:val="Zkladntext2"/>
              <w:spacing w:after="120"/>
              <w:ind w:right="-709"/>
              <w:rPr>
                <w:b/>
                <w:sz w:val="20"/>
                <w:szCs w:val="20"/>
              </w:rPr>
            </w:pPr>
            <w:proofErr w:type="spellStart"/>
            <w:r w:rsidRPr="006A4F93">
              <w:rPr>
                <w:b/>
                <w:sz w:val="20"/>
                <w:szCs w:val="20"/>
              </w:rPr>
              <w:t>Chořelice</w:t>
            </w:r>
            <w:proofErr w:type="spellEnd"/>
            <w:r w:rsidRPr="006A4F93">
              <w:rPr>
                <w:b/>
                <w:sz w:val="20"/>
                <w:szCs w:val="20"/>
              </w:rPr>
              <w:t xml:space="preserve"> 1070, Litovel</w:t>
            </w:r>
          </w:p>
        </w:tc>
        <w:tc>
          <w:tcPr>
            <w:tcW w:w="1843" w:type="dxa"/>
            <w:tcBorders>
              <w:top w:val="double" w:sz="4" w:space="0" w:color="auto"/>
            </w:tcBorders>
            <w:vAlign w:val="center"/>
          </w:tcPr>
          <w:p w:rsidR="00DE525E" w:rsidRPr="006A4F93" w:rsidRDefault="00664AB3" w:rsidP="00664AB3">
            <w:pPr>
              <w:pStyle w:val="Zkladntext2"/>
              <w:tabs>
                <w:tab w:val="center" w:pos="-1507"/>
                <w:tab w:val="left" w:pos="444"/>
              </w:tabs>
              <w:spacing w:after="120"/>
              <w:ind w:right="-709"/>
              <w:rPr>
                <w:sz w:val="20"/>
                <w:szCs w:val="20"/>
              </w:rPr>
            </w:pPr>
            <w:r>
              <w:rPr>
                <w:sz w:val="20"/>
                <w:szCs w:val="20"/>
              </w:rPr>
              <w:tab/>
            </w:r>
            <w:r w:rsidR="006A4F93">
              <w:rPr>
                <w:sz w:val="20"/>
                <w:szCs w:val="20"/>
              </w:rPr>
              <w:t>88 550,-</w:t>
            </w:r>
          </w:p>
        </w:tc>
      </w:tr>
      <w:tr w:rsidR="00DE525E" w:rsidTr="00664AB3">
        <w:trPr>
          <w:trHeight w:val="637"/>
        </w:trPr>
        <w:tc>
          <w:tcPr>
            <w:tcW w:w="5670" w:type="dxa"/>
            <w:vAlign w:val="center"/>
          </w:tcPr>
          <w:p w:rsidR="00DE525E" w:rsidRPr="006A4F93" w:rsidRDefault="006A4F93" w:rsidP="006A4F93">
            <w:pPr>
              <w:pStyle w:val="Zkladntext2"/>
              <w:numPr>
                <w:ilvl w:val="0"/>
                <w:numId w:val="2"/>
              </w:numPr>
              <w:spacing w:after="120"/>
              <w:ind w:right="-709"/>
              <w:rPr>
                <w:b/>
                <w:sz w:val="20"/>
                <w:szCs w:val="20"/>
              </w:rPr>
            </w:pPr>
            <w:r>
              <w:rPr>
                <w:b/>
                <w:sz w:val="20"/>
                <w:szCs w:val="20"/>
              </w:rPr>
              <w:t xml:space="preserve">Středisko údržby Olomouc, </w:t>
            </w:r>
            <w:proofErr w:type="spellStart"/>
            <w:r>
              <w:rPr>
                <w:b/>
                <w:sz w:val="20"/>
                <w:szCs w:val="20"/>
              </w:rPr>
              <w:t>Cestmistrovství</w:t>
            </w:r>
            <w:proofErr w:type="spellEnd"/>
            <w:r>
              <w:rPr>
                <w:b/>
                <w:sz w:val="20"/>
                <w:szCs w:val="20"/>
              </w:rPr>
              <w:t xml:space="preserve"> Šternberk</w:t>
            </w:r>
          </w:p>
        </w:tc>
        <w:tc>
          <w:tcPr>
            <w:tcW w:w="1843" w:type="dxa"/>
            <w:vAlign w:val="center"/>
          </w:tcPr>
          <w:p w:rsidR="00DE525E" w:rsidRPr="00AD6701" w:rsidRDefault="00664AB3" w:rsidP="00664AB3">
            <w:pPr>
              <w:pStyle w:val="Zkladntext2"/>
              <w:tabs>
                <w:tab w:val="left" w:pos="444"/>
              </w:tabs>
              <w:spacing w:after="120"/>
              <w:ind w:right="-709"/>
              <w:rPr>
                <w:sz w:val="20"/>
                <w:szCs w:val="20"/>
              </w:rPr>
            </w:pPr>
            <w:r>
              <w:rPr>
                <w:sz w:val="20"/>
                <w:szCs w:val="20"/>
              </w:rPr>
              <w:tab/>
            </w:r>
            <w:r w:rsidR="00AD6701" w:rsidRPr="00AD6701">
              <w:rPr>
                <w:sz w:val="20"/>
                <w:szCs w:val="20"/>
              </w:rPr>
              <w:t>88 550,-</w:t>
            </w:r>
          </w:p>
        </w:tc>
      </w:tr>
      <w:tr w:rsidR="00DE525E" w:rsidTr="00664AB3">
        <w:tc>
          <w:tcPr>
            <w:tcW w:w="5670" w:type="dxa"/>
            <w:vAlign w:val="center"/>
          </w:tcPr>
          <w:p w:rsidR="00AD6701" w:rsidRDefault="00AD6701" w:rsidP="006A4F93">
            <w:pPr>
              <w:pStyle w:val="Zkladntext2"/>
              <w:spacing w:after="120"/>
              <w:ind w:right="-709"/>
              <w:rPr>
                <w:b/>
                <w:sz w:val="20"/>
                <w:szCs w:val="20"/>
              </w:rPr>
            </w:pPr>
            <w:r>
              <w:rPr>
                <w:b/>
                <w:sz w:val="20"/>
                <w:szCs w:val="20"/>
              </w:rPr>
              <w:t xml:space="preserve">3 (a) Středisko údržby JIH, </w:t>
            </w:r>
            <w:proofErr w:type="spellStart"/>
            <w:r>
              <w:rPr>
                <w:b/>
                <w:sz w:val="20"/>
                <w:szCs w:val="20"/>
              </w:rPr>
              <w:t>Cestmistrovství</w:t>
            </w:r>
            <w:proofErr w:type="spellEnd"/>
            <w:r>
              <w:rPr>
                <w:b/>
                <w:sz w:val="20"/>
                <w:szCs w:val="20"/>
              </w:rPr>
              <w:t xml:space="preserve"> Přerov, </w:t>
            </w:r>
          </w:p>
          <w:p w:rsidR="00DE525E" w:rsidRPr="006A4F93" w:rsidRDefault="00AD6701" w:rsidP="006A4F93">
            <w:pPr>
              <w:pStyle w:val="Zkladntext2"/>
              <w:spacing w:after="120"/>
              <w:ind w:right="-709"/>
              <w:rPr>
                <w:b/>
                <w:sz w:val="20"/>
                <w:szCs w:val="20"/>
              </w:rPr>
            </w:pPr>
            <w:r>
              <w:rPr>
                <w:b/>
                <w:sz w:val="20"/>
                <w:szCs w:val="20"/>
              </w:rPr>
              <w:t>Tovačovská 974, Přerov</w:t>
            </w:r>
          </w:p>
        </w:tc>
        <w:tc>
          <w:tcPr>
            <w:tcW w:w="1843" w:type="dxa"/>
            <w:vAlign w:val="center"/>
          </w:tcPr>
          <w:p w:rsidR="00DE525E" w:rsidRPr="00AD6701" w:rsidRDefault="00664AB3" w:rsidP="00664AB3">
            <w:pPr>
              <w:pStyle w:val="Zkladntext2"/>
              <w:tabs>
                <w:tab w:val="left" w:pos="302"/>
              </w:tabs>
              <w:spacing w:after="120"/>
              <w:ind w:right="-709"/>
              <w:rPr>
                <w:sz w:val="20"/>
                <w:szCs w:val="20"/>
              </w:rPr>
            </w:pPr>
            <w:r>
              <w:rPr>
                <w:sz w:val="20"/>
                <w:szCs w:val="20"/>
              </w:rPr>
              <w:tab/>
            </w:r>
            <w:r w:rsidR="00AD6701" w:rsidRPr="00AD6701">
              <w:rPr>
                <w:sz w:val="20"/>
                <w:szCs w:val="20"/>
              </w:rPr>
              <w:t>116 825,-</w:t>
            </w:r>
          </w:p>
        </w:tc>
      </w:tr>
      <w:tr w:rsidR="00DE525E" w:rsidTr="00664AB3">
        <w:tc>
          <w:tcPr>
            <w:tcW w:w="5670" w:type="dxa"/>
            <w:vAlign w:val="center"/>
          </w:tcPr>
          <w:p w:rsidR="00DE525E" w:rsidRDefault="00AD6701" w:rsidP="006A4F93">
            <w:pPr>
              <w:pStyle w:val="Zkladntext2"/>
              <w:spacing w:after="120"/>
              <w:ind w:right="-709"/>
              <w:rPr>
                <w:b/>
                <w:sz w:val="20"/>
                <w:szCs w:val="20"/>
              </w:rPr>
            </w:pPr>
            <w:r>
              <w:rPr>
                <w:b/>
                <w:sz w:val="20"/>
                <w:szCs w:val="20"/>
              </w:rPr>
              <w:t xml:space="preserve">3 (b) Středisko údržby JIH, </w:t>
            </w:r>
            <w:proofErr w:type="spellStart"/>
            <w:r>
              <w:rPr>
                <w:b/>
                <w:sz w:val="20"/>
                <w:szCs w:val="20"/>
              </w:rPr>
              <w:t>Cestmistrovství</w:t>
            </w:r>
            <w:proofErr w:type="spellEnd"/>
            <w:r>
              <w:rPr>
                <w:b/>
                <w:sz w:val="20"/>
                <w:szCs w:val="20"/>
              </w:rPr>
              <w:t xml:space="preserve"> Přerov,</w:t>
            </w:r>
          </w:p>
          <w:p w:rsidR="00AD6701" w:rsidRPr="006A4F93" w:rsidRDefault="00AD6701" w:rsidP="006A4F93">
            <w:pPr>
              <w:pStyle w:val="Zkladntext2"/>
              <w:spacing w:after="120"/>
              <w:ind w:right="-709"/>
              <w:rPr>
                <w:b/>
                <w:sz w:val="20"/>
                <w:szCs w:val="20"/>
              </w:rPr>
            </w:pPr>
            <w:r>
              <w:rPr>
                <w:b/>
                <w:sz w:val="20"/>
                <w:szCs w:val="20"/>
              </w:rPr>
              <w:t>Tovačovská 974, Přerov</w:t>
            </w:r>
          </w:p>
        </w:tc>
        <w:tc>
          <w:tcPr>
            <w:tcW w:w="1843" w:type="dxa"/>
            <w:vAlign w:val="center"/>
          </w:tcPr>
          <w:p w:rsidR="00DE525E" w:rsidRPr="00AD6701" w:rsidRDefault="00664AB3" w:rsidP="00664AB3">
            <w:pPr>
              <w:pStyle w:val="Zkladntext2"/>
              <w:tabs>
                <w:tab w:val="left" w:pos="444"/>
              </w:tabs>
              <w:spacing w:after="120"/>
              <w:ind w:right="-709"/>
              <w:rPr>
                <w:sz w:val="20"/>
                <w:szCs w:val="20"/>
              </w:rPr>
            </w:pPr>
            <w:r>
              <w:rPr>
                <w:sz w:val="20"/>
                <w:szCs w:val="20"/>
              </w:rPr>
              <w:tab/>
            </w:r>
            <w:r w:rsidR="00AD6701" w:rsidRPr="00AD6701">
              <w:rPr>
                <w:sz w:val="20"/>
                <w:szCs w:val="20"/>
              </w:rPr>
              <w:t>40 169,-</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 xml:space="preserve">4. Středisko údržby JIH, </w:t>
            </w:r>
            <w:proofErr w:type="spellStart"/>
            <w:r>
              <w:rPr>
                <w:b/>
                <w:sz w:val="20"/>
                <w:szCs w:val="20"/>
              </w:rPr>
              <w:t>Cestmistrovství</w:t>
            </w:r>
            <w:proofErr w:type="spellEnd"/>
            <w:r>
              <w:rPr>
                <w:b/>
                <w:sz w:val="20"/>
                <w:szCs w:val="20"/>
              </w:rPr>
              <w:t xml:space="preserve"> Hranice, Tyršova</w:t>
            </w:r>
          </w:p>
          <w:p w:rsidR="00AD6701" w:rsidRDefault="00AD6701" w:rsidP="00AD6701">
            <w:pPr>
              <w:pStyle w:val="Zkladntext2"/>
              <w:spacing w:after="120"/>
              <w:ind w:right="-709"/>
              <w:rPr>
                <w:b/>
                <w:sz w:val="20"/>
                <w:szCs w:val="20"/>
              </w:rPr>
            </w:pPr>
            <w:r>
              <w:rPr>
                <w:b/>
                <w:sz w:val="20"/>
                <w:szCs w:val="20"/>
              </w:rPr>
              <w:t>600, Hranice</w:t>
            </w:r>
          </w:p>
        </w:tc>
        <w:tc>
          <w:tcPr>
            <w:tcW w:w="1843" w:type="dxa"/>
            <w:vAlign w:val="center"/>
          </w:tcPr>
          <w:p w:rsidR="00AD6701" w:rsidRPr="00AD6701" w:rsidRDefault="00664AB3" w:rsidP="00664AB3">
            <w:pPr>
              <w:pStyle w:val="Zkladntext2"/>
              <w:tabs>
                <w:tab w:val="left" w:pos="444"/>
              </w:tabs>
              <w:spacing w:after="120"/>
              <w:ind w:right="-709"/>
              <w:rPr>
                <w:sz w:val="20"/>
                <w:szCs w:val="20"/>
              </w:rPr>
            </w:pPr>
            <w:r>
              <w:rPr>
                <w:sz w:val="20"/>
                <w:szCs w:val="20"/>
              </w:rPr>
              <w:tab/>
            </w:r>
            <w:r w:rsidR="00AD6701">
              <w:rPr>
                <w:sz w:val="20"/>
                <w:szCs w:val="20"/>
              </w:rPr>
              <w:t>88 550,-</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 xml:space="preserve">5. Středisko údržby JIH, </w:t>
            </w:r>
            <w:proofErr w:type="spellStart"/>
            <w:r>
              <w:rPr>
                <w:b/>
                <w:sz w:val="20"/>
                <w:szCs w:val="20"/>
              </w:rPr>
              <w:t>Cestmistrovství</w:t>
            </w:r>
            <w:proofErr w:type="spellEnd"/>
            <w:r>
              <w:rPr>
                <w:b/>
                <w:sz w:val="20"/>
                <w:szCs w:val="20"/>
              </w:rPr>
              <w:t xml:space="preserve"> Přerov, Hranická</w:t>
            </w:r>
          </w:p>
          <w:p w:rsidR="00AD6701" w:rsidRDefault="00AD6701" w:rsidP="00AD6701">
            <w:pPr>
              <w:pStyle w:val="Zkladntext2"/>
              <w:spacing w:after="120"/>
              <w:ind w:right="-709"/>
              <w:rPr>
                <w:b/>
                <w:sz w:val="20"/>
                <w:szCs w:val="20"/>
              </w:rPr>
            </w:pPr>
            <w:r>
              <w:rPr>
                <w:b/>
                <w:sz w:val="20"/>
                <w:szCs w:val="20"/>
              </w:rPr>
              <w:t>69, Přerov – Předmostí</w:t>
            </w:r>
          </w:p>
        </w:tc>
        <w:tc>
          <w:tcPr>
            <w:tcW w:w="1843" w:type="dxa"/>
            <w:vAlign w:val="center"/>
          </w:tcPr>
          <w:p w:rsidR="00AD6701" w:rsidRDefault="00664AB3" w:rsidP="00664AB3">
            <w:pPr>
              <w:pStyle w:val="Zkladntext2"/>
              <w:tabs>
                <w:tab w:val="left" w:pos="302"/>
              </w:tabs>
              <w:spacing w:after="120"/>
              <w:ind w:right="-709"/>
              <w:rPr>
                <w:sz w:val="20"/>
                <w:szCs w:val="20"/>
              </w:rPr>
            </w:pPr>
            <w:r>
              <w:rPr>
                <w:sz w:val="20"/>
                <w:szCs w:val="20"/>
              </w:rPr>
              <w:tab/>
            </w:r>
            <w:r w:rsidR="00AD6701">
              <w:rPr>
                <w:sz w:val="20"/>
                <w:szCs w:val="20"/>
              </w:rPr>
              <w:t>116 825,-</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 xml:space="preserve">6. Středisko údržby Šumperk, </w:t>
            </w:r>
            <w:proofErr w:type="spellStart"/>
            <w:r>
              <w:rPr>
                <w:b/>
                <w:sz w:val="20"/>
                <w:szCs w:val="20"/>
              </w:rPr>
              <w:t>Cestmistrovství</w:t>
            </w:r>
            <w:proofErr w:type="spellEnd"/>
            <w:r>
              <w:rPr>
                <w:b/>
                <w:sz w:val="20"/>
                <w:szCs w:val="20"/>
              </w:rPr>
              <w:t xml:space="preserve"> Vikýřovice,</w:t>
            </w:r>
          </w:p>
          <w:p w:rsidR="00AD6701" w:rsidRDefault="00AD6701" w:rsidP="00AD6701">
            <w:pPr>
              <w:pStyle w:val="Zkladntext2"/>
              <w:spacing w:after="120"/>
              <w:ind w:right="-709"/>
              <w:rPr>
                <w:b/>
                <w:sz w:val="20"/>
                <w:szCs w:val="20"/>
              </w:rPr>
            </w:pPr>
            <w:r>
              <w:rPr>
                <w:b/>
                <w:sz w:val="20"/>
                <w:szCs w:val="20"/>
              </w:rPr>
              <w:t>Vikýřovice 544</w:t>
            </w:r>
          </w:p>
        </w:tc>
        <w:tc>
          <w:tcPr>
            <w:tcW w:w="1843" w:type="dxa"/>
            <w:vAlign w:val="center"/>
          </w:tcPr>
          <w:p w:rsidR="00AD6701" w:rsidRDefault="00664AB3" w:rsidP="00664AB3">
            <w:pPr>
              <w:pStyle w:val="Zkladntext2"/>
              <w:tabs>
                <w:tab w:val="left" w:pos="444"/>
              </w:tabs>
              <w:spacing w:after="120"/>
              <w:ind w:right="-709"/>
              <w:rPr>
                <w:sz w:val="20"/>
                <w:szCs w:val="20"/>
              </w:rPr>
            </w:pPr>
            <w:r>
              <w:rPr>
                <w:sz w:val="20"/>
                <w:szCs w:val="20"/>
              </w:rPr>
              <w:tab/>
            </w:r>
            <w:r w:rsidR="00AD6701">
              <w:rPr>
                <w:sz w:val="20"/>
                <w:szCs w:val="20"/>
              </w:rPr>
              <w:t>88 550,-</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 xml:space="preserve">7. Středisko údržby Šumperk, </w:t>
            </w:r>
            <w:proofErr w:type="spellStart"/>
            <w:r>
              <w:rPr>
                <w:b/>
                <w:sz w:val="20"/>
                <w:szCs w:val="20"/>
              </w:rPr>
              <w:t>Cestmistrovství</w:t>
            </w:r>
            <w:proofErr w:type="spellEnd"/>
            <w:r>
              <w:rPr>
                <w:b/>
                <w:sz w:val="20"/>
                <w:szCs w:val="20"/>
              </w:rPr>
              <w:t xml:space="preserve"> Zvole,</w:t>
            </w:r>
          </w:p>
          <w:p w:rsidR="00AD6701" w:rsidRDefault="00AD6701" w:rsidP="00AD6701">
            <w:pPr>
              <w:pStyle w:val="Zkladntext2"/>
              <w:spacing w:after="120"/>
              <w:ind w:right="-709"/>
              <w:rPr>
                <w:b/>
                <w:sz w:val="20"/>
                <w:szCs w:val="20"/>
              </w:rPr>
            </w:pPr>
            <w:r>
              <w:rPr>
                <w:b/>
                <w:sz w:val="20"/>
                <w:szCs w:val="20"/>
              </w:rPr>
              <w:t>Zvole 260</w:t>
            </w:r>
          </w:p>
        </w:tc>
        <w:tc>
          <w:tcPr>
            <w:tcW w:w="1843" w:type="dxa"/>
            <w:vAlign w:val="center"/>
          </w:tcPr>
          <w:p w:rsidR="00AD6701" w:rsidRDefault="00664AB3" w:rsidP="00664AB3">
            <w:pPr>
              <w:pStyle w:val="Zkladntext2"/>
              <w:tabs>
                <w:tab w:val="left" w:pos="444"/>
              </w:tabs>
              <w:spacing w:after="120"/>
              <w:ind w:right="-709"/>
              <w:rPr>
                <w:sz w:val="20"/>
                <w:szCs w:val="20"/>
              </w:rPr>
            </w:pPr>
            <w:r>
              <w:rPr>
                <w:sz w:val="20"/>
                <w:szCs w:val="20"/>
              </w:rPr>
              <w:tab/>
            </w:r>
            <w:r w:rsidR="00AD6701">
              <w:rPr>
                <w:sz w:val="20"/>
                <w:szCs w:val="20"/>
              </w:rPr>
              <w:t>88 550,-</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 xml:space="preserve">8. Středisko údržby Šumperk, </w:t>
            </w:r>
            <w:proofErr w:type="spellStart"/>
            <w:r>
              <w:rPr>
                <w:b/>
                <w:sz w:val="20"/>
                <w:szCs w:val="20"/>
              </w:rPr>
              <w:t>Cestmistrovství</w:t>
            </w:r>
            <w:proofErr w:type="spellEnd"/>
            <w:r>
              <w:rPr>
                <w:b/>
                <w:sz w:val="20"/>
                <w:szCs w:val="20"/>
              </w:rPr>
              <w:t xml:space="preserve"> Jeseník, J.</w:t>
            </w:r>
          </w:p>
          <w:p w:rsidR="00AD6701" w:rsidRDefault="00AD6701" w:rsidP="00AD6701">
            <w:pPr>
              <w:pStyle w:val="Zkladntext2"/>
              <w:spacing w:after="120"/>
              <w:ind w:right="-709"/>
              <w:rPr>
                <w:b/>
                <w:sz w:val="20"/>
                <w:szCs w:val="20"/>
              </w:rPr>
            </w:pPr>
            <w:r>
              <w:rPr>
                <w:b/>
                <w:sz w:val="20"/>
                <w:szCs w:val="20"/>
              </w:rPr>
              <w:t>Ježka 556, Jeseník</w:t>
            </w:r>
          </w:p>
        </w:tc>
        <w:tc>
          <w:tcPr>
            <w:tcW w:w="1843" w:type="dxa"/>
            <w:vAlign w:val="center"/>
          </w:tcPr>
          <w:p w:rsidR="00AD6701" w:rsidRDefault="00664AB3" w:rsidP="00664AB3">
            <w:pPr>
              <w:pStyle w:val="Zkladntext2"/>
              <w:tabs>
                <w:tab w:val="left" w:pos="421"/>
              </w:tabs>
              <w:spacing w:after="120"/>
              <w:ind w:right="-709"/>
              <w:rPr>
                <w:sz w:val="20"/>
                <w:szCs w:val="20"/>
              </w:rPr>
            </w:pPr>
            <w:r>
              <w:rPr>
                <w:sz w:val="20"/>
                <w:szCs w:val="20"/>
              </w:rPr>
              <w:tab/>
            </w:r>
            <w:r w:rsidR="00AD6701">
              <w:rPr>
                <w:sz w:val="20"/>
                <w:szCs w:val="20"/>
              </w:rPr>
              <w:t>88 550,-</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9. Výjezdová služba u elektronicky střežených objektů</w:t>
            </w:r>
          </w:p>
          <w:p w:rsidR="00AD6701" w:rsidRDefault="00AD6701" w:rsidP="00AD6701">
            <w:pPr>
              <w:pStyle w:val="Zkladntext2"/>
              <w:spacing w:after="120"/>
              <w:ind w:right="-709"/>
              <w:rPr>
                <w:b/>
                <w:sz w:val="20"/>
                <w:szCs w:val="20"/>
              </w:rPr>
            </w:pPr>
            <w:r>
              <w:rPr>
                <w:b/>
                <w:sz w:val="20"/>
                <w:szCs w:val="20"/>
              </w:rPr>
              <w:t>Konice, Protivanov, Vrchoslavice, Lipník nad Bečvou,</w:t>
            </w:r>
          </w:p>
          <w:p w:rsidR="00AD6701" w:rsidRDefault="00AD6701" w:rsidP="00AD6701">
            <w:pPr>
              <w:pStyle w:val="Zkladntext2"/>
              <w:spacing w:after="120"/>
              <w:ind w:right="-709"/>
              <w:rPr>
                <w:b/>
                <w:sz w:val="20"/>
                <w:szCs w:val="20"/>
              </w:rPr>
            </w:pPr>
            <w:r>
              <w:rPr>
                <w:b/>
                <w:sz w:val="20"/>
                <w:szCs w:val="20"/>
              </w:rPr>
              <w:t>Šumperk a Hanušovice</w:t>
            </w:r>
          </w:p>
        </w:tc>
        <w:tc>
          <w:tcPr>
            <w:tcW w:w="1843" w:type="dxa"/>
            <w:vAlign w:val="center"/>
          </w:tcPr>
          <w:p w:rsidR="00AD6701" w:rsidRDefault="00664AB3" w:rsidP="00664AB3">
            <w:pPr>
              <w:pStyle w:val="Zkladntext2"/>
              <w:tabs>
                <w:tab w:val="left" w:pos="376"/>
              </w:tabs>
              <w:spacing w:after="120"/>
              <w:ind w:right="-709"/>
              <w:rPr>
                <w:sz w:val="20"/>
                <w:szCs w:val="20"/>
              </w:rPr>
            </w:pPr>
            <w:r>
              <w:rPr>
                <w:sz w:val="20"/>
                <w:szCs w:val="20"/>
              </w:rPr>
              <w:tab/>
            </w:r>
            <w:r w:rsidR="00AD6701">
              <w:rPr>
                <w:sz w:val="20"/>
                <w:szCs w:val="20"/>
              </w:rPr>
              <w:t>76 645,-</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 xml:space="preserve">10. Středisko údržby Olomouc, </w:t>
            </w:r>
            <w:proofErr w:type="spellStart"/>
            <w:r>
              <w:rPr>
                <w:b/>
                <w:sz w:val="20"/>
                <w:szCs w:val="20"/>
              </w:rPr>
              <w:t>Cestmistrovství</w:t>
            </w:r>
            <w:proofErr w:type="spellEnd"/>
            <w:r>
              <w:rPr>
                <w:b/>
                <w:sz w:val="20"/>
                <w:szCs w:val="20"/>
              </w:rPr>
              <w:t xml:space="preserve"> Prostějov</w:t>
            </w:r>
          </w:p>
        </w:tc>
        <w:tc>
          <w:tcPr>
            <w:tcW w:w="1843" w:type="dxa"/>
            <w:vAlign w:val="center"/>
          </w:tcPr>
          <w:p w:rsidR="00AD6701" w:rsidRDefault="00664AB3" w:rsidP="00664AB3">
            <w:pPr>
              <w:pStyle w:val="Zkladntext2"/>
              <w:tabs>
                <w:tab w:val="left" w:pos="302"/>
              </w:tabs>
              <w:spacing w:after="120"/>
              <w:ind w:right="-709"/>
              <w:rPr>
                <w:sz w:val="20"/>
                <w:szCs w:val="20"/>
              </w:rPr>
            </w:pPr>
            <w:r>
              <w:rPr>
                <w:sz w:val="20"/>
                <w:szCs w:val="20"/>
              </w:rPr>
              <w:tab/>
            </w:r>
            <w:r w:rsidR="00AD6701">
              <w:rPr>
                <w:sz w:val="20"/>
                <w:szCs w:val="20"/>
              </w:rPr>
              <w:t>116 825,-</w:t>
            </w:r>
          </w:p>
        </w:tc>
      </w:tr>
      <w:tr w:rsidR="00AD6701" w:rsidTr="00664AB3">
        <w:tc>
          <w:tcPr>
            <w:tcW w:w="5670" w:type="dxa"/>
            <w:vAlign w:val="center"/>
          </w:tcPr>
          <w:p w:rsidR="00AD6701" w:rsidRDefault="00AD6701" w:rsidP="00AD6701">
            <w:pPr>
              <w:pStyle w:val="Zkladntext2"/>
              <w:spacing w:after="120"/>
              <w:ind w:right="-709"/>
              <w:rPr>
                <w:b/>
                <w:sz w:val="20"/>
                <w:szCs w:val="20"/>
              </w:rPr>
            </w:pPr>
            <w:r>
              <w:rPr>
                <w:b/>
                <w:sz w:val="20"/>
                <w:szCs w:val="20"/>
              </w:rPr>
              <w:t>11. Sídlo Správy silnic Olomouckého kraje Olomouc a</w:t>
            </w:r>
          </w:p>
          <w:p w:rsidR="00AD6701" w:rsidRDefault="00AD6701" w:rsidP="00AD6701">
            <w:pPr>
              <w:pStyle w:val="Zkladntext2"/>
              <w:spacing w:after="120"/>
              <w:ind w:right="-709"/>
              <w:rPr>
                <w:b/>
                <w:sz w:val="20"/>
                <w:szCs w:val="20"/>
              </w:rPr>
            </w:pPr>
            <w:r>
              <w:rPr>
                <w:b/>
                <w:sz w:val="20"/>
                <w:szCs w:val="20"/>
              </w:rPr>
              <w:t>Střediska údržby Olomouc, Lipenská 120, Olomouc</w:t>
            </w:r>
          </w:p>
        </w:tc>
        <w:tc>
          <w:tcPr>
            <w:tcW w:w="1843" w:type="dxa"/>
            <w:vAlign w:val="center"/>
          </w:tcPr>
          <w:p w:rsidR="00AD6701" w:rsidRDefault="00664AB3" w:rsidP="00664AB3">
            <w:pPr>
              <w:pStyle w:val="Zkladntext2"/>
              <w:tabs>
                <w:tab w:val="left" w:pos="331"/>
              </w:tabs>
              <w:spacing w:after="120"/>
              <w:ind w:right="-709"/>
              <w:rPr>
                <w:sz w:val="20"/>
                <w:szCs w:val="20"/>
              </w:rPr>
            </w:pPr>
            <w:r>
              <w:rPr>
                <w:sz w:val="20"/>
                <w:szCs w:val="20"/>
              </w:rPr>
              <w:tab/>
            </w:r>
            <w:r w:rsidR="00AD6701">
              <w:rPr>
                <w:sz w:val="20"/>
                <w:szCs w:val="20"/>
              </w:rPr>
              <w:t>116 825,-</w:t>
            </w:r>
          </w:p>
        </w:tc>
      </w:tr>
    </w:tbl>
    <w:p w:rsidR="00664AB3" w:rsidRDefault="00664AB3" w:rsidP="00DE525E">
      <w:pPr>
        <w:pStyle w:val="Zkladntext2"/>
        <w:spacing w:after="120"/>
        <w:ind w:right="-709"/>
      </w:pPr>
    </w:p>
    <w:p w:rsidR="00664AB3" w:rsidRDefault="00664AB3" w:rsidP="00664AB3">
      <w:pPr>
        <w:pStyle w:val="Zkladntext2"/>
        <w:spacing w:after="120"/>
        <w:ind w:right="-709"/>
        <w:jc w:val="center"/>
      </w:pPr>
      <w:r>
        <w:rPr>
          <w:b/>
        </w:rPr>
        <w:t>Článek III</w:t>
      </w:r>
    </w:p>
    <w:p w:rsidR="00664AB3" w:rsidRDefault="00664AB3" w:rsidP="00664AB3">
      <w:pPr>
        <w:pStyle w:val="Zkladntext2"/>
        <w:ind w:right="-709"/>
      </w:pPr>
      <w:r>
        <w:t>Tento dodatek číslo 8 Smlouvy o poskytování fyzické ostrahy ze dne 22. 3. 2013 nabývá účinnosti dnem zveřejnění v Registru smluv.</w:t>
      </w:r>
    </w:p>
    <w:p w:rsidR="00664AB3" w:rsidRDefault="00664AB3" w:rsidP="00664AB3">
      <w:pPr>
        <w:pStyle w:val="Zkladntext2"/>
        <w:ind w:right="-709"/>
      </w:pPr>
    </w:p>
    <w:p w:rsidR="00664AB3" w:rsidRDefault="00664AB3" w:rsidP="00664AB3">
      <w:pPr>
        <w:pStyle w:val="Zkladntext2"/>
        <w:ind w:right="-709"/>
      </w:pPr>
      <w:r>
        <w:t>Všechna ostatní ustanovení předmětné smlouvy zůstávají v platnosti beze změn.</w:t>
      </w:r>
    </w:p>
    <w:p w:rsidR="00664AB3" w:rsidRDefault="00664AB3" w:rsidP="00664AB3">
      <w:pPr>
        <w:pStyle w:val="Zkladntext2"/>
        <w:ind w:right="-709"/>
      </w:pPr>
    </w:p>
    <w:p w:rsidR="00664AB3" w:rsidRDefault="00664AB3" w:rsidP="004742EB">
      <w:pPr>
        <w:pStyle w:val="Zkladntext2"/>
        <w:ind w:right="-428"/>
        <w:jc w:val="both"/>
      </w:pPr>
      <w:r>
        <w:t>Tento dodatek je vyhotoven v tištěné podobě, anebo v</w:t>
      </w:r>
      <w:r w:rsidR="004742EB">
        <w:t> </w:t>
      </w:r>
      <w:r>
        <w:t>ele</w:t>
      </w:r>
      <w:r w:rsidR="004742EB">
        <w:t>ktronické podobě. V případě tištěné podoby bude dodatek vyhotoven ve 2 provedeních, z nichž každé má platnost originálu, po jednom pro každou ze zúčastněných stran. V případě elektronické podoby bude dodatek opatřen uznávanými elektronickými podpisy smluvních stran (tzn. zaručeným elektronickým podpisem založeným na kvalifikovaném certifikátu pro elektronický podpis nebo kvalifikovaným elektronickým podpisem ve smyslu § 6 odst. 2 zákona č. 197/2016 Sb.).</w:t>
      </w:r>
    </w:p>
    <w:p w:rsidR="004742EB" w:rsidRDefault="004742EB" w:rsidP="004742EB">
      <w:pPr>
        <w:pStyle w:val="Zkladntext2"/>
        <w:ind w:right="-428"/>
        <w:jc w:val="both"/>
      </w:pPr>
    </w:p>
    <w:p w:rsidR="004742EB" w:rsidRDefault="004742EB" w:rsidP="004742EB">
      <w:pPr>
        <w:pStyle w:val="Zkladntext2"/>
        <w:tabs>
          <w:tab w:val="left" w:pos="5278"/>
        </w:tabs>
        <w:ind w:right="-428"/>
        <w:jc w:val="both"/>
      </w:pPr>
      <w:r>
        <w:t>V Olomouci 1. 3. 2024</w:t>
      </w:r>
      <w:r>
        <w:tab/>
      </w:r>
      <w:r>
        <w:tab/>
        <w:t>27. 3. 2024</w:t>
      </w:r>
    </w:p>
    <w:p w:rsidR="004742EB" w:rsidRDefault="004742EB" w:rsidP="004742EB">
      <w:pPr>
        <w:pStyle w:val="Zkladntext2"/>
        <w:ind w:right="-428"/>
        <w:jc w:val="both"/>
      </w:pPr>
    </w:p>
    <w:p w:rsidR="00664AB3" w:rsidRDefault="004742EB" w:rsidP="004742EB">
      <w:pPr>
        <w:pStyle w:val="Zkladntext2"/>
        <w:tabs>
          <w:tab w:val="left" w:pos="5208"/>
        </w:tabs>
        <w:ind w:right="-428"/>
        <w:jc w:val="both"/>
      </w:pPr>
      <w:r>
        <w:t xml:space="preserve">za zhotovitele: Vladan </w:t>
      </w:r>
      <w:proofErr w:type="spellStart"/>
      <w:r>
        <w:t>Rosenzweig</w:t>
      </w:r>
      <w:proofErr w:type="spellEnd"/>
      <w:r>
        <w:tab/>
        <w:t>za objednatele: Ing. Ivo Černý</w:t>
      </w:r>
    </w:p>
    <w:p w:rsidR="004742EB" w:rsidRPr="00664AB3" w:rsidRDefault="004742EB" w:rsidP="004742EB">
      <w:pPr>
        <w:pStyle w:val="Zkladntext2"/>
        <w:tabs>
          <w:tab w:val="left" w:pos="5208"/>
        </w:tabs>
        <w:ind w:right="-428"/>
        <w:jc w:val="center"/>
      </w:pPr>
    </w:p>
    <w:sectPr w:rsidR="004742EB" w:rsidRPr="00664AB3" w:rsidSect="004742EB">
      <w:footerReference w:type="default" r:id="rId7"/>
      <w:footerReference w:type="first" r:id="rId8"/>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2EB" w:rsidRDefault="004742EB" w:rsidP="004742EB">
      <w:pPr>
        <w:spacing w:after="0" w:line="240" w:lineRule="auto"/>
      </w:pPr>
      <w:r>
        <w:separator/>
      </w:r>
    </w:p>
  </w:endnote>
  <w:endnote w:type="continuationSeparator" w:id="0">
    <w:p w:rsidR="004742EB" w:rsidRDefault="004742EB" w:rsidP="0047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2EB" w:rsidRDefault="004742EB" w:rsidP="004742EB">
    <w:pPr>
      <w:pStyle w:val="Zpat"/>
      <w:jc w:val="center"/>
    </w:pPr>
    <w:r>
      <w:rPr>
        <w:rFonts w:ascii="Arial" w:hAnsi="Arial" w:cs="Arial"/>
        <w:sz w:val="18"/>
        <w:szCs w:val="18"/>
      </w:rPr>
      <w:t xml:space="preserve">Strana dodatku </w:t>
    </w:r>
    <w:r>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2EB" w:rsidRDefault="004742EB" w:rsidP="004742EB">
    <w:pPr>
      <w:pStyle w:val="Zpat"/>
      <w:jc w:val="center"/>
    </w:pPr>
    <w:r>
      <w:rPr>
        <w:rFonts w:ascii="Arial" w:hAnsi="Arial" w:cs="Arial"/>
        <w:sz w:val="18"/>
        <w:szCs w:val="18"/>
      </w:rPr>
      <w:t>Strana dodatku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2EB" w:rsidRDefault="004742EB" w:rsidP="004742EB">
      <w:pPr>
        <w:spacing w:after="0" w:line="240" w:lineRule="auto"/>
      </w:pPr>
      <w:r>
        <w:separator/>
      </w:r>
    </w:p>
  </w:footnote>
  <w:footnote w:type="continuationSeparator" w:id="0">
    <w:p w:rsidR="004742EB" w:rsidRDefault="004742EB" w:rsidP="0047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D08CB"/>
    <w:multiLevelType w:val="hybridMultilevel"/>
    <w:tmpl w:val="3ECC7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5D66E6"/>
    <w:multiLevelType w:val="hybridMultilevel"/>
    <w:tmpl w:val="AA063064"/>
    <w:lvl w:ilvl="0" w:tplc="E8BC091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C818C6"/>
    <w:multiLevelType w:val="hybridMultilevel"/>
    <w:tmpl w:val="09AEA76E"/>
    <w:lvl w:ilvl="0" w:tplc="B238B5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FF"/>
    <w:rsid w:val="004742EB"/>
    <w:rsid w:val="00580264"/>
    <w:rsid w:val="00664AB3"/>
    <w:rsid w:val="006A4F93"/>
    <w:rsid w:val="00AD6701"/>
    <w:rsid w:val="00DE525E"/>
    <w:rsid w:val="00EE42FF"/>
    <w:rsid w:val="00F21605"/>
    <w:rsid w:val="00FB0D30"/>
    <w:rsid w:val="00FE2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0C888"/>
  <w15:chartTrackingRefBased/>
  <w15:docId w15:val="{63CC42D1-C174-427E-993C-53345E68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E42FF"/>
    <w:pPr>
      <w:keepNext/>
      <w:jc w:val="center"/>
      <w:outlineLvl w:val="0"/>
    </w:pPr>
    <w:rPr>
      <w:rFonts w:ascii="Arial" w:hAnsi="Arial" w:cs="Arial"/>
      <w:b/>
    </w:rPr>
  </w:style>
  <w:style w:type="paragraph" w:styleId="Nadpis2">
    <w:name w:val="heading 2"/>
    <w:basedOn w:val="Normln"/>
    <w:next w:val="Normln"/>
    <w:link w:val="Nadpis2Char"/>
    <w:uiPriority w:val="9"/>
    <w:unhideWhenUsed/>
    <w:qFormat/>
    <w:rsid w:val="00FB0D30"/>
    <w:pPr>
      <w:keepNext/>
      <w:tabs>
        <w:tab w:val="left" w:pos="2268"/>
      </w:tabs>
      <w:spacing w:after="0" w:line="240" w:lineRule="auto"/>
      <w:ind w:right="-426"/>
      <w:jc w:val="center"/>
      <w:outlineLvl w:val="1"/>
    </w:pPr>
    <w:rPr>
      <w:rFonts w:ascii="Arial" w:hAnsi="Arial" w:cs="Arial"/>
      <w:b/>
    </w:rPr>
  </w:style>
  <w:style w:type="paragraph" w:styleId="Nadpis3">
    <w:name w:val="heading 3"/>
    <w:basedOn w:val="Normln"/>
    <w:next w:val="Normln"/>
    <w:link w:val="Nadpis3Char"/>
    <w:uiPriority w:val="9"/>
    <w:unhideWhenUsed/>
    <w:qFormat/>
    <w:rsid w:val="00DE525E"/>
    <w:pPr>
      <w:keepNext/>
      <w:tabs>
        <w:tab w:val="left" w:pos="2268"/>
      </w:tabs>
      <w:spacing w:after="0" w:line="240" w:lineRule="auto"/>
      <w:ind w:right="-711"/>
      <w:jc w:val="center"/>
      <w:outlineLvl w:val="2"/>
    </w:pPr>
    <w:rPr>
      <w:rFonts w:ascii="Arial" w:hAnsi="Arial" w:cs="Arial"/>
      <w:b/>
      <w:sz w:val="20"/>
      <w:szCs w:val="20"/>
    </w:rPr>
  </w:style>
  <w:style w:type="paragraph" w:styleId="Nadpis4">
    <w:name w:val="heading 4"/>
    <w:basedOn w:val="Normln"/>
    <w:next w:val="Normln"/>
    <w:link w:val="Nadpis4Char"/>
    <w:uiPriority w:val="9"/>
    <w:unhideWhenUsed/>
    <w:qFormat/>
    <w:rsid w:val="00DE525E"/>
    <w:pPr>
      <w:keepNext/>
      <w:tabs>
        <w:tab w:val="left" w:pos="2268"/>
      </w:tabs>
      <w:spacing w:after="0" w:line="240" w:lineRule="auto"/>
      <w:ind w:right="-711"/>
      <w:outlineLvl w:val="3"/>
    </w:pPr>
    <w:rPr>
      <w:rFonts w:ascii="Arial" w:hAnsi="Arial" w:cs="Arial"/>
      <w:b/>
      <w:sz w:val="20"/>
      <w:szCs w:val="20"/>
    </w:rPr>
  </w:style>
  <w:style w:type="paragraph" w:styleId="Nadpis5">
    <w:name w:val="heading 5"/>
    <w:basedOn w:val="Normln"/>
    <w:next w:val="Normln"/>
    <w:link w:val="Nadpis5Char"/>
    <w:uiPriority w:val="9"/>
    <w:unhideWhenUsed/>
    <w:qFormat/>
    <w:rsid w:val="00DE525E"/>
    <w:pPr>
      <w:keepNext/>
      <w:tabs>
        <w:tab w:val="left" w:pos="2268"/>
      </w:tabs>
      <w:spacing w:after="0" w:line="240" w:lineRule="auto"/>
      <w:ind w:right="-711"/>
      <w:jc w:val="center"/>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E42FF"/>
    <w:pPr>
      <w:jc w:val="center"/>
    </w:pPr>
    <w:rPr>
      <w:rFonts w:ascii="Arial" w:hAnsi="Arial" w:cs="Arial"/>
      <w:sz w:val="36"/>
      <w:szCs w:val="36"/>
    </w:rPr>
  </w:style>
  <w:style w:type="character" w:customStyle="1" w:styleId="NzevChar">
    <w:name w:val="Název Char"/>
    <w:basedOn w:val="Standardnpsmoodstavce"/>
    <w:link w:val="Nzev"/>
    <w:uiPriority w:val="10"/>
    <w:rsid w:val="00EE42FF"/>
    <w:rPr>
      <w:rFonts w:ascii="Arial" w:hAnsi="Arial" w:cs="Arial"/>
      <w:sz w:val="36"/>
      <w:szCs w:val="36"/>
    </w:rPr>
  </w:style>
  <w:style w:type="character" w:customStyle="1" w:styleId="Nadpis1Char">
    <w:name w:val="Nadpis 1 Char"/>
    <w:basedOn w:val="Standardnpsmoodstavce"/>
    <w:link w:val="Nadpis1"/>
    <w:uiPriority w:val="9"/>
    <w:rsid w:val="00EE42FF"/>
    <w:rPr>
      <w:rFonts w:ascii="Arial" w:hAnsi="Arial" w:cs="Arial"/>
      <w:b/>
    </w:rPr>
  </w:style>
  <w:style w:type="paragraph" w:styleId="Zkladntext">
    <w:name w:val="Body Text"/>
    <w:basedOn w:val="Normln"/>
    <w:link w:val="ZkladntextChar"/>
    <w:uiPriority w:val="99"/>
    <w:unhideWhenUsed/>
    <w:rsid w:val="00FB0D30"/>
    <w:pPr>
      <w:tabs>
        <w:tab w:val="left" w:pos="2268"/>
      </w:tabs>
      <w:spacing w:after="0" w:line="240" w:lineRule="auto"/>
      <w:ind w:right="-426"/>
      <w:jc w:val="both"/>
    </w:pPr>
    <w:rPr>
      <w:rFonts w:ascii="Arial" w:hAnsi="Arial" w:cs="Arial"/>
    </w:rPr>
  </w:style>
  <w:style w:type="character" w:customStyle="1" w:styleId="ZkladntextChar">
    <w:name w:val="Základní text Char"/>
    <w:basedOn w:val="Standardnpsmoodstavce"/>
    <w:link w:val="Zkladntext"/>
    <w:uiPriority w:val="99"/>
    <w:rsid w:val="00FB0D30"/>
    <w:rPr>
      <w:rFonts w:ascii="Arial" w:hAnsi="Arial" w:cs="Arial"/>
    </w:rPr>
  </w:style>
  <w:style w:type="character" w:customStyle="1" w:styleId="Nadpis2Char">
    <w:name w:val="Nadpis 2 Char"/>
    <w:basedOn w:val="Standardnpsmoodstavce"/>
    <w:link w:val="Nadpis2"/>
    <w:uiPriority w:val="9"/>
    <w:rsid w:val="00FB0D30"/>
    <w:rPr>
      <w:rFonts w:ascii="Arial" w:hAnsi="Arial" w:cs="Arial"/>
      <w:b/>
    </w:rPr>
  </w:style>
  <w:style w:type="paragraph" w:styleId="Odstavecseseznamem">
    <w:name w:val="List Paragraph"/>
    <w:basedOn w:val="Normln"/>
    <w:uiPriority w:val="34"/>
    <w:qFormat/>
    <w:rsid w:val="00FB0D30"/>
    <w:pPr>
      <w:ind w:left="720"/>
      <w:contextualSpacing/>
    </w:pPr>
  </w:style>
  <w:style w:type="paragraph" w:styleId="Zkladntext2">
    <w:name w:val="Body Text 2"/>
    <w:basedOn w:val="Normln"/>
    <w:link w:val="Zkladntext2Char"/>
    <w:uiPriority w:val="99"/>
    <w:unhideWhenUsed/>
    <w:rsid w:val="00F21605"/>
    <w:pPr>
      <w:tabs>
        <w:tab w:val="left" w:pos="2268"/>
      </w:tabs>
      <w:spacing w:after="0" w:line="240" w:lineRule="auto"/>
      <w:ind w:right="-711"/>
    </w:pPr>
    <w:rPr>
      <w:rFonts w:ascii="Arial" w:hAnsi="Arial" w:cs="Arial"/>
    </w:rPr>
  </w:style>
  <w:style w:type="character" w:customStyle="1" w:styleId="Zkladntext2Char">
    <w:name w:val="Základní text 2 Char"/>
    <w:basedOn w:val="Standardnpsmoodstavce"/>
    <w:link w:val="Zkladntext2"/>
    <w:uiPriority w:val="99"/>
    <w:rsid w:val="00F21605"/>
    <w:rPr>
      <w:rFonts w:ascii="Arial" w:hAnsi="Arial" w:cs="Arial"/>
    </w:rPr>
  </w:style>
  <w:style w:type="table" w:styleId="Mkatabulky">
    <w:name w:val="Table Grid"/>
    <w:basedOn w:val="Normlntabulka"/>
    <w:uiPriority w:val="39"/>
    <w:rsid w:val="00F2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DE525E"/>
    <w:rPr>
      <w:rFonts w:ascii="Arial" w:hAnsi="Arial" w:cs="Arial"/>
      <w:b/>
      <w:sz w:val="20"/>
      <w:szCs w:val="20"/>
    </w:rPr>
  </w:style>
  <w:style w:type="character" w:customStyle="1" w:styleId="Nadpis4Char">
    <w:name w:val="Nadpis 4 Char"/>
    <w:basedOn w:val="Standardnpsmoodstavce"/>
    <w:link w:val="Nadpis4"/>
    <w:uiPriority w:val="9"/>
    <w:rsid w:val="00DE525E"/>
    <w:rPr>
      <w:rFonts w:ascii="Arial" w:hAnsi="Arial" w:cs="Arial"/>
      <w:b/>
      <w:sz w:val="20"/>
      <w:szCs w:val="20"/>
    </w:rPr>
  </w:style>
  <w:style w:type="character" w:customStyle="1" w:styleId="Nadpis5Char">
    <w:name w:val="Nadpis 5 Char"/>
    <w:basedOn w:val="Standardnpsmoodstavce"/>
    <w:link w:val="Nadpis5"/>
    <w:uiPriority w:val="9"/>
    <w:rsid w:val="00DE525E"/>
    <w:rPr>
      <w:b/>
    </w:rPr>
  </w:style>
  <w:style w:type="paragraph" w:styleId="Zhlav">
    <w:name w:val="header"/>
    <w:basedOn w:val="Normln"/>
    <w:link w:val="ZhlavChar"/>
    <w:uiPriority w:val="99"/>
    <w:unhideWhenUsed/>
    <w:rsid w:val="004742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42EB"/>
  </w:style>
  <w:style w:type="paragraph" w:styleId="Zpat">
    <w:name w:val="footer"/>
    <w:basedOn w:val="Normln"/>
    <w:link w:val="ZpatChar"/>
    <w:uiPriority w:val="99"/>
    <w:unhideWhenUsed/>
    <w:rsid w:val="004742EB"/>
    <w:pPr>
      <w:tabs>
        <w:tab w:val="center" w:pos="4536"/>
        <w:tab w:val="right" w:pos="9072"/>
      </w:tabs>
      <w:spacing w:after="0" w:line="240" w:lineRule="auto"/>
    </w:pPr>
  </w:style>
  <w:style w:type="character" w:customStyle="1" w:styleId="ZpatChar">
    <w:name w:val="Zápatí Char"/>
    <w:basedOn w:val="Standardnpsmoodstavce"/>
    <w:link w:val="Zpat"/>
    <w:uiPriority w:val="99"/>
    <w:rsid w:val="0047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523</Words>
  <Characters>3089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Ruslerova Jana</dc:creator>
  <cp:keywords/>
  <dc:description/>
  <cp:lastModifiedBy>Mgr. Ruslerova Jana</cp:lastModifiedBy>
  <cp:revision>1</cp:revision>
  <dcterms:created xsi:type="dcterms:W3CDTF">2024-03-28T07:39:00Z</dcterms:created>
  <dcterms:modified xsi:type="dcterms:W3CDTF">2024-03-28T09:46:00Z</dcterms:modified>
</cp:coreProperties>
</file>