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Default="009D2F64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9ACB2D3" w14:textId="77777777" w:rsidR="00755EB5" w:rsidRPr="00D368F9" w:rsidRDefault="00755EB5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08DB938" w14:textId="206E71EF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(dále </w:t>
      </w:r>
      <w:r w:rsidR="00755EB5">
        <w:rPr>
          <w:rFonts w:ascii="Arial" w:hAnsi="Arial" w:cs="Arial"/>
          <w:sz w:val="22"/>
          <w:szCs w:val="22"/>
        </w:rPr>
        <w:t>též jako</w:t>
      </w:r>
      <w:r w:rsidRPr="00D368F9">
        <w:rPr>
          <w:rFonts w:ascii="Arial" w:hAnsi="Arial" w:cs="Arial"/>
          <w:sz w:val="22"/>
          <w:szCs w:val="22"/>
        </w:rPr>
        <w:t xml:space="preserve"> „</w:t>
      </w:r>
      <w:r w:rsidRPr="00755EB5">
        <w:rPr>
          <w:rFonts w:ascii="Arial" w:hAnsi="Arial" w:cs="Arial"/>
          <w:b/>
          <w:bCs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25AF6129" w:rsidR="00D20073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 odst. 2 zákona č. 89/2012 Sb., občanský zákoník, v platném znění</w:t>
      </w:r>
      <w:r w:rsidR="0045251E">
        <w:rPr>
          <w:rFonts w:ascii="Arial" w:hAnsi="Arial" w:cs="Arial"/>
          <w:sz w:val="22"/>
          <w:szCs w:val="22"/>
        </w:rPr>
        <w:t xml:space="preserve"> (dále jen „</w:t>
      </w:r>
      <w:r w:rsidR="0045251E" w:rsidRPr="00755EB5">
        <w:rPr>
          <w:rFonts w:ascii="Arial" w:hAnsi="Arial" w:cs="Arial"/>
          <w:b/>
          <w:bCs/>
          <w:sz w:val="22"/>
          <w:szCs w:val="22"/>
        </w:rPr>
        <w:t>OZ</w:t>
      </w:r>
      <w:r w:rsidR="0045251E">
        <w:rPr>
          <w:rFonts w:ascii="Arial" w:hAnsi="Arial" w:cs="Arial"/>
          <w:sz w:val="22"/>
          <w:szCs w:val="22"/>
        </w:rPr>
        <w:t>“)</w:t>
      </w:r>
    </w:p>
    <w:p w14:paraId="1CFAA678" w14:textId="77777777" w:rsidR="0045251E" w:rsidRPr="00D368F9" w:rsidRDefault="0045251E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8F8F473" w14:textId="4D516E64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ar-SA"/>
        </w:rPr>
      </w:pPr>
      <w:r w:rsidRPr="008907C8">
        <w:rPr>
          <w:rFonts w:ascii="Arial" w:eastAsia="Times New Roman" w:hAnsi="Arial" w:cs="Arial"/>
          <w:b/>
          <w:lang w:val="x-none" w:eastAsia="ar-SA"/>
        </w:rPr>
        <w:t xml:space="preserve">č. </w:t>
      </w:r>
      <w:r w:rsidR="0045251E">
        <w:rPr>
          <w:rFonts w:ascii="Arial" w:eastAsia="Times New Roman" w:hAnsi="Arial" w:cs="Arial"/>
          <w:b/>
          <w:lang w:eastAsia="ar-SA"/>
        </w:rPr>
        <w:t xml:space="preserve">Dohody </w:t>
      </w:r>
      <w:r w:rsidR="00FB4256">
        <w:rPr>
          <w:rFonts w:ascii="Arial" w:eastAsia="Times New Roman" w:hAnsi="Arial" w:cs="Arial"/>
          <w:b/>
          <w:lang w:eastAsia="ar-SA"/>
        </w:rPr>
        <w:t>Objednatele</w:t>
      </w:r>
      <w:r w:rsidRPr="008907C8">
        <w:rPr>
          <w:rFonts w:ascii="Arial" w:eastAsia="Times New Roman" w:hAnsi="Arial" w:cs="Arial"/>
          <w:b/>
          <w:lang w:eastAsia="ar-SA"/>
        </w:rPr>
        <w:t xml:space="preserve">: </w:t>
      </w:r>
      <w:r w:rsidR="000807E4">
        <w:rPr>
          <w:rFonts w:ascii="Arial" w:eastAsia="Times New Roman" w:hAnsi="Arial" w:cs="Arial"/>
          <w:b/>
          <w:lang w:eastAsia="ar-SA"/>
        </w:rPr>
        <w:t>A/0035/23/08/DH/1</w:t>
      </w:r>
    </w:p>
    <w:p w14:paraId="61C6BBCA" w14:textId="14E7240A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ar-SA"/>
        </w:rPr>
      </w:pPr>
      <w:r w:rsidRPr="008907C8">
        <w:rPr>
          <w:rFonts w:ascii="Arial" w:eastAsia="Times New Roman" w:hAnsi="Arial" w:cs="Arial"/>
          <w:b/>
          <w:lang w:eastAsia="ar-SA"/>
        </w:rPr>
        <w:t xml:space="preserve">č. </w:t>
      </w:r>
      <w:r w:rsidR="00FB4256">
        <w:rPr>
          <w:rFonts w:ascii="Arial" w:eastAsia="Times New Roman" w:hAnsi="Arial" w:cs="Arial"/>
          <w:b/>
          <w:lang w:eastAsia="ar-SA"/>
        </w:rPr>
        <w:t>Dohody Dodavatele</w:t>
      </w:r>
      <w:r w:rsidRPr="008907C8">
        <w:rPr>
          <w:rFonts w:ascii="Arial" w:eastAsia="Times New Roman" w:hAnsi="Arial" w:cs="Arial"/>
          <w:b/>
          <w:lang w:eastAsia="ar-SA"/>
        </w:rPr>
        <w:t>:</w:t>
      </w:r>
      <w:r w:rsidRPr="008907C8">
        <w:rPr>
          <w:rFonts w:ascii="Arial" w:eastAsia="Times New Roman" w:hAnsi="Arial" w:cs="Arial"/>
          <w:b/>
          <w:lang w:val="x-none" w:eastAsia="ar-SA"/>
        </w:rPr>
        <w:t xml:space="preserve"> </w:t>
      </w:r>
    </w:p>
    <w:p w14:paraId="201F1BC9" w14:textId="77777777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6479BAF8" w14:textId="00049B04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  <w:r w:rsidRPr="008907C8">
        <w:rPr>
          <w:rFonts w:ascii="Arial" w:eastAsia="Times New Roman" w:hAnsi="Arial" w:cs="Arial"/>
          <w:bCs/>
          <w:lang w:val="x-none" w:eastAsia="ar-SA"/>
        </w:rPr>
        <w:t xml:space="preserve">Účastníci </w:t>
      </w:r>
      <w:r w:rsidR="00FB4256">
        <w:rPr>
          <w:rFonts w:ascii="Arial" w:eastAsia="Times New Roman" w:hAnsi="Arial" w:cs="Arial"/>
          <w:bCs/>
          <w:lang w:eastAsia="ar-SA"/>
        </w:rPr>
        <w:t>D</w:t>
      </w:r>
      <w:proofErr w:type="spellStart"/>
      <w:r w:rsidRPr="008907C8">
        <w:rPr>
          <w:rFonts w:ascii="Arial" w:eastAsia="Times New Roman" w:hAnsi="Arial" w:cs="Arial"/>
          <w:bCs/>
          <w:lang w:val="x-none" w:eastAsia="ar-SA"/>
        </w:rPr>
        <w:t>ohody</w:t>
      </w:r>
      <w:proofErr w:type="spellEnd"/>
      <w:r w:rsidRPr="008907C8">
        <w:rPr>
          <w:rFonts w:ascii="Arial" w:eastAsia="Times New Roman" w:hAnsi="Arial" w:cs="Arial"/>
          <w:bCs/>
          <w:lang w:eastAsia="ar-SA"/>
        </w:rPr>
        <w:t>:</w:t>
      </w:r>
    </w:p>
    <w:p w14:paraId="2D06AAD7" w14:textId="77777777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73D4BF69" w14:textId="77777777" w:rsidR="008907C8" w:rsidRPr="008907C8" w:rsidRDefault="008907C8" w:rsidP="008907C8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8907C8">
        <w:rPr>
          <w:rFonts w:ascii="Arial" w:eastAsia="Times New Roman" w:hAnsi="Arial" w:cs="Arial"/>
          <w:b/>
          <w:lang w:eastAsia="cs-CZ"/>
        </w:rPr>
        <w:t xml:space="preserve">1. Technická správa komunikací </w:t>
      </w:r>
      <w:r w:rsidRPr="008907C8">
        <w:rPr>
          <w:rFonts w:ascii="Arial" w:eastAsia="Times New Roman" w:hAnsi="Arial" w:cs="Arial"/>
          <w:b/>
          <w:bCs/>
          <w:lang w:eastAsia="cs-CZ"/>
        </w:rPr>
        <w:t>hl. m. Prahy, a.s.</w:t>
      </w:r>
    </w:p>
    <w:p w14:paraId="43C02005" w14:textId="45C4B0E7" w:rsidR="008907C8" w:rsidRPr="008907C8" w:rsidRDefault="008907C8" w:rsidP="008907C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    </w:t>
      </w:r>
      <w:r w:rsidR="00781589">
        <w:rPr>
          <w:rFonts w:ascii="Arial" w:eastAsia="Times New Roman" w:hAnsi="Arial" w:cs="Arial"/>
          <w:lang w:eastAsia="cs-CZ"/>
        </w:rPr>
        <w:t xml:space="preserve"> </w:t>
      </w:r>
      <w:r w:rsidRPr="008907C8">
        <w:rPr>
          <w:rFonts w:ascii="Arial" w:eastAsia="Times New Roman" w:hAnsi="Arial" w:cs="Arial"/>
          <w:lang w:eastAsia="cs-CZ"/>
        </w:rPr>
        <w:t>sídlo: Veletržní 1623/24, Holešovice, 170 00 Praha 7</w:t>
      </w:r>
      <w:r w:rsidRPr="008907C8">
        <w:rPr>
          <w:rFonts w:ascii="Arial" w:eastAsia="Times New Roman" w:hAnsi="Arial" w:cs="Arial"/>
          <w:lang w:eastAsia="cs-CZ"/>
        </w:rPr>
        <w:tab/>
      </w:r>
    </w:p>
    <w:p w14:paraId="3C9949D7" w14:textId="77777777" w:rsidR="008907C8" w:rsidRPr="008907C8" w:rsidRDefault="008907C8" w:rsidP="008907C8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IČO: 03447286                         </w:t>
      </w:r>
    </w:p>
    <w:p w14:paraId="5FB297C4" w14:textId="77777777" w:rsidR="008907C8" w:rsidRPr="008907C8" w:rsidRDefault="008907C8" w:rsidP="008907C8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DIČ: CZ03447286</w:t>
      </w:r>
    </w:p>
    <w:p w14:paraId="61753229" w14:textId="77777777" w:rsidR="008907C8" w:rsidRPr="008907C8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zapsaná v obchodním rejstříku vedeném Městským soudem v Praze, </w:t>
      </w:r>
      <w:proofErr w:type="spellStart"/>
      <w:r w:rsidRPr="008907C8">
        <w:rPr>
          <w:rFonts w:ascii="Arial" w:eastAsia="Times New Roman" w:hAnsi="Arial" w:cs="Arial"/>
          <w:lang w:eastAsia="cs-CZ"/>
        </w:rPr>
        <w:t>sp</w:t>
      </w:r>
      <w:proofErr w:type="spellEnd"/>
      <w:r w:rsidRPr="008907C8">
        <w:rPr>
          <w:rFonts w:ascii="Arial" w:eastAsia="Times New Roman" w:hAnsi="Arial" w:cs="Arial"/>
          <w:lang w:eastAsia="cs-CZ"/>
        </w:rPr>
        <w:t>. zn. B 20059</w:t>
      </w:r>
    </w:p>
    <w:p w14:paraId="681247AD" w14:textId="77777777" w:rsidR="008907C8" w:rsidRPr="008907C8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bCs/>
          <w:snapToGrid w:val="0"/>
          <w:lang w:eastAsia="cs-CZ"/>
        </w:rPr>
      </w:pPr>
      <w:r w:rsidRPr="008907C8">
        <w:rPr>
          <w:rFonts w:ascii="Arial" w:eastAsia="Times New Roman" w:hAnsi="Arial" w:cs="Arial"/>
          <w:snapToGrid w:val="0"/>
          <w:lang w:eastAsia="cs-CZ"/>
        </w:rPr>
        <w:t>bankovní spojení:</w:t>
      </w:r>
      <w:r w:rsidRPr="008907C8">
        <w:rPr>
          <w:rFonts w:ascii="Arial" w:eastAsia="Times New Roman" w:hAnsi="Arial" w:cs="Arial"/>
          <w:b/>
          <w:snapToGrid w:val="0"/>
          <w:lang w:eastAsia="cs-CZ"/>
        </w:rPr>
        <w:t xml:space="preserve"> </w:t>
      </w:r>
      <w:r w:rsidRPr="008907C8">
        <w:rPr>
          <w:rFonts w:ascii="Arial" w:eastAsia="Times New Roman" w:hAnsi="Arial" w:cs="Arial"/>
          <w:bCs/>
          <w:snapToGrid w:val="0"/>
          <w:lang w:eastAsia="cs-CZ"/>
        </w:rPr>
        <w:t>PPF banka a.s., Evropská 2690/17, 160 00 Praha 6</w:t>
      </w:r>
    </w:p>
    <w:p w14:paraId="2054B08F" w14:textId="77777777" w:rsidR="008907C8" w:rsidRPr="008907C8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snapToGrid w:val="0"/>
          <w:lang w:eastAsia="cs-CZ"/>
        </w:rPr>
      </w:pPr>
      <w:r w:rsidRPr="008907C8">
        <w:rPr>
          <w:rFonts w:ascii="Arial" w:eastAsia="Times New Roman" w:hAnsi="Arial" w:cs="Arial"/>
          <w:bCs/>
          <w:snapToGrid w:val="0"/>
          <w:lang w:eastAsia="cs-CZ"/>
        </w:rPr>
        <w:t>číslo účtu: 2023100003/6000</w:t>
      </w:r>
    </w:p>
    <w:p w14:paraId="6C062953" w14:textId="77777777" w:rsidR="008907C8" w:rsidRPr="008907C8" w:rsidRDefault="008907C8" w:rsidP="008907C8">
      <w:pPr>
        <w:tabs>
          <w:tab w:val="left" w:pos="284"/>
          <w:tab w:val="center" w:pos="4536"/>
        </w:tabs>
        <w:spacing w:after="0" w:line="240" w:lineRule="auto"/>
        <w:ind w:left="284" w:right="-569"/>
        <w:jc w:val="both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snapToGrid w:val="0"/>
          <w:lang w:eastAsia="cs-CZ"/>
        </w:rPr>
        <w:t>zastoupená:</w:t>
      </w:r>
      <w:r w:rsidRPr="008907C8">
        <w:rPr>
          <w:rFonts w:ascii="Arial" w:eastAsia="Times New Roman" w:hAnsi="Arial" w:cs="Arial"/>
          <w:b/>
          <w:snapToGrid w:val="0"/>
          <w:lang w:eastAsia="cs-CZ"/>
        </w:rPr>
        <w:t xml:space="preserve"> </w:t>
      </w:r>
      <w:r w:rsidRPr="008907C8">
        <w:rPr>
          <w:rFonts w:ascii="Arial" w:eastAsia="Times New Roman" w:hAnsi="Arial" w:cs="Arial"/>
          <w:lang w:eastAsia="cs-CZ"/>
        </w:rPr>
        <w:t>dvěma členy představenstva společně, z nichž nejméně jeden musí být předsedou anebo místopředsedou představenstva.</w:t>
      </w:r>
    </w:p>
    <w:p w14:paraId="436C4B04" w14:textId="77777777" w:rsidR="008907C8" w:rsidRPr="008907C8" w:rsidRDefault="008907C8" w:rsidP="008907C8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2C86A7A7" w14:textId="4BBBA7EB" w:rsidR="008907C8" w:rsidRPr="008907C8" w:rsidRDefault="008907C8" w:rsidP="008907C8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(dále též jako „</w:t>
      </w:r>
      <w:r w:rsidR="00A45A3D">
        <w:rPr>
          <w:rFonts w:ascii="Arial" w:eastAsia="Times New Roman" w:hAnsi="Arial" w:cs="Arial"/>
          <w:b/>
          <w:lang w:eastAsia="cs-CZ"/>
        </w:rPr>
        <w:t>Objednatel</w:t>
      </w:r>
      <w:r w:rsidRPr="008907C8">
        <w:rPr>
          <w:rFonts w:ascii="Arial" w:eastAsia="Times New Roman" w:hAnsi="Arial" w:cs="Arial"/>
          <w:lang w:eastAsia="cs-CZ"/>
        </w:rPr>
        <w:t xml:space="preserve">“ nebo také </w:t>
      </w:r>
      <w:r w:rsidRPr="008907C8">
        <w:rPr>
          <w:rFonts w:ascii="Arial" w:eastAsia="Times New Roman" w:hAnsi="Arial" w:cs="Arial"/>
          <w:b/>
          <w:lang w:eastAsia="cs-CZ"/>
        </w:rPr>
        <w:t>„TSK“</w:t>
      </w:r>
      <w:r w:rsidRPr="008907C8">
        <w:rPr>
          <w:rFonts w:ascii="Arial" w:eastAsia="Times New Roman" w:hAnsi="Arial" w:cs="Arial"/>
          <w:lang w:eastAsia="cs-CZ"/>
        </w:rPr>
        <w:t xml:space="preserve">) </w:t>
      </w:r>
    </w:p>
    <w:p w14:paraId="44DA8B48" w14:textId="77777777" w:rsidR="008907C8" w:rsidRPr="008907C8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0F1E2C4A" w14:textId="2F217063" w:rsidR="008907C8" w:rsidRPr="008907C8" w:rsidRDefault="008907C8" w:rsidP="008907C8">
      <w:pPr>
        <w:spacing w:after="0" w:line="240" w:lineRule="auto"/>
        <w:ind w:left="1560" w:hanging="1560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b/>
          <w:snapToGrid w:val="0"/>
          <w:lang w:eastAsia="cs-CZ"/>
        </w:rPr>
        <w:t xml:space="preserve">2. </w:t>
      </w:r>
      <w:r w:rsidR="001F0286">
        <w:rPr>
          <w:rFonts w:ascii="Arial" w:eastAsia="Times New Roman" w:hAnsi="Arial" w:cs="Arial"/>
          <w:b/>
          <w:lang w:eastAsia="cs-CZ"/>
        </w:rPr>
        <w:t>Alz</w:t>
      </w:r>
      <w:r w:rsidR="008314E7">
        <w:rPr>
          <w:rFonts w:ascii="Arial" w:eastAsia="Times New Roman" w:hAnsi="Arial" w:cs="Arial"/>
          <w:b/>
          <w:lang w:eastAsia="cs-CZ"/>
        </w:rPr>
        <w:t>a.cz a.s.</w:t>
      </w:r>
    </w:p>
    <w:p w14:paraId="52BEDFBA" w14:textId="77777777" w:rsidR="008314E7" w:rsidRPr="00422B15" w:rsidRDefault="008907C8" w:rsidP="008314E7">
      <w:pPr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sídlo: </w:t>
      </w:r>
      <w:r w:rsidR="008314E7" w:rsidRPr="00422B15">
        <w:rPr>
          <w:rFonts w:ascii="Arial" w:eastAsia="Times New Roman" w:hAnsi="Arial" w:cs="Arial"/>
          <w:lang w:eastAsia="cs-CZ"/>
        </w:rPr>
        <w:t>Jankovcova 1522/53, Holešovice, 170 00 Praha 7</w:t>
      </w:r>
    </w:p>
    <w:p w14:paraId="75B09487" w14:textId="4E8058E7" w:rsidR="008907C8" w:rsidRPr="008907C8" w:rsidRDefault="008907C8" w:rsidP="008314E7">
      <w:pPr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IČO: </w:t>
      </w:r>
      <w:r w:rsidR="008314E7" w:rsidRPr="00422B15">
        <w:rPr>
          <w:rFonts w:ascii="Arial" w:eastAsia="Times New Roman" w:hAnsi="Arial" w:cs="Arial"/>
          <w:lang w:eastAsia="cs-CZ"/>
        </w:rPr>
        <w:t>27082440</w:t>
      </w:r>
    </w:p>
    <w:p w14:paraId="31124A63" w14:textId="78A3A57A" w:rsidR="008907C8" w:rsidRDefault="008907C8" w:rsidP="008907C8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DIČ: CZ</w:t>
      </w:r>
      <w:r w:rsidR="008314E7" w:rsidRPr="00422B15">
        <w:rPr>
          <w:rFonts w:ascii="Arial" w:eastAsia="Times New Roman" w:hAnsi="Arial" w:cs="Arial"/>
          <w:lang w:eastAsia="cs-CZ"/>
        </w:rPr>
        <w:t>27082440</w:t>
      </w:r>
    </w:p>
    <w:p w14:paraId="154BCBA4" w14:textId="0A164719" w:rsidR="008907C8" w:rsidRPr="008907C8" w:rsidRDefault="008907C8" w:rsidP="008907C8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 xml:space="preserve">zapsaná v obchodním rejstříku vedeném Městským soudem v Praze, </w:t>
      </w:r>
      <w:proofErr w:type="spellStart"/>
      <w:r w:rsidRPr="008907C8">
        <w:rPr>
          <w:rFonts w:ascii="Arial" w:eastAsia="Times New Roman" w:hAnsi="Arial" w:cs="Arial"/>
          <w:lang w:eastAsia="cs-CZ"/>
        </w:rPr>
        <w:t>sp</w:t>
      </w:r>
      <w:proofErr w:type="spellEnd"/>
      <w:r w:rsidRPr="008907C8">
        <w:rPr>
          <w:rFonts w:ascii="Arial" w:eastAsia="Times New Roman" w:hAnsi="Arial" w:cs="Arial"/>
          <w:lang w:eastAsia="cs-CZ"/>
        </w:rPr>
        <w:t xml:space="preserve">. zn. </w:t>
      </w:r>
      <w:r w:rsidR="008314E7">
        <w:rPr>
          <w:rFonts w:ascii="Arial" w:eastAsia="Times New Roman" w:hAnsi="Arial" w:cs="Arial"/>
          <w:lang w:eastAsia="cs-CZ"/>
        </w:rPr>
        <w:t>B 8573</w:t>
      </w:r>
    </w:p>
    <w:p w14:paraId="17D0077B" w14:textId="77777777" w:rsidR="008907C8" w:rsidRPr="008907C8" w:rsidRDefault="008907C8" w:rsidP="008907C8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bankovní spojení: ČSOB, a.s.</w:t>
      </w:r>
      <w:r w:rsidRPr="008907C8" w:rsidDel="00953D3F">
        <w:rPr>
          <w:rFonts w:ascii="Arial" w:eastAsia="Times New Roman" w:hAnsi="Arial" w:cs="Arial"/>
          <w:lang w:eastAsia="cs-CZ"/>
        </w:rPr>
        <w:t xml:space="preserve"> </w:t>
      </w:r>
    </w:p>
    <w:p w14:paraId="22BBB64D" w14:textId="572E6BB2" w:rsidR="008907C8" w:rsidRPr="008907C8" w:rsidRDefault="008907C8" w:rsidP="008907C8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284"/>
        <w:rPr>
          <w:rFonts w:ascii="Arial" w:eastAsia="Times New Roman" w:hAnsi="Arial" w:cs="Arial"/>
          <w:b/>
          <w:snapToGrid w:val="0"/>
          <w:lang w:eastAsia="cs-CZ"/>
        </w:rPr>
      </w:pPr>
      <w:r w:rsidRPr="008907C8">
        <w:rPr>
          <w:rFonts w:ascii="Arial" w:eastAsia="Times New Roman" w:hAnsi="Arial" w:cs="Arial"/>
          <w:bCs/>
          <w:snapToGrid w:val="0"/>
          <w:lang w:eastAsia="cs-CZ"/>
        </w:rPr>
        <w:t>číslo účtu:</w:t>
      </w:r>
      <w:r w:rsidRPr="008907C8">
        <w:rPr>
          <w:rFonts w:ascii="Arial" w:eastAsia="Times New Roman" w:hAnsi="Arial" w:cs="Arial"/>
          <w:lang w:eastAsia="cs-CZ"/>
        </w:rPr>
        <w:t xml:space="preserve"> </w:t>
      </w:r>
      <w:r w:rsidR="002A7501">
        <w:rPr>
          <w:rFonts w:ascii="Arial" w:eastAsia="Times New Roman" w:hAnsi="Arial" w:cs="Arial"/>
          <w:snapToGrid w:val="0"/>
          <w:lang w:eastAsia="cs-CZ"/>
        </w:rPr>
        <w:t>188505042/0300</w:t>
      </w:r>
    </w:p>
    <w:p w14:paraId="5A48DE23" w14:textId="33C0E047" w:rsidR="008907C8" w:rsidRPr="008907C8" w:rsidRDefault="008907C8" w:rsidP="008907C8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284"/>
        <w:rPr>
          <w:rFonts w:ascii="Arial" w:eastAsia="Times New Roman" w:hAnsi="Arial" w:cs="Arial"/>
          <w:bCs/>
          <w:snapToGrid w:val="0"/>
          <w:lang w:eastAsia="cs-CZ"/>
        </w:rPr>
      </w:pPr>
      <w:r w:rsidRPr="000807E4">
        <w:rPr>
          <w:rFonts w:ascii="Arial" w:eastAsia="Times New Roman" w:hAnsi="Arial" w:cs="Arial"/>
          <w:lang w:eastAsia="cs-CZ"/>
        </w:rPr>
        <w:t>zastoupená:</w:t>
      </w:r>
      <w:r w:rsidRPr="008907C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F3222">
        <w:rPr>
          <w:rFonts w:ascii="Arial" w:eastAsia="Times New Roman" w:hAnsi="Arial" w:cs="Arial"/>
          <w:lang w:eastAsia="cs-CZ"/>
        </w:rPr>
        <w:t>xxxxxxxxxxxxxxxx</w:t>
      </w:r>
      <w:proofErr w:type="spellEnd"/>
    </w:p>
    <w:p w14:paraId="387ECF30" w14:textId="77777777" w:rsidR="008907C8" w:rsidRPr="008907C8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73DF428B" w14:textId="60469AE9" w:rsidR="008907C8" w:rsidRPr="008907C8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(dále též jako</w:t>
      </w:r>
      <w:r w:rsidR="00996902">
        <w:rPr>
          <w:rFonts w:ascii="Arial" w:eastAsia="Times New Roman" w:hAnsi="Arial" w:cs="Arial"/>
          <w:lang w:eastAsia="cs-CZ"/>
        </w:rPr>
        <w:t xml:space="preserve"> </w:t>
      </w:r>
      <w:r w:rsidR="00996902" w:rsidRPr="00996902">
        <w:rPr>
          <w:rFonts w:ascii="Arial" w:eastAsia="Times New Roman" w:hAnsi="Arial" w:cs="Arial"/>
          <w:b/>
          <w:bCs/>
          <w:lang w:eastAsia="cs-CZ"/>
        </w:rPr>
        <w:t>„Dodavatel“</w:t>
      </w:r>
      <w:r w:rsidRPr="008907C8">
        <w:rPr>
          <w:rFonts w:ascii="Arial" w:eastAsia="Times New Roman" w:hAnsi="Arial" w:cs="Arial"/>
          <w:lang w:eastAsia="cs-CZ"/>
        </w:rPr>
        <w:t>)</w:t>
      </w:r>
    </w:p>
    <w:p w14:paraId="5708D418" w14:textId="77777777" w:rsidR="008907C8" w:rsidRPr="008907C8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08BD7177" w14:textId="77777777" w:rsidR="008907C8" w:rsidRPr="008907C8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66B6A66A" w14:textId="5EA21772" w:rsidR="008907C8" w:rsidRPr="008907C8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</w:t>
      </w:r>
      <w:r w:rsidR="00D5178B">
        <w:rPr>
          <w:rFonts w:ascii="Arial" w:eastAsia="Times New Roman" w:hAnsi="Arial" w:cs="Arial"/>
          <w:lang w:eastAsia="cs-CZ"/>
        </w:rPr>
        <w:t>Objednatel a Dodavatel</w:t>
      </w:r>
      <w:r w:rsidR="00884E7D">
        <w:rPr>
          <w:rFonts w:ascii="Arial" w:eastAsia="Times New Roman" w:hAnsi="Arial" w:cs="Arial"/>
          <w:lang w:eastAsia="cs-CZ"/>
        </w:rPr>
        <w:t xml:space="preserve"> </w:t>
      </w:r>
      <w:r w:rsidRPr="008907C8">
        <w:rPr>
          <w:rFonts w:ascii="Arial" w:eastAsia="Times New Roman" w:hAnsi="Arial" w:cs="Arial"/>
          <w:lang w:eastAsia="cs-CZ"/>
        </w:rPr>
        <w:t>společně dále též jako „</w:t>
      </w:r>
      <w:r w:rsidRPr="008907C8">
        <w:rPr>
          <w:rFonts w:ascii="Arial" w:eastAsia="Times New Roman" w:hAnsi="Arial" w:cs="Arial"/>
          <w:b/>
          <w:lang w:eastAsia="cs-CZ"/>
        </w:rPr>
        <w:t>smluvní strany</w:t>
      </w:r>
      <w:r w:rsidRPr="008907C8">
        <w:rPr>
          <w:rFonts w:ascii="Arial" w:eastAsia="Times New Roman" w:hAnsi="Arial" w:cs="Arial"/>
          <w:lang w:eastAsia="cs-CZ"/>
        </w:rPr>
        <w:t>“ a samostatně dále též jako „</w:t>
      </w:r>
      <w:r w:rsidRPr="008907C8">
        <w:rPr>
          <w:rFonts w:ascii="Arial" w:eastAsia="Times New Roman" w:hAnsi="Arial" w:cs="Arial"/>
          <w:b/>
          <w:lang w:eastAsia="cs-CZ"/>
        </w:rPr>
        <w:t>smluvní strana</w:t>
      </w:r>
      <w:r w:rsidRPr="008907C8">
        <w:rPr>
          <w:rFonts w:ascii="Arial" w:eastAsia="Times New Roman" w:hAnsi="Arial" w:cs="Arial"/>
          <w:lang w:eastAsia="cs-CZ"/>
        </w:rPr>
        <w:t>“)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48BA56A4" w:rsidR="009D2F64" w:rsidRPr="00D368F9" w:rsidRDefault="0049507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5E3E4AC3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</w:t>
      </w:r>
      <w:r w:rsidR="004C35AF">
        <w:rPr>
          <w:rFonts w:ascii="Arial" w:hAnsi="Arial" w:cs="Arial"/>
          <w:sz w:val="22"/>
          <w:szCs w:val="22"/>
        </w:rPr>
        <w:t>, a to</w:t>
      </w:r>
      <w:r w:rsidRPr="00D368F9">
        <w:rPr>
          <w:rFonts w:ascii="Arial" w:hAnsi="Arial" w:cs="Arial"/>
          <w:sz w:val="22"/>
          <w:szCs w:val="22"/>
        </w:rPr>
        <w:t xml:space="preserve"> vzhledem k tomu, že:</w:t>
      </w:r>
    </w:p>
    <w:p w14:paraId="622B1CC3" w14:textId="3A692503" w:rsidR="00F57E4D" w:rsidRPr="0086069B" w:rsidRDefault="00D402CB" w:rsidP="008606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A7D80">
        <w:rPr>
          <w:rFonts w:ascii="Arial" w:hAnsi="Arial" w:cs="Arial"/>
        </w:rPr>
        <w:t>ezi smluvními stranami byl založen dn</w:t>
      </w:r>
      <w:r w:rsidR="004B571D">
        <w:rPr>
          <w:rFonts w:ascii="Arial" w:hAnsi="Arial" w:cs="Arial"/>
        </w:rPr>
        <w:t xml:space="preserve">e </w:t>
      </w:r>
      <w:r w:rsidR="00EA462C">
        <w:rPr>
          <w:rFonts w:ascii="Arial" w:hAnsi="Arial" w:cs="Arial"/>
        </w:rPr>
        <w:t>22.11</w:t>
      </w:r>
      <w:r w:rsidR="004B571D">
        <w:rPr>
          <w:rFonts w:ascii="Arial" w:hAnsi="Arial" w:cs="Arial"/>
        </w:rPr>
        <w:t>.2023</w:t>
      </w:r>
      <w:r w:rsidR="00BA7D80">
        <w:rPr>
          <w:rFonts w:ascii="Arial" w:hAnsi="Arial" w:cs="Arial"/>
        </w:rPr>
        <w:t xml:space="preserve"> smluvní vztah, a to akceptací </w:t>
      </w:r>
      <w:r w:rsidR="0012621B">
        <w:rPr>
          <w:rFonts w:ascii="Arial" w:hAnsi="Arial" w:cs="Arial"/>
        </w:rPr>
        <w:t xml:space="preserve">objednávky č. </w:t>
      </w:r>
      <w:r>
        <w:rPr>
          <w:rFonts w:ascii="Arial" w:hAnsi="Arial" w:cs="Arial"/>
        </w:rPr>
        <w:t>A/00</w:t>
      </w:r>
      <w:r w:rsidR="003E422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/23/08 </w:t>
      </w:r>
      <w:r w:rsidR="0012621B">
        <w:rPr>
          <w:rFonts w:ascii="Arial" w:hAnsi="Arial" w:cs="Arial"/>
        </w:rPr>
        <w:t>(dále jen „</w:t>
      </w:r>
      <w:r w:rsidR="0012621B" w:rsidRPr="00653D1F">
        <w:rPr>
          <w:rFonts w:ascii="Arial" w:hAnsi="Arial" w:cs="Arial"/>
          <w:b/>
          <w:bCs/>
        </w:rPr>
        <w:t>Objednávka</w:t>
      </w:r>
      <w:r w:rsidR="0012621B">
        <w:rPr>
          <w:rFonts w:ascii="Arial" w:hAnsi="Arial" w:cs="Arial"/>
        </w:rPr>
        <w:t>“)</w:t>
      </w:r>
      <w:r w:rsidR="00653D1F">
        <w:rPr>
          <w:rFonts w:ascii="Arial" w:hAnsi="Arial" w:cs="Arial"/>
        </w:rPr>
        <w:t>, p</w:t>
      </w:r>
      <w:r w:rsidR="0012621B">
        <w:rPr>
          <w:rFonts w:ascii="Arial" w:hAnsi="Arial" w:cs="Arial"/>
        </w:rPr>
        <w:t xml:space="preserve">řičemž předmětem Objednávky </w:t>
      </w:r>
      <w:r w:rsidR="00D01CDF">
        <w:rPr>
          <w:rFonts w:ascii="Arial" w:hAnsi="Arial" w:cs="Arial"/>
        </w:rPr>
        <w:t>bylo</w:t>
      </w:r>
      <w:r w:rsidR="00443A95">
        <w:rPr>
          <w:rFonts w:ascii="Arial" w:hAnsi="Arial" w:cs="Arial"/>
        </w:rPr>
        <w:t xml:space="preserve"> </w:t>
      </w:r>
      <w:r w:rsidR="00FB4152">
        <w:rPr>
          <w:rFonts w:ascii="Arial" w:hAnsi="Arial" w:cs="Arial"/>
        </w:rPr>
        <w:t xml:space="preserve">dodání </w:t>
      </w:r>
      <w:proofErr w:type="spellStart"/>
      <w:r w:rsidR="005F3222">
        <w:rPr>
          <w:rFonts w:ascii="Arial" w:hAnsi="Arial" w:cs="Arial"/>
        </w:rPr>
        <w:t>xxxx</w:t>
      </w:r>
      <w:proofErr w:type="spellEnd"/>
      <w:r w:rsidR="0086069B" w:rsidRPr="0086069B">
        <w:rPr>
          <w:rFonts w:ascii="Arial" w:hAnsi="Arial" w:cs="Arial"/>
        </w:rPr>
        <w:t xml:space="preserve"> ks Powerbanka Alza </w:t>
      </w:r>
      <w:proofErr w:type="spellStart"/>
      <w:r w:rsidR="0086069B" w:rsidRPr="0086069B">
        <w:rPr>
          <w:rFonts w:ascii="Arial" w:hAnsi="Arial" w:cs="Arial"/>
        </w:rPr>
        <w:t>power</w:t>
      </w:r>
      <w:proofErr w:type="spellEnd"/>
      <w:r w:rsidR="0086069B" w:rsidRPr="0086069B">
        <w:rPr>
          <w:rFonts w:ascii="Arial" w:hAnsi="Arial" w:cs="Arial"/>
        </w:rPr>
        <w:t xml:space="preserve"> Metal 10 00mAh Fast </w:t>
      </w:r>
      <w:proofErr w:type="spellStart"/>
      <w:r w:rsidR="0086069B" w:rsidRPr="0086069B">
        <w:rPr>
          <w:rFonts w:ascii="Arial" w:hAnsi="Arial" w:cs="Arial"/>
        </w:rPr>
        <w:t>Charge</w:t>
      </w:r>
      <w:proofErr w:type="spellEnd"/>
      <w:r w:rsidR="0086069B" w:rsidRPr="0086069B">
        <w:rPr>
          <w:rFonts w:ascii="Arial" w:hAnsi="Arial" w:cs="Arial"/>
        </w:rPr>
        <w:t xml:space="preserve"> + PD3.0 černá (cena </w:t>
      </w:r>
      <w:proofErr w:type="spellStart"/>
      <w:r w:rsidR="005F3222">
        <w:rPr>
          <w:rFonts w:ascii="Arial" w:hAnsi="Arial" w:cs="Arial"/>
        </w:rPr>
        <w:t>xxxx</w:t>
      </w:r>
      <w:proofErr w:type="spellEnd"/>
      <w:r w:rsidR="0086069B" w:rsidRPr="0086069B">
        <w:rPr>
          <w:rFonts w:ascii="Arial" w:hAnsi="Arial" w:cs="Arial"/>
        </w:rPr>
        <w:t xml:space="preserve"> Kč bez</w:t>
      </w:r>
      <w:r w:rsidR="0086069B">
        <w:rPr>
          <w:rFonts w:ascii="Arial" w:hAnsi="Arial" w:cs="Arial"/>
        </w:rPr>
        <w:t xml:space="preserve"> </w:t>
      </w:r>
      <w:r w:rsidR="0086069B" w:rsidRPr="0086069B">
        <w:rPr>
          <w:rFonts w:ascii="Arial" w:hAnsi="Arial" w:cs="Arial"/>
        </w:rPr>
        <w:t>DPH/ks</w:t>
      </w:r>
      <w:r w:rsidR="008B4C4A">
        <w:rPr>
          <w:rFonts w:ascii="Arial" w:hAnsi="Arial" w:cs="Arial"/>
        </w:rPr>
        <w:t>)</w:t>
      </w:r>
      <w:r w:rsidR="0086069B" w:rsidRPr="0086069B">
        <w:rPr>
          <w:rFonts w:ascii="Arial" w:hAnsi="Arial" w:cs="Arial"/>
        </w:rPr>
        <w:t xml:space="preserve">; </w:t>
      </w:r>
      <w:proofErr w:type="spellStart"/>
      <w:r w:rsidR="004A6E84">
        <w:rPr>
          <w:rFonts w:ascii="Arial" w:hAnsi="Arial" w:cs="Arial"/>
        </w:rPr>
        <w:t>xxx</w:t>
      </w:r>
      <w:proofErr w:type="spellEnd"/>
      <w:r w:rsidR="0086069B" w:rsidRPr="0086069B">
        <w:rPr>
          <w:rFonts w:ascii="Arial" w:hAnsi="Arial" w:cs="Arial"/>
        </w:rPr>
        <w:t xml:space="preserve"> ks Svíčka Yankee </w:t>
      </w:r>
      <w:proofErr w:type="spellStart"/>
      <w:r w:rsidR="0086069B" w:rsidRPr="0086069B">
        <w:rPr>
          <w:rFonts w:ascii="Arial" w:hAnsi="Arial" w:cs="Arial"/>
        </w:rPr>
        <w:t>Candle</w:t>
      </w:r>
      <w:proofErr w:type="spellEnd"/>
      <w:r w:rsidR="0086069B" w:rsidRPr="0086069B">
        <w:rPr>
          <w:rFonts w:ascii="Arial" w:hAnsi="Arial" w:cs="Arial"/>
        </w:rPr>
        <w:t xml:space="preserve"> dárková sada votivní </w:t>
      </w:r>
      <w:r w:rsidR="0086069B" w:rsidRPr="0086069B">
        <w:rPr>
          <w:rFonts w:ascii="Arial" w:hAnsi="Arial" w:cs="Arial"/>
        </w:rPr>
        <w:lastRenderedPageBreak/>
        <w:t xml:space="preserve">svíčka ve skle 3 x 37 g + malý svícen (cena </w:t>
      </w:r>
      <w:proofErr w:type="spellStart"/>
      <w:r w:rsidR="005F3222">
        <w:rPr>
          <w:rFonts w:ascii="Arial" w:hAnsi="Arial" w:cs="Arial"/>
        </w:rPr>
        <w:t>xxxxxx</w:t>
      </w:r>
      <w:proofErr w:type="spellEnd"/>
      <w:r w:rsidR="0086069B" w:rsidRPr="0086069B">
        <w:rPr>
          <w:rFonts w:ascii="Arial" w:hAnsi="Arial" w:cs="Arial"/>
        </w:rPr>
        <w:t xml:space="preserve"> Kč bez DPH/ks)</w:t>
      </w:r>
      <w:r w:rsidR="00C57DC4">
        <w:rPr>
          <w:rFonts w:ascii="Arial" w:hAnsi="Arial" w:cs="Arial"/>
        </w:rPr>
        <w:t>;</w:t>
      </w:r>
      <w:r w:rsidR="0086069B">
        <w:rPr>
          <w:rFonts w:ascii="Arial" w:hAnsi="Arial" w:cs="Arial"/>
        </w:rPr>
        <w:t xml:space="preserve"> </w:t>
      </w:r>
      <w:r w:rsidR="00FB4152" w:rsidRPr="0086069B">
        <w:rPr>
          <w:rFonts w:ascii="Arial" w:hAnsi="Arial" w:cs="Arial"/>
        </w:rPr>
        <w:t xml:space="preserve">(bližší specifikace </w:t>
      </w:r>
      <w:r w:rsidR="00F7292D" w:rsidRPr="0086069B">
        <w:rPr>
          <w:rFonts w:ascii="Arial" w:hAnsi="Arial" w:cs="Arial"/>
        </w:rPr>
        <w:t xml:space="preserve">je </w:t>
      </w:r>
      <w:r w:rsidR="00FB4152" w:rsidRPr="0086069B">
        <w:rPr>
          <w:rFonts w:ascii="Arial" w:hAnsi="Arial" w:cs="Arial"/>
        </w:rPr>
        <w:t>uvedena v přiložené Objednávce</w:t>
      </w:r>
      <w:r w:rsidR="00442304" w:rsidRPr="0086069B">
        <w:rPr>
          <w:rFonts w:ascii="Arial" w:hAnsi="Arial" w:cs="Arial"/>
        </w:rPr>
        <w:t>, jež tvoří přílohu č. 1 této Dohody</w:t>
      </w:r>
      <w:r w:rsidR="00FB4152" w:rsidRPr="0086069B">
        <w:rPr>
          <w:rFonts w:ascii="Arial" w:hAnsi="Arial" w:cs="Arial"/>
        </w:rPr>
        <w:t>)</w:t>
      </w:r>
      <w:r w:rsidR="00D01CDF" w:rsidRPr="0086069B">
        <w:rPr>
          <w:rFonts w:ascii="Arial" w:hAnsi="Arial" w:cs="Arial"/>
        </w:rPr>
        <w:t xml:space="preserve"> (</w:t>
      </w:r>
      <w:r w:rsidR="00FB4152" w:rsidRPr="0086069B">
        <w:rPr>
          <w:rFonts w:ascii="Arial" w:hAnsi="Arial" w:cs="Arial"/>
        </w:rPr>
        <w:t>dále jen „</w:t>
      </w:r>
      <w:r w:rsidR="00D01CDF" w:rsidRPr="0086069B">
        <w:rPr>
          <w:rFonts w:ascii="Arial" w:hAnsi="Arial" w:cs="Arial"/>
          <w:b/>
          <w:bCs/>
        </w:rPr>
        <w:t>P</w:t>
      </w:r>
      <w:r w:rsidR="00E011E2" w:rsidRPr="0086069B">
        <w:rPr>
          <w:rFonts w:ascii="Arial" w:hAnsi="Arial" w:cs="Arial"/>
          <w:b/>
          <w:bCs/>
        </w:rPr>
        <w:t>ředmět p</w:t>
      </w:r>
      <w:r w:rsidR="00D01CDF" w:rsidRPr="0086069B">
        <w:rPr>
          <w:rFonts w:ascii="Arial" w:hAnsi="Arial" w:cs="Arial"/>
          <w:b/>
          <w:bCs/>
        </w:rPr>
        <w:t>lnění</w:t>
      </w:r>
      <w:r w:rsidR="00FB4152" w:rsidRPr="0086069B">
        <w:rPr>
          <w:rFonts w:ascii="Arial" w:hAnsi="Arial" w:cs="Arial"/>
        </w:rPr>
        <w:t>“</w:t>
      </w:r>
      <w:r w:rsidR="00D01CDF" w:rsidRPr="0086069B">
        <w:rPr>
          <w:rFonts w:ascii="Arial" w:hAnsi="Arial" w:cs="Arial"/>
        </w:rPr>
        <w:t>)</w:t>
      </w:r>
      <w:r w:rsidR="003F0271" w:rsidRPr="0086069B">
        <w:rPr>
          <w:rFonts w:ascii="Arial" w:hAnsi="Arial" w:cs="Arial"/>
        </w:rPr>
        <w:t>;</w:t>
      </w:r>
    </w:p>
    <w:p w14:paraId="0770DCD5" w14:textId="77777777" w:rsidR="00310EEA" w:rsidRPr="00FB4152" w:rsidRDefault="00310EEA" w:rsidP="00310EEA">
      <w:pPr>
        <w:pStyle w:val="Odstavecseseznamem"/>
        <w:spacing w:after="0"/>
        <w:jc w:val="both"/>
        <w:rPr>
          <w:rFonts w:ascii="Arial" w:hAnsi="Arial" w:cs="Arial"/>
        </w:rPr>
      </w:pPr>
    </w:p>
    <w:p w14:paraId="0DD495C0" w14:textId="047ABED8" w:rsidR="00F57E4D" w:rsidRPr="0086069B" w:rsidRDefault="00310EEA" w:rsidP="008606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smluvní strany </w:t>
      </w:r>
      <w:r w:rsidR="00EC1A50" w:rsidRPr="0086069B">
        <w:rPr>
          <w:rFonts w:ascii="Arial" w:hAnsi="Arial" w:cs="Arial"/>
        </w:rPr>
        <w:t>m</w:t>
      </w:r>
      <w:r w:rsidR="00A405A1" w:rsidRPr="0086069B">
        <w:rPr>
          <w:rFonts w:ascii="Arial" w:hAnsi="Arial" w:cs="Arial"/>
        </w:rPr>
        <w:t xml:space="preserve">ěly podle § </w:t>
      </w:r>
      <w:r w:rsidR="00044F17" w:rsidRPr="0086069B">
        <w:rPr>
          <w:rFonts w:ascii="Arial" w:hAnsi="Arial" w:cs="Arial"/>
        </w:rPr>
        <w:t xml:space="preserve">2 odst. 1 písm. </w:t>
      </w:r>
      <w:r w:rsidR="005637E4" w:rsidRPr="0086069B">
        <w:rPr>
          <w:rFonts w:ascii="Arial" w:hAnsi="Arial" w:cs="Arial"/>
        </w:rPr>
        <w:t>m</w:t>
      </w:r>
      <w:r w:rsidR="00044F17" w:rsidRPr="0086069B">
        <w:rPr>
          <w:rFonts w:ascii="Arial" w:hAnsi="Arial" w:cs="Arial"/>
        </w:rPr>
        <w:t xml:space="preserve">) </w:t>
      </w:r>
      <w:r w:rsidR="00A405A1" w:rsidRPr="0086069B">
        <w:rPr>
          <w:rFonts w:ascii="Arial" w:hAnsi="Arial" w:cs="Arial"/>
        </w:rPr>
        <w:t xml:space="preserve">zákona </w:t>
      </w:r>
      <w:r w:rsidR="00044F17" w:rsidRPr="0086069B">
        <w:rPr>
          <w:rFonts w:ascii="Arial" w:hAnsi="Arial" w:cs="Arial"/>
        </w:rPr>
        <w:t xml:space="preserve">č. 340/2015, </w:t>
      </w:r>
      <w:r w:rsidR="00491222" w:rsidRPr="0086069B">
        <w:rPr>
          <w:rFonts w:ascii="Arial" w:hAnsi="Arial" w:cs="Arial"/>
        </w:rPr>
        <w:t>o zvláštních podmínkách účinnosti některých smluv, uveřejňování těchto smluv a o registru smluv, ve znění pozdějších předpisů (dále jen „</w:t>
      </w:r>
      <w:r w:rsidR="00491222" w:rsidRPr="0086069B">
        <w:rPr>
          <w:rFonts w:ascii="Arial" w:hAnsi="Arial" w:cs="Arial"/>
          <w:b/>
          <w:bCs/>
        </w:rPr>
        <w:t>zákon o registru smluv</w:t>
      </w:r>
      <w:r w:rsidR="00491222" w:rsidRPr="0086069B">
        <w:rPr>
          <w:rFonts w:ascii="Arial" w:hAnsi="Arial" w:cs="Arial"/>
        </w:rPr>
        <w:t>“)</w:t>
      </w:r>
      <w:r w:rsidR="00AF5D4D" w:rsidRPr="0086069B">
        <w:rPr>
          <w:rFonts w:ascii="Arial" w:hAnsi="Arial" w:cs="Arial"/>
        </w:rPr>
        <w:t>,</w:t>
      </w:r>
      <w:r w:rsidR="00A405A1" w:rsidRPr="0086069B">
        <w:rPr>
          <w:rFonts w:ascii="Arial" w:hAnsi="Arial" w:cs="Arial"/>
        </w:rPr>
        <w:t xml:space="preserve"> povinnost uveřejnit </w:t>
      </w:r>
      <w:r w:rsidR="004D39C0" w:rsidRPr="0086069B">
        <w:rPr>
          <w:rFonts w:ascii="Arial" w:hAnsi="Arial" w:cs="Arial"/>
        </w:rPr>
        <w:t xml:space="preserve">Objednávku </w:t>
      </w:r>
      <w:r w:rsidR="00A405A1" w:rsidRPr="0086069B">
        <w:rPr>
          <w:rFonts w:ascii="Arial" w:hAnsi="Arial" w:cs="Arial"/>
        </w:rPr>
        <w:t>uvedenou v</w:t>
      </w:r>
      <w:r w:rsidR="00996902" w:rsidRPr="0086069B">
        <w:rPr>
          <w:rFonts w:ascii="Arial" w:hAnsi="Arial" w:cs="Arial"/>
        </w:rPr>
        <w:t> odst.</w:t>
      </w:r>
      <w:r w:rsidR="00276840" w:rsidRPr="0086069B">
        <w:rPr>
          <w:rFonts w:ascii="Arial" w:hAnsi="Arial" w:cs="Arial"/>
        </w:rPr>
        <w:t xml:space="preserve"> 1 </w:t>
      </w:r>
      <w:r w:rsidR="004D39C0" w:rsidRPr="0086069B">
        <w:rPr>
          <w:rFonts w:ascii="Arial" w:hAnsi="Arial" w:cs="Arial"/>
        </w:rPr>
        <w:t>výše</w:t>
      </w:r>
      <w:r w:rsidR="00491222" w:rsidRPr="0086069B">
        <w:rPr>
          <w:rFonts w:ascii="Arial" w:hAnsi="Arial" w:cs="Arial"/>
        </w:rPr>
        <w:t xml:space="preserve">, a to </w:t>
      </w:r>
      <w:r w:rsidR="00A405A1" w:rsidRPr="0086069B">
        <w:rPr>
          <w:rFonts w:ascii="Arial" w:hAnsi="Arial" w:cs="Arial"/>
        </w:rPr>
        <w:t xml:space="preserve">postupem podle zákona </w:t>
      </w:r>
      <w:r w:rsidR="00996902" w:rsidRPr="0086069B">
        <w:rPr>
          <w:rFonts w:ascii="Arial" w:hAnsi="Arial" w:cs="Arial"/>
        </w:rPr>
        <w:t>o registru smluv</w:t>
      </w:r>
      <w:r w:rsidR="003F0271" w:rsidRPr="0086069B">
        <w:rPr>
          <w:rFonts w:ascii="Arial" w:hAnsi="Arial" w:cs="Arial"/>
        </w:rPr>
        <w:t>;</w:t>
      </w:r>
    </w:p>
    <w:p w14:paraId="68867DBA" w14:textId="77777777" w:rsidR="00310EEA" w:rsidRPr="00310EEA" w:rsidRDefault="00310EEA" w:rsidP="00310EEA">
      <w:pPr>
        <w:spacing w:after="0"/>
        <w:jc w:val="both"/>
        <w:rPr>
          <w:rFonts w:ascii="Arial" w:hAnsi="Arial" w:cs="Arial"/>
        </w:rPr>
      </w:pPr>
    </w:p>
    <w:p w14:paraId="29E425A8" w14:textId="04E5AF6F" w:rsidR="00044F17" w:rsidRPr="00F57E4D" w:rsidRDefault="00332803" w:rsidP="008606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57E4D">
        <w:rPr>
          <w:rFonts w:ascii="Arial" w:hAnsi="Arial" w:cs="Arial"/>
        </w:rPr>
        <w:t>z</w:t>
      </w:r>
      <w:r w:rsidR="003F0271">
        <w:rPr>
          <w:rFonts w:ascii="Arial" w:hAnsi="Arial" w:cs="Arial"/>
        </w:rPr>
        <w:t xml:space="preserve"> Objednávky</w:t>
      </w:r>
      <w:r w:rsidR="00AF5D4D" w:rsidRPr="00F57E4D">
        <w:rPr>
          <w:rFonts w:ascii="Arial" w:hAnsi="Arial" w:cs="Arial"/>
        </w:rPr>
        <w:t xml:space="preserve"> </w:t>
      </w:r>
      <w:r w:rsidR="00283AC9" w:rsidRPr="00F57E4D">
        <w:rPr>
          <w:rFonts w:ascii="Arial" w:hAnsi="Arial" w:cs="Arial"/>
        </w:rPr>
        <w:t>uvedené v</w:t>
      </w:r>
      <w:r w:rsidR="00996902" w:rsidRPr="00F57E4D">
        <w:rPr>
          <w:rFonts w:ascii="Arial" w:hAnsi="Arial" w:cs="Arial"/>
        </w:rPr>
        <w:t> čl.</w:t>
      </w:r>
      <w:r w:rsidR="00283AC9" w:rsidRPr="00F57E4D">
        <w:rPr>
          <w:rFonts w:ascii="Arial" w:hAnsi="Arial" w:cs="Arial"/>
        </w:rPr>
        <w:t xml:space="preserve"> I</w:t>
      </w:r>
      <w:r w:rsidR="00996902" w:rsidRPr="00F57E4D">
        <w:rPr>
          <w:rFonts w:ascii="Arial" w:hAnsi="Arial" w:cs="Arial"/>
        </w:rPr>
        <w:t>.,</w:t>
      </w:r>
      <w:r w:rsidR="00276840" w:rsidRPr="00F57E4D">
        <w:rPr>
          <w:rFonts w:ascii="Arial" w:hAnsi="Arial" w:cs="Arial"/>
        </w:rPr>
        <w:t xml:space="preserve"> </w:t>
      </w:r>
      <w:r w:rsidR="00996902" w:rsidRPr="00F57E4D">
        <w:rPr>
          <w:rFonts w:ascii="Arial" w:hAnsi="Arial" w:cs="Arial"/>
        </w:rPr>
        <w:t>odst.</w:t>
      </w:r>
      <w:r w:rsidR="00276840" w:rsidRPr="00F57E4D">
        <w:rPr>
          <w:rFonts w:ascii="Arial" w:hAnsi="Arial" w:cs="Arial"/>
        </w:rPr>
        <w:t xml:space="preserve"> 1</w:t>
      </w:r>
      <w:r w:rsidR="00283AC9" w:rsidRPr="00F57E4D">
        <w:rPr>
          <w:rFonts w:ascii="Arial" w:hAnsi="Arial" w:cs="Arial"/>
        </w:rPr>
        <w:t xml:space="preserve"> této </w:t>
      </w:r>
      <w:r w:rsidR="003F0271">
        <w:rPr>
          <w:rFonts w:ascii="Arial" w:hAnsi="Arial" w:cs="Arial"/>
        </w:rPr>
        <w:t>D</w:t>
      </w:r>
      <w:r w:rsidR="00283AC9" w:rsidRPr="00F57E4D">
        <w:rPr>
          <w:rFonts w:ascii="Arial" w:hAnsi="Arial" w:cs="Arial"/>
        </w:rPr>
        <w:t xml:space="preserve">ohody </w:t>
      </w:r>
      <w:r w:rsidR="00AF5D4D" w:rsidRPr="00F57E4D">
        <w:rPr>
          <w:rFonts w:ascii="Arial" w:hAnsi="Arial" w:cs="Arial"/>
        </w:rPr>
        <w:t>byl</w:t>
      </w:r>
      <w:r w:rsidR="001F71A6">
        <w:rPr>
          <w:rFonts w:ascii="Arial" w:hAnsi="Arial" w:cs="Arial"/>
        </w:rPr>
        <w:t>a</w:t>
      </w:r>
      <w:r w:rsidR="00E011E2">
        <w:rPr>
          <w:rFonts w:ascii="Arial" w:hAnsi="Arial" w:cs="Arial"/>
        </w:rPr>
        <w:t xml:space="preserve"> </w:t>
      </w:r>
      <w:r w:rsidR="00AF5D4D" w:rsidRPr="00F57E4D">
        <w:rPr>
          <w:rFonts w:ascii="Arial" w:hAnsi="Arial" w:cs="Arial"/>
        </w:rPr>
        <w:t>poskytnut</w:t>
      </w:r>
      <w:r w:rsidR="001F71A6">
        <w:rPr>
          <w:rFonts w:ascii="Arial" w:hAnsi="Arial" w:cs="Arial"/>
        </w:rPr>
        <w:t>a</w:t>
      </w:r>
      <w:r w:rsidR="00AF5D4D" w:rsidRPr="00F57E4D">
        <w:rPr>
          <w:rFonts w:ascii="Arial" w:hAnsi="Arial" w:cs="Arial"/>
        </w:rPr>
        <w:t xml:space="preserve"> </w:t>
      </w:r>
      <w:r w:rsidR="00E011E2">
        <w:rPr>
          <w:rFonts w:ascii="Arial" w:hAnsi="Arial" w:cs="Arial"/>
        </w:rPr>
        <w:t>p</w:t>
      </w:r>
      <w:r w:rsidR="00AF5D4D" w:rsidRPr="00F57E4D">
        <w:rPr>
          <w:rFonts w:ascii="Arial" w:hAnsi="Arial" w:cs="Arial"/>
        </w:rPr>
        <w:t>lnění</w:t>
      </w:r>
      <w:r w:rsidR="001F71A6">
        <w:rPr>
          <w:rFonts w:ascii="Arial" w:hAnsi="Arial" w:cs="Arial"/>
        </w:rPr>
        <w:t xml:space="preserve"> uvedená v čl. II </w:t>
      </w:r>
      <w:r w:rsidR="009C3FDA">
        <w:rPr>
          <w:rFonts w:ascii="Arial" w:hAnsi="Arial" w:cs="Arial"/>
        </w:rPr>
        <w:t xml:space="preserve">odst. 1 </w:t>
      </w:r>
      <w:r w:rsidR="001F71A6">
        <w:rPr>
          <w:rFonts w:ascii="Arial" w:hAnsi="Arial" w:cs="Arial"/>
        </w:rPr>
        <w:t>této Dohody</w:t>
      </w:r>
      <w:r w:rsidR="00AF5D4D" w:rsidRPr="00F57E4D">
        <w:rPr>
          <w:rFonts w:ascii="Arial" w:hAnsi="Arial" w:cs="Arial"/>
        </w:rPr>
        <w:t xml:space="preserve">, přestože </w:t>
      </w:r>
      <w:r w:rsidR="00283AC9" w:rsidRPr="00F57E4D">
        <w:rPr>
          <w:rFonts w:ascii="Arial" w:hAnsi="Arial" w:cs="Arial"/>
        </w:rPr>
        <w:t xml:space="preserve">v době poskytnutí </w:t>
      </w:r>
      <w:r w:rsidR="00E011E2">
        <w:rPr>
          <w:rFonts w:ascii="Arial" w:hAnsi="Arial" w:cs="Arial"/>
        </w:rPr>
        <w:t>p</w:t>
      </w:r>
      <w:r w:rsidR="00283AC9" w:rsidRPr="00F57E4D">
        <w:rPr>
          <w:rFonts w:ascii="Arial" w:hAnsi="Arial" w:cs="Arial"/>
        </w:rPr>
        <w:t xml:space="preserve">lnění nebyla tato </w:t>
      </w:r>
      <w:r w:rsidR="00027435">
        <w:rPr>
          <w:rFonts w:ascii="Arial" w:hAnsi="Arial" w:cs="Arial"/>
        </w:rPr>
        <w:t>Objednávka</w:t>
      </w:r>
      <w:r w:rsidR="009D2F64" w:rsidRPr="00F57E4D">
        <w:rPr>
          <w:rFonts w:ascii="Arial" w:hAnsi="Arial" w:cs="Arial"/>
        </w:rPr>
        <w:t xml:space="preserve"> uveřejněna dle § 5</w:t>
      </w:r>
      <w:r w:rsidR="00283AC9" w:rsidRPr="00F57E4D">
        <w:rPr>
          <w:rFonts w:ascii="Arial" w:hAnsi="Arial" w:cs="Arial"/>
        </w:rPr>
        <w:t xml:space="preserve"> </w:t>
      </w:r>
      <w:r w:rsidR="00945C9D" w:rsidRPr="00F57E4D">
        <w:rPr>
          <w:rFonts w:ascii="Arial" w:hAnsi="Arial" w:cs="Arial"/>
        </w:rPr>
        <w:t>zákona o registru smluv</w:t>
      </w:r>
      <w:r w:rsidR="00283AC9" w:rsidRPr="00F57E4D">
        <w:rPr>
          <w:rFonts w:ascii="Arial" w:hAnsi="Arial" w:cs="Arial"/>
        </w:rPr>
        <w:t xml:space="preserve"> a nenabyla tak účinnosti, </w:t>
      </w:r>
      <w:r w:rsidRPr="00F57E4D">
        <w:rPr>
          <w:rFonts w:ascii="Arial" w:hAnsi="Arial" w:cs="Arial"/>
        </w:rPr>
        <w:t>a tudíž m</w:t>
      </w:r>
      <w:r w:rsidR="009C3FDA">
        <w:rPr>
          <w:rFonts w:ascii="Arial" w:hAnsi="Arial" w:cs="Arial"/>
        </w:rPr>
        <w:t>ají</w:t>
      </w:r>
      <w:r w:rsidR="00283AC9" w:rsidRPr="00F57E4D">
        <w:rPr>
          <w:rFonts w:ascii="Arial" w:hAnsi="Arial" w:cs="Arial"/>
        </w:rPr>
        <w:t xml:space="preserve"> poskytnut</w:t>
      </w:r>
      <w:r w:rsidR="009C3FDA">
        <w:rPr>
          <w:rFonts w:ascii="Arial" w:hAnsi="Arial" w:cs="Arial"/>
        </w:rPr>
        <w:t>á</w:t>
      </w:r>
      <w:r w:rsidR="00283AC9" w:rsidRPr="00F57E4D">
        <w:rPr>
          <w:rFonts w:ascii="Arial" w:hAnsi="Arial" w:cs="Arial"/>
        </w:rPr>
        <w:t xml:space="preserve"> </w:t>
      </w:r>
      <w:r w:rsidR="009C3FDA">
        <w:rPr>
          <w:rFonts w:ascii="Arial" w:hAnsi="Arial" w:cs="Arial"/>
        </w:rPr>
        <w:t>p</w:t>
      </w:r>
      <w:r w:rsidR="00283AC9" w:rsidRPr="00F57E4D">
        <w:rPr>
          <w:rFonts w:ascii="Arial" w:hAnsi="Arial" w:cs="Arial"/>
        </w:rPr>
        <w:t xml:space="preserve">lnění povahu bezdůvodného obohacení strany přijímající takové </w:t>
      </w:r>
      <w:r w:rsidR="009C3FDA">
        <w:rPr>
          <w:rFonts w:ascii="Arial" w:hAnsi="Arial" w:cs="Arial"/>
        </w:rPr>
        <w:t>p</w:t>
      </w:r>
      <w:r w:rsidR="00283AC9" w:rsidRPr="00F57E4D">
        <w:rPr>
          <w:rFonts w:ascii="Arial" w:hAnsi="Arial" w:cs="Arial"/>
        </w:rPr>
        <w:t xml:space="preserve">lnění, </w:t>
      </w:r>
      <w:r w:rsidRPr="00F57E4D">
        <w:rPr>
          <w:rFonts w:ascii="Arial" w:hAnsi="Arial" w:cs="Arial"/>
        </w:rPr>
        <w:t>neboť</w:t>
      </w:r>
      <w:r w:rsidR="00283AC9" w:rsidRPr="00F57E4D">
        <w:rPr>
          <w:rFonts w:ascii="Arial" w:hAnsi="Arial" w:cs="Arial"/>
        </w:rPr>
        <w:t xml:space="preserve"> </w:t>
      </w:r>
      <w:r w:rsidR="004F08FD" w:rsidRPr="00F57E4D">
        <w:rPr>
          <w:rFonts w:ascii="Arial" w:hAnsi="Arial" w:cs="Arial"/>
        </w:rPr>
        <w:t xml:space="preserve">bylo </w:t>
      </w:r>
      <w:r w:rsidR="00283AC9" w:rsidRPr="00F57E4D">
        <w:rPr>
          <w:rFonts w:ascii="Arial" w:hAnsi="Arial" w:cs="Arial"/>
        </w:rPr>
        <w:t>plněno bez právního důvodu</w:t>
      </w:r>
      <w:r w:rsidR="00394916" w:rsidRPr="00F57E4D">
        <w:rPr>
          <w:rFonts w:ascii="Arial" w:hAnsi="Arial" w:cs="Arial"/>
        </w:rPr>
        <w:t>.</w:t>
      </w:r>
      <w:r w:rsidR="009D2F64" w:rsidRPr="00F57E4D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3153726D" w:rsidR="00332803" w:rsidRDefault="0049507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C7CDDCF" w14:textId="77777777" w:rsidR="00F43916" w:rsidRDefault="009D2F64" w:rsidP="00C24368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</w:t>
      </w:r>
      <w:r w:rsidR="00C73EA0">
        <w:rPr>
          <w:rFonts w:ascii="Arial" w:hAnsi="Arial" w:cs="Arial"/>
        </w:rPr>
        <w:t xml:space="preserve"> </w:t>
      </w:r>
      <w:r w:rsidR="007B47A0" w:rsidRPr="00C73EA0">
        <w:rPr>
          <w:rFonts w:ascii="Arial" w:hAnsi="Arial" w:cs="Arial"/>
        </w:rPr>
        <w:t>konstatují, že</w:t>
      </w:r>
      <w:r w:rsidR="00F43916">
        <w:rPr>
          <w:rFonts w:ascii="Arial" w:hAnsi="Arial" w:cs="Arial"/>
        </w:rPr>
        <w:t>:</w:t>
      </w:r>
    </w:p>
    <w:p w14:paraId="5C0F1D58" w14:textId="37608E6B" w:rsidR="00C24368" w:rsidRDefault="00AA5C23" w:rsidP="00F439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F43916">
        <w:rPr>
          <w:rFonts w:ascii="Arial" w:hAnsi="Arial" w:cs="Arial"/>
        </w:rPr>
        <w:t>Dodavatel</w:t>
      </w:r>
      <w:r w:rsidR="00283AC9" w:rsidRPr="00F43916">
        <w:rPr>
          <w:rFonts w:ascii="Arial" w:hAnsi="Arial" w:cs="Arial"/>
        </w:rPr>
        <w:t xml:space="preserve"> p</w:t>
      </w:r>
      <w:r w:rsidR="00123306" w:rsidRPr="00F43916">
        <w:rPr>
          <w:rFonts w:ascii="Arial" w:hAnsi="Arial" w:cs="Arial"/>
        </w:rPr>
        <w:t>oskyt</w:t>
      </w:r>
      <w:r w:rsidR="00700D8D" w:rsidRPr="00F43916">
        <w:rPr>
          <w:rFonts w:ascii="Arial" w:hAnsi="Arial" w:cs="Arial"/>
        </w:rPr>
        <w:t>l</w:t>
      </w:r>
      <w:r w:rsidR="00283AC9" w:rsidRPr="00F43916">
        <w:rPr>
          <w:rFonts w:ascii="Arial" w:hAnsi="Arial" w:cs="Arial"/>
        </w:rPr>
        <w:t xml:space="preserve"> </w:t>
      </w:r>
      <w:r w:rsidR="00AB0E08">
        <w:rPr>
          <w:rFonts w:ascii="Arial" w:hAnsi="Arial" w:cs="Arial"/>
        </w:rPr>
        <w:t>Objedn</w:t>
      </w:r>
      <w:r w:rsidR="00807C5A">
        <w:rPr>
          <w:rFonts w:ascii="Arial" w:hAnsi="Arial" w:cs="Arial"/>
        </w:rPr>
        <w:t>a</w:t>
      </w:r>
      <w:r w:rsidR="00AB0E08">
        <w:rPr>
          <w:rFonts w:ascii="Arial" w:hAnsi="Arial" w:cs="Arial"/>
        </w:rPr>
        <w:t xml:space="preserve">teli </w:t>
      </w:r>
      <w:r w:rsidR="00D07CED">
        <w:rPr>
          <w:rFonts w:ascii="Arial" w:hAnsi="Arial" w:cs="Arial"/>
        </w:rPr>
        <w:t>Předmět p</w:t>
      </w:r>
      <w:r w:rsidR="00283AC9" w:rsidRPr="00F43916">
        <w:rPr>
          <w:rFonts w:ascii="Arial" w:hAnsi="Arial" w:cs="Arial"/>
        </w:rPr>
        <w:t>lnění</w:t>
      </w:r>
      <w:r w:rsidR="00BC7D03">
        <w:rPr>
          <w:rFonts w:ascii="Arial" w:hAnsi="Arial" w:cs="Arial"/>
        </w:rPr>
        <w:t xml:space="preserve"> specifikovaný v Objednávce</w:t>
      </w:r>
      <w:r w:rsidR="007B47A0" w:rsidRPr="00F43916">
        <w:rPr>
          <w:rFonts w:ascii="Arial" w:hAnsi="Arial" w:cs="Arial"/>
        </w:rPr>
        <w:t>;</w:t>
      </w:r>
    </w:p>
    <w:p w14:paraId="7E5D38C8" w14:textId="0A954D9B" w:rsidR="002C5ED2" w:rsidRDefault="00807C5A" w:rsidP="00F439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00386D">
        <w:rPr>
          <w:rFonts w:ascii="Arial" w:hAnsi="Arial" w:cs="Arial"/>
        </w:rPr>
        <w:t xml:space="preserve">provedl </w:t>
      </w:r>
      <w:r w:rsidR="00CD491D">
        <w:rPr>
          <w:rFonts w:ascii="Arial" w:hAnsi="Arial" w:cs="Arial"/>
        </w:rPr>
        <w:t xml:space="preserve">v souladu s Objednávkou </w:t>
      </w:r>
      <w:r w:rsidR="0000386D">
        <w:rPr>
          <w:rFonts w:ascii="Arial" w:hAnsi="Arial" w:cs="Arial"/>
        </w:rPr>
        <w:t>p</w:t>
      </w:r>
      <w:r w:rsidR="00DD2570">
        <w:rPr>
          <w:rFonts w:ascii="Arial" w:hAnsi="Arial" w:cs="Arial"/>
        </w:rPr>
        <w:t>lnění</w:t>
      </w:r>
      <w:r w:rsidR="0000386D">
        <w:rPr>
          <w:rFonts w:ascii="Arial" w:hAnsi="Arial" w:cs="Arial"/>
        </w:rPr>
        <w:t xml:space="preserve"> spočívající v úhradě </w:t>
      </w:r>
      <w:r w:rsidR="00E011E2">
        <w:rPr>
          <w:rFonts w:ascii="Arial" w:hAnsi="Arial" w:cs="Arial"/>
        </w:rPr>
        <w:t>ceny za P</w:t>
      </w:r>
      <w:r w:rsidR="00D07CED">
        <w:rPr>
          <w:rFonts w:ascii="Arial" w:hAnsi="Arial" w:cs="Arial"/>
        </w:rPr>
        <w:t>ředmět p</w:t>
      </w:r>
      <w:r w:rsidR="00E011E2">
        <w:rPr>
          <w:rFonts w:ascii="Arial" w:hAnsi="Arial" w:cs="Arial"/>
        </w:rPr>
        <w:t>lnění</w:t>
      </w:r>
      <w:r w:rsidR="00836218">
        <w:rPr>
          <w:rFonts w:ascii="Arial" w:hAnsi="Arial" w:cs="Arial"/>
        </w:rPr>
        <w:t xml:space="preserve">, tj. ceny ve výši </w:t>
      </w:r>
      <w:r w:rsidR="000C704A">
        <w:rPr>
          <w:rFonts w:ascii="Arial" w:hAnsi="Arial" w:cs="Arial"/>
        </w:rPr>
        <w:t>165 351,94,- Kč bez DPH.</w:t>
      </w:r>
    </w:p>
    <w:p w14:paraId="16A1C941" w14:textId="77777777" w:rsidR="00BC259C" w:rsidRDefault="00BC259C" w:rsidP="00BC259C">
      <w:pPr>
        <w:pStyle w:val="Odstavecseseznamem"/>
        <w:spacing w:after="0"/>
        <w:jc w:val="both"/>
        <w:rPr>
          <w:rFonts w:ascii="Arial" w:hAnsi="Arial" w:cs="Arial"/>
        </w:rPr>
      </w:pPr>
    </w:p>
    <w:p w14:paraId="19D03626" w14:textId="70203A98" w:rsidR="00BC607A" w:rsidRDefault="009D2F64" w:rsidP="00BC607A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C607A">
        <w:rPr>
          <w:rFonts w:ascii="Arial" w:hAnsi="Arial" w:cs="Arial"/>
        </w:rPr>
        <w:t xml:space="preserve">Smluvní strany </w:t>
      </w:r>
      <w:r w:rsidR="00AA599C" w:rsidRPr="00BC607A">
        <w:rPr>
          <w:rFonts w:ascii="Arial" w:hAnsi="Arial" w:cs="Arial"/>
        </w:rPr>
        <w:t xml:space="preserve">přijatá </w:t>
      </w:r>
      <w:r w:rsidRPr="00BC607A">
        <w:rPr>
          <w:rFonts w:ascii="Arial" w:hAnsi="Arial" w:cs="Arial"/>
        </w:rPr>
        <w:t xml:space="preserve">plnění </w:t>
      </w:r>
      <w:r w:rsidR="00495074" w:rsidRPr="00BC607A">
        <w:rPr>
          <w:rFonts w:ascii="Arial" w:hAnsi="Arial" w:cs="Arial"/>
        </w:rPr>
        <w:t>uveden</w:t>
      </w:r>
      <w:r w:rsidR="00AA599C" w:rsidRPr="00BC607A">
        <w:rPr>
          <w:rFonts w:ascii="Arial" w:hAnsi="Arial" w:cs="Arial"/>
        </w:rPr>
        <w:t>á</w:t>
      </w:r>
      <w:r w:rsidR="00495074" w:rsidRPr="00BC607A">
        <w:rPr>
          <w:rFonts w:ascii="Arial" w:hAnsi="Arial" w:cs="Arial"/>
        </w:rPr>
        <w:t xml:space="preserve"> v </w:t>
      </w:r>
      <w:r w:rsidR="00854532" w:rsidRPr="00BC607A">
        <w:rPr>
          <w:rFonts w:ascii="Arial" w:hAnsi="Arial" w:cs="Arial"/>
        </w:rPr>
        <w:t>odst</w:t>
      </w:r>
      <w:r w:rsidR="00276840" w:rsidRPr="00BC607A">
        <w:rPr>
          <w:rFonts w:ascii="Arial" w:hAnsi="Arial" w:cs="Arial"/>
        </w:rPr>
        <w:t xml:space="preserve">. </w:t>
      </w:r>
      <w:r w:rsidR="00854532" w:rsidRPr="00BC607A">
        <w:rPr>
          <w:rFonts w:ascii="Arial" w:hAnsi="Arial" w:cs="Arial"/>
        </w:rPr>
        <w:t>1</w:t>
      </w:r>
      <w:r w:rsidRPr="00BC607A">
        <w:rPr>
          <w:rFonts w:ascii="Arial" w:hAnsi="Arial" w:cs="Arial"/>
        </w:rPr>
        <w:t xml:space="preserve"> </w:t>
      </w:r>
      <w:r w:rsidR="00495074" w:rsidRPr="00BC607A">
        <w:rPr>
          <w:rFonts w:ascii="Arial" w:hAnsi="Arial" w:cs="Arial"/>
        </w:rPr>
        <w:t xml:space="preserve">tohoto článku </w:t>
      </w:r>
      <w:r w:rsidRPr="00BC607A">
        <w:rPr>
          <w:rFonts w:ascii="Arial" w:hAnsi="Arial" w:cs="Arial"/>
        </w:rPr>
        <w:t xml:space="preserve">považují za </w:t>
      </w:r>
      <w:r w:rsidR="00570046" w:rsidRPr="00BC607A">
        <w:rPr>
          <w:rFonts w:ascii="Arial" w:hAnsi="Arial" w:cs="Arial"/>
        </w:rPr>
        <w:t>nesporn</w:t>
      </w:r>
      <w:r w:rsidR="00AA599C" w:rsidRPr="00BC607A">
        <w:rPr>
          <w:rFonts w:ascii="Arial" w:hAnsi="Arial" w:cs="Arial"/>
        </w:rPr>
        <w:t>á</w:t>
      </w:r>
      <w:r w:rsidR="00BC6E39" w:rsidRPr="00BC607A">
        <w:rPr>
          <w:rFonts w:ascii="Arial" w:hAnsi="Arial" w:cs="Arial"/>
        </w:rPr>
        <w:t xml:space="preserve"> a </w:t>
      </w:r>
      <w:r w:rsidRPr="00BC607A">
        <w:rPr>
          <w:rFonts w:ascii="Arial" w:hAnsi="Arial" w:cs="Arial"/>
        </w:rPr>
        <w:t xml:space="preserve">prohlašují, že </w:t>
      </w:r>
      <w:r w:rsidR="00854532" w:rsidRPr="00BC607A">
        <w:rPr>
          <w:rFonts w:ascii="Arial" w:hAnsi="Arial" w:cs="Arial"/>
        </w:rPr>
        <w:t xml:space="preserve">vzájemně poskytnutá </w:t>
      </w:r>
      <w:r w:rsidRPr="00BC607A">
        <w:rPr>
          <w:rFonts w:ascii="Arial" w:hAnsi="Arial" w:cs="Arial"/>
        </w:rPr>
        <w:t xml:space="preserve">plnění přijímají do svého vlastnictví. </w:t>
      </w:r>
    </w:p>
    <w:p w14:paraId="7458B917" w14:textId="77777777" w:rsidR="00BC607A" w:rsidRDefault="00BC607A" w:rsidP="00BC607A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539D6813" w14:textId="0AC198A7" w:rsidR="00AD41C6" w:rsidRPr="00BC607A" w:rsidRDefault="001D4ABD" w:rsidP="00BC607A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C607A">
        <w:rPr>
          <w:rFonts w:ascii="Arial" w:hAnsi="Arial" w:cs="Arial"/>
        </w:rPr>
        <w:t xml:space="preserve">Obě </w:t>
      </w:r>
      <w:r w:rsidR="009D2F64" w:rsidRPr="00BC607A">
        <w:rPr>
          <w:rFonts w:ascii="Arial" w:hAnsi="Arial" w:cs="Arial"/>
        </w:rPr>
        <w:t>smluvní stran</w:t>
      </w:r>
      <w:r w:rsidRPr="00BC607A">
        <w:rPr>
          <w:rFonts w:ascii="Arial" w:hAnsi="Arial" w:cs="Arial"/>
        </w:rPr>
        <w:t>y</w:t>
      </w:r>
      <w:r w:rsidR="009D2F64" w:rsidRPr="00BC607A">
        <w:rPr>
          <w:rFonts w:ascii="Arial" w:hAnsi="Arial" w:cs="Arial"/>
        </w:rPr>
        <w:t xml:space="preserve"> prohlašuj</w:t>
      </w:r>
      <w:r w:rsidRPr="00BC607A">
        <w:rPr>
          <w:rFonts w:ascii="Arial" w:hAnsi="Arial" w:cs="Arial"/>
        </w:rPr>
        <w:t>í</w:t>
      </w:r>
      <w:r w:rsidR="009D2F64" w:rsidRPr="00BC607A">
        <w:rPr>
          <w:rFonts w:ascii="Arial" w:hAnsi="Arial" w:cs="Arial"/>
        </w:rPr>
        <w:t>, že se</w:t>
      </w:r>
      <w:r w:rsidRPr="00BC607A">
        <w:rPr>
          <w:rFonts w:ascii="Arial" w:hAnsi="Arial" w:cs="Arial"/>
        </w:rPr>
        <w:t xml:space="preserve"> bezdůvodně</w:t>
      </w:r>
      <w:r w:rsidR="009D2F64" w:rsidRPr="00BC607A">
        <w:rPr>
          <w:rFonts w:ascii="Arial" w:hAnsi="Arial" w:cs="Arial"/>
        </w:rPr>
        <w:t xml:space="preserve"> neobohatil</w:t>
      </w:r>
      <w:r w:rsidRPr="00BC607A">
        <w:rPr>
          <w:rFonts w:ascii="Arial" w:hAnsi="Arial" w:cs="Arial"/>
        </w:rPr>
        <w:t>y</w:t>
      </w:r>
      <w:r w:rsidR="009D2F64" w:rsidRPr="00BC607A">
        <w:rPr>
          <w:rFonts w:ascii="Arial" w:hAnsi="Arial" w:cs="Arial"/>
        </w:rPr>
        <w:t xml:space="preserve"> na úkor druhé smluvní strany a</w:t>
      </w:r>
      <w:r w:rsidR="00394916" w:rsidRPr="00BC607A">
        <w:rPr>
          <w:rFonts w:ascii="Arial" w:hAnsi="Arial" w:cs="Arial"/>
        </w:rPr>
        <w:t> </w:t>
      </w:r>
      <w:r w:rsidR="004028E8" w:rsidRPr="00BC607A">
        <w:rPr>
          <w:rFonts w:ascii="Arial" w:hAnsi="Arial" w:cs="Arial"/>
        </w:rPr>
        <w:t xml:space="preserve">že </w:t>
      </w:r>
      <w:r w:rsidR="009D2F64" w:rsidRPr="00BC607A">
        <w:rPr>
          <w:rFonts w:ascii="Arial" w:hAnsi="Arial" w:cs="Arial"/>
        </w:rPr>
        <w:t>jednal</w:t>
      </w:r>
      <w:r w:rsidRPr="00BC607A">
        <w:rPr>
          <w:rFonts w:ascii="Arial" w:hAnsi="Arial" w:cs="Arial"/>
        </w:rPr>
        <w:t>y</w:t>
      </w:r>
      <w:r w:rsidR="009D2F64" w:rsidRPr="00BC607A">
        <w:rPr>
          <w:rFonts w:ascii="Arial" w:hAnsi="Arial" w:cs="Arial"/>
        </w:rPr>
        <w:t xml:space="preserve"> v dobré víře. </w:t>
      </w:r>
    </w:p>
    <w:p w14:paraId="12AD8779" w14:textId="77777777" w:rsidR="00AD41C6" w:rsidRDefault="00AD41C6" w:rsidP="00AD41C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1CBBC71" w14:textId="74F10797" w:rsidR="00854532" w:rsidRDefault="00854532" w:rsidP="00854532">
      <w:pPr>
        <w:spacing w:after="0"/>
        <w:jc w:val="both"/>
        <w:rPr>
          <w:rFonts w:ascii="Arial" w:hAnsi="Arial" w:cs="Arial"/>
        </w:rPr>
      </w:pPr>
    </w:p>
    <w:p w14:paraId="5DBD2CCE" w14:textId="512A2348" w:rsidR="00854532" w:rsidRDefault="00495074" w:rsidP="0085453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="00854532">
        <w:rPr>
          <w:rFonts w:ascii="Arial" w:hAnsi="Arial" w:cs="Arial"/>
          <w:b/>
          <w:bCs/>
        </w:rPr>
        <w:t>III.</w:t>
      </w:r>
    </w:p>
    <w:p w14:paraId="6F972FE5" w14:textId="77777777" w:rsidR="000F6A67" w:rsidRDefault="000F6A67" w:rsidP="000F6A67">
      <w:pPr>
        <w:keepNext/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Souhrnná</w:t>
      </w:r>
      <w:r w:rsidRPr="003711EC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smluvní </w:t>
      </w:r>
      <w:r w:rsidRPr="003711EC">
        <w:rPr>
          <w:rFonts w:ascii="Arial" w:eastAsia="Times New Roman" w:hAnsi="Arial" w:cs="Arial"/>
          <w:b/>
          <w:lang w:eastAsia="cs-CZ"/>
        </w:rPr>
        <w:t xml:space="preserve">doložka </w:t>
      </w:r>
      <w:r>
        <w:rPr>
          <w:rFonts w:ascii="Arial" w:eastAsia="Times New Roman" w:hAnsi="Arial" w:cs="Arial"/>
          <w:b/>
          <w:lang w:eastAsia="cs-CZ"/>
        </w:rPr>
        <w:t>uzavřená na základě </w:t>
      </w:r>
      <w:proofErr w:type="spellStart"/>
      <w:r>
        <w:rPr>
          <w:rFonts w:ascii="Arial" w:eastAsia="Times New Roman" w:hAnsi="Arial" w:cs="Arial"/>
          <w:b/>
          <w:lang w:eastAsia="cs-CZ"/>
        </w:rPr>
        <w:t>Compliance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programu TSK</w:t>
      </w:r>
    </w:p>
    <w:p w14:paraId="0E03330C" w14:textId="2E1F0D6D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D782F4" w14:textId="05BFD030" w:rsidR="00854532" w:rsidRPr="003711EC" w:rsidRDefault="00E330B5" w:rsidP="00854532">
      <w:pPr>
        <w:numPr>
          <w:ilvl w:val="0"/>
          <w:numId w:val="9"/>
        </w:numPr>
        <w:spacing w:after="120"/>
        <w:ind w:left="567" w:hanging="567"/>
        <w:jc w:val="both"/>
        <w:rPr>
          <w:snapToGrid w:val="0"/>
        </w:rPr>
      </w:pPr>
      <w:r>
        <w:rPr>
          <w:rFonts w:ascii="Arial" w:hAnsi="Arial" w:cs="Arial"/>
          <w:snapToGrid w:val="0"/>
        </w:rPr>
        <w:t>Dodavatel</w:t>
      </w:r>
      <w:r w:rsidR="00854532" w:rsidRPr="003711EC">
        <w:rPr>
          <w:rFonts w:ascii="Arial" w:hAnsi="Arial" w:cs="Arial"/>
          <w:snapToGrid w:val="0"/>
        </w:rPr>
        <w:t xml:space="preserve"> bere výslovně na vědomí Etický kodex pro dodavatele</w:t>
      </w:r>
      <w:r w:rsidR="00854532">
        <w:rPr>
          <w:rFonts w:ascii="Arial" w:hAnsi="Arial" w:cs="Arial"/>
          <w:snapToGrid w:val="0"/>
        </w:rPr>
        <w:t>/obchodní partnery</w:t>
      </w:r>
      <w:r w:rsidR="00854532" w:rsidRPr="003711EC">
        <w:rPr>
          <w:rFonts w:ascii="Arial" w:hAnsi="Arial" w:cs="Arial"/>
          <w:snapToGrid w:val="0"/>
        </w:rPr>
        <w:t xml:space="preserve"> </w:t>
      </w:r>
      <w:r w:rsidR="00854532">
        <w:rPr>
          <w:rFonts w:ascii="Arial" w:hAnsi="Arial" w:cs="Arial"/>
          <w:snapToGrid w:val="0"/>
        </w:rPr>
        <w:t>TSK</w:t>
      </w:r>
      <w:r w:rsidR="00854532" w:rsidRPr="003711EC">
        <w:rPr>
          <w:rFonts w:ascii="Arial" w:hAnsi="Arial" w:cs="Arial"/>
          <w:snapToGrid w:val="0"/>
        </w:rPr>
        <w:t xml:space="preserve">, a zavazuje se jej při plnění této </w:t>
      </w:r>
      <w:r>
        <w:rPr>
          <w:rFonts w:ascii="Arial" w:hAnsi="Arial" w:cs="Arial"/>
          <w:snapToGrid w:val="0"/>
        </w:rPr>
        <w:t>Dohody</w:t>
      </w:r>
      <w:r w:rsidR="00854532" w:rsidRPr="003711EC">
        <w:rPr>
          <w:rFonts w:ascii="Arial" w:hAnsi="Arial" w:cs="Arial"/>
          <w:snapToGrid w:val="0"/>
        </w:rPr>
        <w:t xml:space="preserve"> dodržovat, nebo zajistit dodržování odpovídajících povinností ve stejném rozsahu na základě vlastního (jiného) etického kodexu. To se týká jak oblasti obecných </w:t>
      </w:r>
      <w:proofErr w:type="spellStart"/>
      <w:r w:rsidR="00854532" w:rsidRPr="003711EC">
        <w:rPr>
          <w:rFonts w:ascii="Arial" w:hAnsi="Arial" w:cs="Arial"/>
          <w:snapToGrid w:val="0"/>
        </w:rPr>
        <w:t>Compliance</w:t>
      </w:r>
      <w:proofErr w:type="spellEnd"/>
      <w:r w:rsidR="00854532" w:rsidRPr="003711EC">
        <w:rPr>
          <w:rFonts w:ascii="Arial" w:hAnsi="Arial" w:cs="Arial"/>
          <w:snapToGrid w:val="0"/>
        </w:rPr>
        <w:t xml:space="preserve"> zásad, tak i specifických požadavků vztahujících se k nulové toleranci korupčního jednání a celkovému dodržování zásad slušnosti, poctivosti a dobrých mravů.</w:t>
      </w:r>
    </w:p>
    <w:p w14:paraId="12C78084" w14:textId="61C46213" w:rsidR="00854532" w:rsidRPr="008D2D4B" w:rsidRDefault="00E840BB" w:rsidP="00854532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Dodavatel</w:t>
      </w:r>
      <w:r w:rsidR="00854532" w:rsidRPr="008D2D4B">
        <w:rPr>
          <w:rFonts w:ascii="Arial" w:hAnsi="Arial" w:cs="Arial"/>
          <w:snapToGrid w:val="0"/>
        </w:rPr>
        <w:t xml:space="preserve"> bere dále výslovně na vědomí, že </w:t>
      </w:r>
      <w:r w:rsidR="00854532">
        <w:rPr>
          <w:rFonts w:ascii="Arial" w:hAnsi="Arial" w:cs="Arial"/>
          <w:snapToGrid w:val="0"/>
        </w:rPr>
        <w:t>S</w:t>
      </w:r>
      <w:r w:rsidR="00854532" w:rsidRPr="008D2D4B">
        <w:rPr>
          <w:rFonts w:ascii="Arial" w:hAnsi="Arial" w:cs="Arial"/>
          <w:snapToGrid w:val="0"/>
        </w:rPr>
        <w:t>ouhrnná smluvní doložka obsahuje i jiné povinnosti nad rámec odst. 1 výše, a to zejména z oblasti absence mezinárodních a</w:t>
      </w:r>
      <w:r w:rsidR="00854532">
        <w:rPr>
          <w:rFonts w:ascii="Arial" w:hAnsi="Arial" w:cs="Arial"/>
          <w:snapToGrid w:val="0"/>
        </w:rPr>
        <w:t> </w:t>
      </w:r>
      <w:r w:rsidR="00854532" w:rsidRPr="008D2D4B">
        <w:rPr>
          <w:rFonts w:ascii="Arial" w:hAnsi="Arial" w:cs="Arial"/>
          <w:snapToGrid w:val="0"/>
        </w:rPr>
        <w:t>národních sankcí</w:t>
      </w:r>
      <w:r w:rsidR="00854532">
        <w:rPr>
          <w:rFonts w:ascii="Arial" w:hAnsi="Arial" w:cs="Arial"/>
          <w:snapToGrid w:val="0"/>
        </w:rPr>
        <w:t xml:space="preserve">, nebo </w:t>
      </w:r>
      <w:r w:rsidR="00854532" w:rsidRPr="008D2D4B">
        <w:rPr>
          <w:rFonts w:ascii="Arial" w:hAnsi="Arial" w:cs="Arial"/>
          <w:snapToGrid w:val="0"/>
        </w:rPr>
        <w:t>zamezování střetu zájmů ve smyslu zákona č. 159/2006 Sb. Dodavatel se zavazuje tyto povinnosti dodržovat</w:t>
      </w:r>
      <w:r w:rsidR="00854532">
        <w:rPr>
          <w:rFonts w:ascii="Arial" w:hAnsi="Arial" w:cs="Arial"/>
          <w:snapToGrid w:val="0"/>
        </w:rPr>
        <w:t>.</w:t>
      </w:r>
      <w:r w:rsidR="00854532" w:rsidRPr="008D2D4B">
        <w:rPr>
          <w:rFonts w:ascii="Arial" w:hAnsi="Arial" w:cs="Arial"/>
          <w:snapToGrid w:val="0"/>
        </w:rPr>
        <w:t xml:space="preserve">  </w:t>
      </w:r>
    </w:p>
    <w:p w14:paraId="0A9A126F" w14:textId="22BF9C18" w:rsidR="00854532" w:rsidRPr="003711EC" w:rsidRDefault="00E840BB" w:rsidP="00854532">
      <w:pPr>
        <w:numPr>
          <w:ilvl w:val="0"/>
          <w:numId w:val="9"/>
        </w:numPr>
        <w:spacing w:after="120"/>
        <w:ind w:left="567" w:hanging="567"/>
        <w:jc w:val="both"/>
        <w:rPr>
          <w:snapToGrid w:val="0"/>
        </w:rPr>
      </w:pPr>
      <w:r>
        <w:rPr>
          <w:rFonts w:ascii="Arial" w:hAnsi="Arial" w:cs="Arial"/>
          <w:snapToGrid w:val="0"/>
        </w:rPr>
        <w:t>Dodavatel</w:t>
      </w:r>
      <w:r w:rsidR="00854532" w:rsidRPr="003711EC">
        <w:rPr>
          <w:rFonts w:ascii="Arial" w:hAnsi="Arial" w:cs="Arial"/>
          <w:snapToGrid w:val="0"/>
        </w:rPr>
        <w:t xml:space="preserve"> výslovně prohlašuje, že si je vědom kontrolních i sankčních oprávnění </w:t>
      </w:r>
      <w:r w:rsidR="00854532">
        <w:rPr>
          <w:rFonts w:ascii="Arial" w:hAnsi="Arial" w:cs="Arial"/>
          <w:snapToGrid w:val="0"/>
        </w:rPr>
        <w:t>TSK</w:t>
      </w:r>
      <w:r w:rsidR="00854532" w:rsidRPr="003711EC">
        <w:rPr>
          <w:rFonts w:ascii="Arial" w:hAnsi="Arial" w:cs="Arial"/>
          <w:snapToGrid w:val="0"/>
        </w:rPr>
        <w:t xml:space="preserve"> vyplývajících z</w:t>
      </w:r>
      <w:r w:rsidR="00854532">
        <w:rPr>
          <w:rFonts w:ascii="Arial" w:hAnsi="Arial" w:cs="Arial"/>
          <w:snapToGrid w:val="0"/>
        </w:rPr>
        <w:t>e všech částí Souhrnné</w:t>
      </w:r>
      <w:r w:rsidR="00854532" w:rsidRPr="003711EC">
        <w:rPr>
          <w:rFonts w:ascii="Arial" w:hAnsi="Arial" w:cs="Arial"/>
          <w:snapToGrid w:val="0"/>
        </w:rPr>
        <w:t xml:space="preserve"> </w:t>
      </w:r>
      <w:r w:rsidR="00854532">
        <w:rPr>
          <w:rFonts w:ascii="Arial" w:hAnsi="Arial" w:cs="Arial"/>
          <w:snapToGrid w:val="0"/>
        </w:rPr>
        <w:t xml:space="preserve">smluvní </w:t>
      </w:r>
      <w:r w:rsidR="00854532" w:rsidRPr="003711EC">
        <w:rPr>
          <w:rFonts w:ascii="Arial" w:hAnsi="Arial" w:cs="Arial"/>
          <w:snapToGrid w:val="0"/>
        </w:rPr>
        <w:t>doložky, a že s nimi souhlasí</w:t>
      </w:r>
      <w:r w:rsidR="00854532">
        <w:rPr>
          <w:rFonts w:ascii="Arial" w:hAnsi="Arial" w:cs="Arial"/>
          <w:snapToGrid w:val="0"/>
        </w:rPr>
        <w:t>; a v případě, že proti němu budu uplatněny, se zavazuje je akceptovat</w:t>
      </w:r>
      <w:r w:rsidR="00854532" w:rsidRPr="003711EC">
        <w:rPr>
          <w:rFonts w:ascii="Arial" w:hAnsi="Arial" w:cs="Arial"/>
          <w:snapToGrid w:val="0"/>
        </w:rPr>
        <w:t xml:space="preserve">. </w:t>
      </w:r>
    </w:p>
    <w:p w14:paraId="352BADC6" w14:textId="1C54B5C8" w:rsidR="00D368F9" w:rsidRDefault="00854532" w:rsidP="001A27CB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napToGrid w:val="0"/>
        </w:rPr>
      </w:pPr>
      <w:r w:rsidRPr="003711EC">
        <w:rPr>
          <w:rFonts w:ascii="Arial" w:hAnsi="Arial" w:cs="Arial"/>
          <w:snapToGrid w:val="0"/>
        </w:rPr>
        <w:lastRenderedPageBreak/>
        <w:t xml:space="preserve">Podrobně jsou práva a povinnosti </w:t>
      </w:r>
      <w:r w:rsidR="00E840BB">
        <w:rPr>
          <w:rFonts w:ascii="Arial" w:hAnsi="Arial" w:cs="Arial"/>
          <w:snapToGrid w:val="0"/>
        </w:rPr>
        <w:t>s</w:t>
      </w:r>
      <w:r w:rsidRPr="003711EC">
        <w:rPr>
          <w:rFonts w:ascii="Arial" w:hAnsi="Arial" w:cs="Arial"/>
          <w:snapToGrid w:val="0"/>
        </w:rPr>
        <w:t xml:space="preserve">mluvních stran rozvedeny v příloze č. </w:t>
      </w:r>
      <w:r w:rsidR="00E840BB">
        <w:rPr>
          <w:rFonts w:ascii="Arial" w:hAnsi="Arial" w:cs="Arial"/>
          <w:snapToGrid w:val="0"/>
        </w:rPr>
        <w:t>2</w:t>
      </w:r>
      <w:r w:rsidR="000F6A6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Souhrnná</w:t>
      </w:r>
      <w:r w:rsidRPr="003711E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smluvní </w:t>
      </w:r>
      <w:r w:rsidRPr="003711EC">
        <w:rPr>
          <w:rFonts w:ascii="Arial" w:hAnsi="Arial" w:cs="Arial"/>
          <w:snapToGrid w:val="0"/>
        </w:rPr>
        <w:t>doložka</w:t>
      </w:r>
      <w:r>
        <w:rPr>
          <w:rFonts w:ascii="Arial" w:hAnsi="Arial" w:cs="Arial"/>
          <w:snapToGrid w:val="0"/>
        </w:rPr>
        <w:t xml:space="preserve">, která </w:t>
      </w:r>
      <w:proofErr w:type="gramStart"/>
      <w:r w:rsidRPr="003711EC">
        <w:rPr>
          <w:rFonts w:ascii="Arial" w:hAnsi="Arial" w:cs="Arial"/>
          <w:snapToGrid w:val="0"/>
        </w:rPr>
        <w:t>tvoří</w:t>
      </w:r>
      <w:proofErr w:type="gramEnd"/>
      <w:r w:rsidRPr="003711EC">
        <w:rPr>
          <w:rFonts w:ascii="Arial" w:hAnsi="Arial" w:cs="Arial"/>
          <w:snapToGrid w:val="0"/>
        </w:rPr>
        <w:t xml:space="preserve"> nedílnou součást </w:t>
      </w:r>
      <w:r w:rsidR="00FD5527">
        <w:rPr>
          <w:rFonts w:ascii="Arial" w:hAnsi="Arial" w:cs="Arial"/>
          <w:snapToGrid w:val="0"/>
        </w:rPr>
        <w:t>Dohody</w:t>
      </w:r>
      <w:r w:rsidRPr="003711EC">
        <w:rPr>
          <w:rFonts w:ascii="Arial" w:hAnsi="Arial" w:cs="Arial"/>
          <w:snapToGrid w:val="0"/>
        </w:rPr>
        <w:t>.</w:t>
      </w:r>
    </w:p>
    <w:p w14:paraId="3181BD31" w14:textId="77777777" w:rsidR="00F43DCC" w:rsidRPr="001A27CB" w:rsidRDefault="00F43DCC" w:rsidP="00F43DCC">
      <w:pPr>
        <w:spacing w:after="120"/>
        <w:ind w:left="567"/>
        <w:jc w:val="both"/>
        <w:rPr>
          <w:rFonts w:ascii="Arial" w:hAnsi="Arial" w:cs="Arial"/>
          <w:snapToGrid w:val="0"/>
        </w:rPr>
      </w:pPr>
    </w:p>
    <w:p w14:paraId="7F34EF51" w14:textId="745A9CC6" w:rsidR="009D2F64" w:rsidRPr="00D368F9" w:rsidRDefault="0049507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76840" w:rsidRPr="00D368F9">
        <w:rPr>
          <w:rFonts w:ascii="Arial" w:hAnsi="Arial" w:cs="Arial"/>
          <w:b/>
          <w:bCs/>
          <w:sz w:val="22"/>
          <w:szCs w:val="22"/>
        </w:rPr>
        <w:t>I</w:t>
      </w:r>
      <w:r w:rsidR="000F6A67">
        <w:rPr>
          <w:rFonts w:ascii="Arial" w:hAnsi="Arial" w:cs="Arial"/>
          <w:b/>
          <w:bCs/>
          <w:sz w:val="22"/>
          <w:szCs w:val="22"/>
        </w:rPr>
        <w:t>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A91495D" w14:textId="2B9C0AB3" w:rsidR="00854532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 xml:space="preserve">Dohoda je vyhotovena ve třech stejnopisech, z toho </w:t>
      </w:r>
      <w:r w:rsidR="00FD5527">
        <w:rPr>
          <w:rFonts w:ascii="Arial" w:hAnsi="Arial" w:cs="Arial"/>
        </w:rPr>
        <w:t xml:space="preserve">Objednatel </w:t>
      </w:r>
      <w:proofErr w:type="gramStart"/>
      <w:r w:rsidRPr="00854532">
        <w:rPr>
          <w:rFonts w:ascii="Arial" w:hAnsi="Arial" w:cs="Arial"/>
        </w:rPr>
        <w:t>obdrží</w:t>
      </w:r>
      <w:proofErr w:type="gramEnd"/>
      <w:r w:rsidRPr="00854532">
        <w:rPr>
          <w:rFonts w:ascii="Arial" w:hAnsi="Arial" w:cs="Arial"/>
        </w:rPr>
        <w:t xml:space="preserve"> dva stejnopisy a </w:t>
      </w:r>
      <w:r w:rsidR="00FD5527">
        <w:rPr>
          <w:rFonts w:ascii="Arial" w:hAnsi="Arial" w:cs="Arial"/>
          <w:snapToGrid w:val="0"/>
        </w:rPr>
        <w:t>Dodavatel</w:t>
      </w:r>
      <w:r w:rsidRPr="00854532">
        <w:rPr>
          <w:rFonts w:ascii="Arial" w:hAnsi="Arial" w:cs="Arial"/>
        </w:rPr>
        <w:t xml:space="preserve"> jeden stejnopis. V případě, že je Dohoda uzavírána elektronicky za využití uznávaných elektronických podpisů, </w:t>
      </w:r>
      <w:proofErr w:type="gramStart"/>
      <w:r w:rsidRPr="00854532">
        <w:rPr>
          <w:rFonts w:ascii="Arial" w:hAnsi="Arial" w:cs="Arial"/>
        </w:rPr>
        <w:t>postačí</w:t>
      </w:r>
      <w:proofErr w:type="gramEnd"/>
      <w:r w:rsidRPr="00854532">
        <w:rPr>
          <w:rFonts w:ascii="Arial" w:hAnsi="Arial" w:cs="Arial"/>
        </w:rPr>
        <w:t xml:space="preserve"> jedno vyhotovení Dohody, na kterém jsou zaznamenány uznávané elektronické podpisy zástupců smluvních stran dle zákona č. 297/2016 Sb., o službách vytvářejících důvěru v elektronické transakce, ve znění pozdějších předpisů.</w:t>
      </w:r>
    </w:p>
    <w:p w14:paraId="259EBC19" w14:textId="77777777" w:rsidR="001A27CB" w:rsidRPr="00854532" w:rsidRDefault="001A27CB" w:rsidP="001A27CB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349D0A02" w14:textId="77777777" w:rsidR="00854532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854532">
        <w:rPr>
          <w:rFonts w:ascii="Arial" w:hAnsi="Arial" w:cs="Arial"/>
        </w:rPr>
        <w:t xml:space="preserve"> se zavazují, že se budou bez zbytečného odkladu vzájemně informovat o skutečnostech rozhodných pro plnění dle Dohody.</w:t>
      </w:r>
    </w:p>
    <w:p w14:paraId="633B1A2A" w14:textId="77777777" w:rsidR="001A27CB" w:rsidRPr="001A27CB" w:rsidRDefault="001A27CB" w:rsidP="001A27CB">
      <w:pPr>
        <w:spacing w:after="0"/>
        <w:jc w:val="both"/>
        <w:rPr>
          <w:rFonts w:ascii="Arial" w:hAnsi="Arial" w:cs="Arial"/>
        </w:rPr>
      </w:pPr>
    </w:p>
    <w:p w14:paraId="4D7D4D70" w14:textId="09B3D72A" w:rsidR="00854532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>Dohoda nabývá platnosti dnem jejího podpisu oprávněnými zástupci smluvních stran a účinnosti dnem uveřejnění v registru smluv. Jakákoliv jednání směřující ke změně nebo ukončení této Dohody musí být učiněn</w:t>
      </w:r>
      <w:r w:rsidR="00602E27">
        <w:rPr>
          <w:rFonts w:ascii="Arial" w:hAnsi="Arial" w:cs="Arial"/>
        </w:rPr>
        <w:t>a</w:t>
      </w:r>
      <w:r w:rsidRPr="00854532">
        <w:rPr>
          <w:rFonts w:ascii="Arial" w:hAnsi="Arial" w:cs="Arial"/>
        </w:rPr>
        <w:t xml:space="preserve"> v písemné formě.</w:t>
      </w:r>
    </w:p>
    <w:p w14:paraId="673B1723" w14:textId="77777777" w:rsidR="001A27CB" w:rsidRPr="001A27CB" w:rsidRDefault="001A27CB" w:rsidP="001A27CB">
      <w:pPr>
        <w:spacing w:after="0"/>
        <w:jc w:val="both"/>
        <w:rPr>
          <w:rFonts w:ascii="Arial" w:hAnsi="Arial" w:cs="Arial"/>
        </w:rPr>
      </w:pPr>
    </w:p>
    <w:p w14:paraId="62125093" w14:textId="534CE922" w:rsidR="00854532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 xml:space="preserve">Smluvní strany prohlašují, že skutečnosti uvedené v Dohodě nepovažují za obchodní tajemství ve smyslu § 504 </w:t>
      </w:r>
      <w:r w:rsidR="00BC68F6">
        <w:rPr>
          <w:rFonts w:ascii="Arial" w:hAnsi="Arial" w:cs="Arial"/>
        </w:rPr>
        <w:t>OZ</w:t>
      </w:r>
      <w:r w:rsidRPr="00854532">
        <w:rPr>
          <w:rFonts w:ascii="Arial" w:hAnsi="Arial" w:cs="Arial"/>
        </w:rPr>
        <w:t xml:space="preserve"> a udělují svolení k jejich užití a zveřejnění bez stanovení jakýchkoli dalších podmínek. </w:t>
      </w:r>
    </w:p>
    <w:p w14:paraId="4E788FFF" w14:textId="77777777" w:rsidR="001A27CB" w:rsidRPr="001A27CB" w:rsidRDefault="001A27CB" w:rsidP="001A27CB">
      <w:pPr>
        <w:spacing w:after="0"/>
        <w:jc w:val="both"/>
        <w:rPr>
          <w:rFonts w:ascii="Arial" w:hAnsi="Arial" w:cs="Arial"/>
        </w:rPr>
      </w:pPr>
    </w:p>
    <w:p w14:paraId="267017D3" w14:textId="2FF5AE0E" w:rsidR="00854532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>Smluvní strany výslovně sjednávají, že uveřejnění Dohody v registru smluv dle zákona o registru smluv</w:t>
      </w:r>
      <w:r w:rsidR="00BC68F6">
        <w:rPr>
          <w:rFonts w:ascii="Arial" w:hAnsi="Arial" w:cs="Arial"/>
        </w:rPr>
        <w:t xml:space="preserve"> </w:t>
      </w:r>
      <w:r w:rsidRPr="00854532">
        <w:rPr>
          <w:rFonts w:ascii="Arial" w:hAnsi="Arial" w:cs="Arial"/>
        </w:rPr>
        <w:t xml:space="preserve">zajistí </w:t>
      </w:r>
      <w:r w:rsidR="00BC68F6">
        <w:rPr>
          <w:rFonts w:ascii="Arial" w:hAnsi="Arial" w:cs="Arial"/>
        </w:rPr>
        <w:t>Objednatel</w:t>
      </w:r>
      <w:r w:rsidRPr="00854532">
        <w:rPr>
          <w:rFonts w:ascii="Arial" w:hAnsi="Arial" w:cs="Arial"/>
        </w:rPr>
        <w:t>.</w:t>
      </w:r>
    </w:p>
    <w:p w14:paraId="58C10E6D" w14:textId="77777777" w:rsidR="001A27CB" w:rsidRPr="001A27CB" w:rsidRDefault="001A27CB" w:rsidP="001A27CB">
      <w:pPr>
        <w:spacing w:after="0"/>
        <w:jc w:val="both"/>
        <w:rPr>
          <w:rFonts w:ascii="Arial" w:hAnsi="Arial" w:cs="Arial"/>
        </w:rPr>
      </w:pPr>
    </w:p>
    <w:p w14:paraId="7410F518" w14:textId="40652EAF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</w:t>
      </w:r>
      <w:r w:rsidR="00C415F6">
        <w:rPr>
          <w:rFonts w:ascii="Arial" w:hAnsi="Arial" w:cs="Arial"/>
          <w:snapToGrid w:val="0"/>
        </w:rPr>
        <w:t>OZ</w:t>
      </w:r>
      <w:r w:rsidRPr="00D368F9">
        <w:rPr>
          <w:rFonts w:ascii="Arial" w:hAnsi="Arial" w:cs="Arial"/>
        </w:rPr>
        <w:t xml:space="preserve">. </w:t>
      </w:r>
    </w:p>
    <w:p w14:paraId="60B2A580" w14:textId="77777777" w:rsidR="001A27CB" w:rsidRPr="001A27CB" w:rsidRDefault="001A27CB" w:rsidP="001A27CB">
      <w:pPr>
        <w:spacing w:after="0"/>
        <w:jc w:val="both"/>
        <w:rPr>
          <w:rFonts w:ascii="Arial" w:hAnsi="Arial" w:cs="Arial"/>
        </w:rPr>
      </w:pPr>
    </w:p>
    <w:p w14:paraId="72CCE676" w14:textId="77E9D61D" w:rsidR="00854532" w:rsidRDefault="0085453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E765E3">
        <w:rPr>
          <w:rFonts w:ascii="Arial" w:hAnsi="Arial" w:cs="Arial"/>
        </w:rPr>
        <w:t xml:space="preserve">Smluvní strany prohlašují, že se dohodly na obsahu Dohody, že byla uzavřena po vzájemném projednání, </w:t>
      </w:r>
      <w:proofErr w:type="gramStart"/>
      <w:r w:rsidRPr="00E765E3">
        <w:rPr>
          <w:rFonts w:ascii="Arial" w:hAnsi="Arial" w:cs="Arial"/>
        </w:rPr>
        <w:t>nepříčí</w:t>
      </w:r>
      <w:proofErr w:type="gramEnd"/>
      <w:r w:rsidRPr="00E765E3">
        <w:rPr>
          <w:rFonts w:ascii="Arial" w:hAnsi="Arial" w:cs="Arial"/>
        </w:rPr>
        <w:t xml:space="preserve"> se dobrým mravům a neodporuje právním předpisům. Na důkaz toho připojují </w:t>
      </w:r>
      <w:r w:rsidR="00FE7EE3">
        <w:rPr>
          <w:rFonts w:ascii="Arial" w:hAnsi="Arial" w:cs="Arial"/>
        </w:rPr>
        <w:t>své</w:t>
      </w:r>
      <w:r w:rsidRPr="00E765E3">
        <w:rPr>
          <w:rFonts w:ascii="Arial" w:hAnsi="Arial" w:cs="Arial"/>
        </w:rPr>
        <w:t xml:space="preserve"> podpisy. Smluvní strany jsou povinny zdržet se jakéhokoliv konání či nekonání, kterým by byl zmařen účel této Dohody.</w:t>
      </w:r>
    </w:p>
    <w:p w14:paraId="67D88D81" w14:textId="66CCF2F3" w:rsidR="000F6A67" w:rsidRDefault="000F6A67" w:rsidP="000F6A67">
      <w:pPr>
        <w:spacing w:after="0"/>
        <w:jc w:val="both"/>
        <w:rPr>
          <w:rFonts w:ascii="Arial" w:hAnsi="Arial" w:cs="Arial"/>
        </w:rPr>
      </w:pPr>
    </w:p>
    <w:p w14:paraId="5F9139CE" w14:textId="251E437E" w:rsidR="000F6A67" w:rsidRPr="000F6A67" w:rsidRDefault="000F6A67" w:rsidP="000F6A67">
      <w:pPr>
        <w:spacing w:after="0"/>
        <w:jc w:val="both"/>
        <w:rPr>
          <w:rFonts w:ascii="Arial" w:hAnsi="Arial" w:cs="Arial"/>
          <w:b/>
          <w:bCs/>
        </w:rPr>
      </w:pPr>
      <w:r w:rsidRPr="000F6A67">
        <w:rPr>
          <w:rFonts w:ascii="Arial" w:hAnsi="Arial" w:cs="Arial"/>
          <w:b/>
          <w:bCs/>
        </w:rPr>
        <w:t>Přílohy:</w:t>
      </w:r>
    </w:p>
    <w:p w14:paraId="150FEC1A" w14:textId="44D822F6" w:rsidR="000F6A67" w:rsidRPr="002F7201" w:rsidRDefault="000F6A67" w:rsidP="000F6A67">
      <w:pPr>
        <w:spacing w:after="0"/>
        <w:ind w:left="851"/>
        <w:jc w:val="both"/>
        <w:rPr>
          <w:rFonts w:ascii="Arial" w:hAnsi="Arial" w:cs="Arial"/>
        </w:rPr>
      </w:pPr>
      <w:r w:rsidRPr="002F7201">
        <w:rPr>
          <w:rFonts w:ascii="Arial" w:hAnsi="Arial" w:cs="Arial"/>
        </w:rPr>
        <w:t xml:space="preserve">č. 1 </w:t>
      </w:r>
      <w:r w:rsidR="00CA7530" w:rsidRPr="002F7201">
        <w:rPr>
          <w:rFonts w:ascii="Arial" w:hAnsi="Arial" w:cs="Arial"/>
        </w:rPr>
        <w:t>–</w:t>
      </w:r>
      <w:r w:rsidRPr="002F7201">
        <w:rPr>
          <w:rFonts w:ascii="Arial" w:hAnsi="Arial" w:cs="Arial"/>
        </w:rPr>
        <w:t xml:space="preserve"> </w:t>
      </w:r>
      <w:r w:rsidR="00CA7530" w:rsidRPr="002F7201">
        <w:rPr>
          <w:rFonts w:ascii="Arial" w:hAnsi="Arial" w:cs="Arial"/>
        </w:rPr>
        <w:t>Objednávka č. A/00</w:t>
      </w:r>
      <w:r w:rsidR="00E60983">
        <w:rPr>
          <w:rFonts w:ascii="Arial" w:hAnsi="Arial" w:cs="Arial"/>
        </w:rPr>
        <w:t>35</w:t>
      </w:r>
      <w:r w:rsidR="00CA7530" w:rsidRPr="002F7201">
        <w:rPr>
          <w:rFonts w:ascii="Arial" w:hAnsi="Arial" w:cs="Arial"/>
        </w:rPr>
        <w:t>/23/08</w:t>
      </w:r>
      <w:r w:rsidR="00584775">
        <w:rPr>
          <w:rFonts w:ascii="Arial" w:hAnsi="Arial" w:cs="Arial"/>
        </w:rPr>
        <w:t xml:space="preserve"> s přílohami</w:t>
      </w:r>
    </w:p>
    <w:p w14:paraId="2DB9819F" w14:textId="5DFFCA05" w:rsidR="000F6A67" w:rsidRPr="002F7201" w:rsidRDefault="000F6A67" w:rsidP="000F6A67">
      <w:pPr>
        <w:spacing w:after="0"/>
        <w:ind w:left="851"/>
        <w:jc w:val="both"/>
        <w:rPr>
          <w:rFonts w:ascii="Arial" w:hAnsi="Arial" w:cs="Arial"/>
        </w:rPr>
      </w:pPr>
      <w:r w:rsidRPr="002F7201">
        <w:rPr>
          <w:rFonts w:ascii="Arial" w:hAnsi="Arial" w:cs="Arial"/>
        </w:rPr>
        <w:t xml:space="preserve">č. 2 </w:t>
      </w:r>
      <w:r w:rsidR="0092786F" w:rsidRPr="002F7201">
        <w:rPr>
          <w:rFonts w:ascii="Arial" w:hAnsi="Arial" w:cs="Arial"/>
        </w:rPr>
        <w:t>–</w:t>
      </w:r>
      <w:r w:rsidRPr="002F7201">
        <w:rPr>
          <w:rFonts w:ascii="Arial" w:hAnsi="Arial" w:cs="Arial"/>
        </w:rPr>
        <w:t xml:space="preserve"> </w:t>
      </w:r>
      <w:r w:rsidR="0092786F" w:rsidRPr="002F7201">
        <w:rPr>
          <w:rFonts w:ascii="Arial" w:hAnsi="Arial" w:cs="Arial"/>
        </w:rPr>
        <w:t>Souhrnná smluvní doložka</w:t>
      </w:r>
    </w:p>
    <w:p w14:paraId="0FDACDAE" w14:textId="77777777" w:rsidR="000F6A67" w:rsidRDefault="000F6A67" w:rsidP="000F6A67">
      <w:pPr>
        <w:spacing w:after="0"/>
        <w:jc w:val="both"/>
        <w:rPr>
          <w:rFonts w:ascii="Arial" w:hAnsi="Arial" w:cs="Arial"/>
        </w:rPr>
      </w:pPr>
    </w:p>
    <w:p w14:paraId="5C4E1A46" w14:textId="77777777" w:rsidR="00442304" w:rsidRDefault="00442304" w:rsidP="000F6A67">
      <w:pPr>
        <w:spacing w:after="0"/>
        <w:jc w:val="both"/>
        <w:rPr>
          <w:rFonts w:ascii="Arial" w:hAnsi="Arial" w:cs="Arial"/>
        </w:rPr>
      </w:pPr>
    </w:p>
    <w:p w14:paraId="7372FD0D" w14:textId="77777777" w:rsidR="00442304" w:rsidRDefault="00442304" w:rsidP="000F6A67">
      <w:pPr>
        <w:spacing w:after="0"/>
        <w:jc w:val="both"/>
        <w:rPr>
          <w:rFonts w:ascii="Arial" w:hAnsi="Arial" w:cs="Arial"/>
        </w:rPr>
      </w:pPr>
    </w:p>
    <w:p w14:paraId="760FC387" w14:textId="77777777" w:rsidR="00442304" w:rsidRPr="00531B67" w:rsidRDefault="00442304" w:rsidP="00442304">
      <w:pPr>
        <w:pStyle w:val="Default"/>
        <w:spacing w:line="276" w:lineRule="auto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>Podpisy následují na další straně</w:t>
      </w:r>
    </w:p>
    <w:p w14:paraId="020637F9" w14:textId="77777777" w:rsidR="002855BF" w:rsidRPr="000F6A67" w:rsidRDefault="002855BF" w:rsidP="000F6A67">
      <w:pPr>
        <w:spacing w:after="0"/>
        <w:jc w:val="both"/>
        <w:rPr>
          <w:rFonts w:ascii="Arial" w:hAnsi="Arial" w:cs="Arial"/>
        </w:rPr>
      </w:pPr>
    </w:p>
    <w:p w14:paraId="1F5D4E79" w14:textId="1D62E0F3" w:rsidR="00442304" w:rsidRDefault="004423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5C7C40" w14:textId="77777777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E63F8B" w14:textId="301F3A89" w:rsidR="00D368F9" w:rsidRPr="00530DAA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</w:t>
      </w:r>
      <w:r w:rsidR="00A543C0">
        <w:rPr>
          <w:rFonts w:ascii="Arial" w:hAnsi="Arial" w:cs="Arial"/>
          <w:color w:val="auto"/>
          <w:sz w:val="22"/>
          <w:szCs w:val="22"/>
        </w:rPr>
        <w:t xml:space="preserve"> 19. 3. 2024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30DAA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7EB0EEE0" w14:textId="77777777" w:rsidR="00530DAA" w:rsidRDefault="00530DAA" w:rsidP="00530DAA">
      <w:pPr>
        <w:spacing w:after="0" w:line="240" w:lineRule="auto"/>
        <w:ind w:left="1560" w:hanging="1560"/>
        <w:rPr>
          <w:rFonts w:ascii="Arial" w:hAnsi="Arial" w:cs="Arial"/>
          <w:b/>
        </w:rPr>
      </w:pPr>
    </w:p>
    <w:p w14:paraId="23377A43" w14:textId="677A7722" w:rsidR="00530DAA" w:rsidRPr="00781589" w:rsidRDefault="00781589" w:rsidP="00530DAA">
      <w:pPr>
        <w:spacing w:after="0" w:line="240" w:lineRule="auto"/>
        <w:ind w:left="1560" w:hanging="1560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  <w:b/>
        </w:rPr>
        <w:t xml:space="preserve">Za: </w:t>
      </w:r>
      <w:r w:rsidRPr="00E765E3">
        <w:rPr>
          <w:rFonts w:ascii="Arial" w:hAnsi="Arial" w:cs="Arial"/>
          <w:b/>
        </w:rPr>
        <w:t>Technická správa komunikací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Za: </w:t>
      </w:r>
      <w:r w:rsidR="00BB163E">
        <w:rPr>
          <w:rFonts w:ascii="Arial" w:eastAsia="Times New Roman" w:hAnsi="Arial" w:cs="Arial"/>
          <w:b/>
          <w:lang w:eastAsia="cs-CZ"/>
        </w:rPr>
        <w:t>Alza.cz a.s.</w:t>
      </w:r>
    </w:p>
    <w:p w14:paraId="1F36B7F9" w14:textId="77777777" w:rsidR="00781589" w:rsidRPr="00E765E3" w:rsidRDefault="00781589" w:rsidP="00781589">
      <w:pPr>
        <w:spacing w:after="0" w:line="240" w:lineRule="auto"/>
        <w:rPr>
          <w:rFonts w:ascii="Arial" w:hAnsi="Arial" w:cs="Arial"/>
          <w:b/>
        </w:rPr>
      </w:pPr>
      <w:r w:rsidRPr="00E765E3">
        <w:rPr>
          <w:rFonts w:ascii="Arial" w:hAnsi="Arial" w:cs="Arial"/>
          <w:b/>
        </w:rPr>
        <w:t>hl. m. Prahy, a.s.</w:t>
      </w:r>
    </w:p>
    <w:p w14:paraId="2F2093BC" w14:textId="12288E13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0F6A67" w:rsidRPr="00E765E3" w14:paraId="49F7DAAF" w14:textId="77777777" w:rsidTr="00956E6D">
        <w:trPr>
          <w:trHeight w:val="696"/>
        </w:trPr>
        <w:tc>
          <w:tcPr>
            <w:tcW w:w="4630" w:type="dxa"/>
          </w:tcPr>
          <w:p w14:paraId="17BD5608" w14:textId="77777777" w:rsidR="000F6A67" w:rsidRPr="00E765E3" w:rsidRDefault="000F6A67" w:rsidP="00956E6D">
            <w:pPr>
              <w:ind w:left="426"/>
              <w:rPr>
                <w:rFonts w:ascii="Arial" w:hAnsi="Arial" w:cs="Arial"/>
              </w:rPr>
            </w:pPr>
          </w:p>
          <w:p w14:paraId="559A317E" w14:textId="77777777" w:rsidR="000F6A67" w:rsidRPr="00E765E3" w:rsidRDefault="000F6A67" w:rsidP="00956E6D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630" w:type="dxa"/>
          </w:tcPr>
          <w:p w14:paraId="17699EA5" w14:textId="77777777" w:rsidR="000F6A67" w:rsidRPr="00E765E3" w:rsidRDefault="000F6A67" w:rsidP="00956E6D">
            <w:pPr>
              <w:rPr>
                <w:rFonts w:ascii="Arial" w:hAnsi="Arial" w:cs="Arial"/>
              </w:rPr>
            </w:pPr>
          </w:p>
        </w:tc>
      </w:tr>
      <w:tr w:rsidR="000F6A67" w:rsidRPr="00E765E3" w14:paraId="2795E042" w14:textId="77777777" w:rsidTr="00956E6D">
        <w:trPr>
          <w:trHeight w:val="2304"/>
        </w:trPr>
        <w:tc>
          <w:tcPr>
            <w:tcW w:w="4630" w:type="dxa"/>
          </w:tcPr>
          <w:p w14:paraId="1ABB2D13" w14:textId="028D2416" w:rsidR="000F6A67" w:rsidRDefault="000F6A67" w:rsidP="00530D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E765E3">
              <w:rPr>
                <w:rFonts w:ascii="Arial" w:hAnsi="Arial" w:cs="Arial"/>
              </w:rPr>
              <w:t>…….………………...………….</w:t>
            </w:r>
          </w:p>
          <w:p w14:paraId="0119F07F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04C02F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4F1016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9D1E61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111E11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B8A096" w14:textId="77777777" w:rsidR="00781589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2BF3DA" w14:textId="77777777" w:rsidR="00781589" w:rsidRPr="00E765E3" w:rsidRDefault="00781589" w:rsidP="007815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E765E3">
              <w:rPr>
                <w:rFonts w:ascii="Arial" w:hAnsi="Arial" w:cs="Arial"/>
              </w:rPr>
              <w:t>…….………………...………….</w:t>
            </w:r>
          </w:p>
          <w:p w14:paraId="23897CDC" w14:textId="1F909F54" w:rsidR="00781589" w:rsidRPr="00E765E3" w:rsidRDefault="00781589" w:rsidP="007815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0" w:type="dxa"/>
          </w:tcPr>
          <w:p w14:paraId="323F5FEE" w14:textId="02EBBA0F" w:rsidR="000F6A67" w:rsidRPr="00E765E3" w:rsidRDefault="00530DAA" w:rsidP="007815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F6A67" w:rsidRPr="00E765E3">
              <w:rPr>
                <w:rFonts w:ascii="Arial" w:hAnsi="Arial" w:cs="Arial"/>
              </w:rPr>
              <w:t>…….……………………...…….……….</w:t>
            </w:r>
          </w:p>
          <w:p w14:paraId="493594AF" w14:textId="25D0504B" w:rsidR="000F6A67" w:rsidRPr="00E765E3" w:rsidRDefault="000F6A67" w:rsidP="00781589">
            <w:pPr>
              <w:spacing w:after="0" w:line="240" w:lineRule="auto"/>
              <w:ind w:left="1560" w:hanging="1560"/>
              <w:jc w:val="center"/>
              <w:rPr>
                <w:rFonts w:ascii="Arial" w:hAnsi="Arial" w:cs="Arial"/>
              </w:rPr>
            </w:pPr>
          </w:p>
        </w:tc>
      </w:tr>
    </w:tbl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1AB40" w14:textId="77777777" w:rsidR="00AD41C6" w:rsidRDefault="00AD41C6" w:rsidP="000F6A67">
      <w:pPr>
        <w:pStyle w:val="Bezmezer"/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</w:pPr>
    </w:p>
    <w:p w14:paraId="222E6762" w14:textId="5B174CBB" w:rsidR="00AD41C6" w:rsidRDefault="00AD41C6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7A72F5CA" w14:textId="77777777" w:rsidR="00AD41C6" w:rsidRDefault="00AD41C6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3533EF1E" w14:textId="754630A7" w:rsidR="00AD41C6" w:rsidRDefault="00AD41C6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20C5803D" w14:textId="53D56A84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3D64394C" w14:textId="48F6EF4D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44473CE2" w14:textId="7BF770C1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5EADA754" w14:textId="46F92E3D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4050E2F1" w14:textId="77777777" w:rsidR="000F6A67" w:rsidRPr="00D368F9" w:rsidRDefault="000F6A67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F6A67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641" w14:textId="77777777" w:rsidR="007314BA" w:rsidRDefault="007314BA" w:rsidP="00A478E1">
      <w:pPr>
        <w:spacing w:after="0" w:line="240" w:lineRule="auto"/>
      </w:pPr>
      <w:r>
        <w:separator/>
      </w:r>
    </w:p>
  </w:endnote>
  <w:endnote w:type="continuationSeparator" w:id="0">
    <w:p w14:paraId="0CDCAF38" w14:textId="77777777" w:rsidR="007314BA" w:rsidRDefault="007314B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171D" w14:textId="77777777" w:rsidR="007314BA" w:rsidRDefault="007314BA" w:rsidP="00A478E1">
      <w:pPr>
        <w:spacing w:after="0" w:line="240" w:lineRule="auto"/>
      </w:pPr>
      <w:r>
        <w:separator/>
      </w:r>
    </w:p>
  </w:footnote>
  <w:footnote w:type="continuationSeparator" w:id="0">
    <w:p w14:paraId="7070A8A1" w14:textId="77777777" w:rsidR="007314BA" w:rsidRDefault="007314B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3BC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31C86"/>
    <w:multiLevelType w:val="hybridMultilevel"/>
    <w:tmpl w:val="62746E22"/>
    <w:lvl w:ilvl="0" w:tplc="7422A1D8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A231C24"/>
    <w:multiLevelType w:val="hybridMultilevel"/>
    <w:tmpl w:val="DFAA2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7411"/>
    <w:multiLevelType w:val="singleLevel"/>
    <w:tmpl w:val="9B3CF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13001">
    <w:abstractNumId w:val="7"/>
  </w:num>
  <w:num w:numId="2" w16cid:durableId="879709491">
    <w:abstractNumId w:val="12"/>
  </w:num>
  <w:num w:numId="3" w16cid:durableId="1610821574">
    <w:abstractNumId w:val="14"/>
  </w:num>
  <w:num w:numId="4" w16cid:durableId="990215520">
    <w:abstractNumId w:val="11"/>
  </w:num>
  <w:num w:numId="5" w16cid:durableId="1591966290">
    <w:abstractNumId w:val="9"/>
  </w:num>
  <w:num w:numId="6" w16cid:durableId="2127312014">
    <w:abstractNumId w:val="15"/>
  </w:num>
  <w:num w:numId="7" w16cid:durableId="1923442292">
    <w:abstractNumId w:val="1"/>
  </w:num>
  <w:num w:numId="8" w16cid:durableId="611786202">
    <w:abstractNumId w:val="10"/>
  </w:num>
  <w:num w:numId="9" w16cid:durableId="1994796715">
    <w:abstractNumId w:val="8"/>
  </w:num>
  <w:num w:numId="10" w16cid:durableId="929235751">
    <w:abstractNumId w:val="13"/>
  </w:num>
  <w:num w:numId="11" w16cid:durableId="508758445">
    <w:abstractNumId w:val="6"/>
  </w:num>
  <w:num w:numId="12" w16cid:durableId="1572543790">
    <w:abstractNumId w:val="5"/>
  </w:num>
  <w:num w:numId="13" w16cid:durableId="787773865">
    <w:abstractNumId w:val="0"/>
  </w:num>
  <w:num w:numId="14" w16cid:durableId="113718550">
    <w:abstractNumId w:val="3"/>
  </w:num>
  <w:num w:numId="15" w16cid:durableId="25908438">
    <w:abstractNumId w:val="4"/>
  </w:num>
  <w:num w:numId="16" w16cid:durableId="563369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386D"/>
    <w:rsid w:val="00027435"/>
    <w:rsid w:val="00044F17"/>
    <w:rsid w:val="000807E4"/>
    <w:rsid w:val="000A70DE"/>
    <w:rsid w:val="000B1505"/>
    <w:rsid w:val="000C704A"/>
    <w:rsid w:val="000C7A23"/>
    <w:rsid w:val="000F6A67"/>
    <w:rsid w:val="00123306"/>
    <w:rsid w:val="0012621B"/>
    <w:rsid w:val="00157FDD"/>
    <w:rsid w:val="001A27CB"/>
    <w:rsid w:val="001D4ABD"/>
    <w:rsid w:val="001F0286"/>
    <w:rsid w:val="001F71A6"/>
    <w:rsid w:val="00207ACC"/>
    <w:rsid w:val="00217617"/>
    <w:rsid w:val="00276840"/>
    <w:rsid w:val="00283AC9"/>
    <w:rsid w:val="002855BF"/>
    <w:rsid w:val="002A071D"/>
    <w:rsid w:val="002A7501"/>
    <w:rsid w:val="002C5ED2"/>
    <w:rsid w:val="002F7201"/>
    <w:rsid w:val="00310EEA"/>
    <w:rsid w:val="00332803"/>
    <w:rsid w:val="003618E4"/>
    <w:rsid w:val="00374B1F"/>
    <w:rsid w:val="00394916"/>
    <w:rsid w:val="003B006A"/>
    <w:rsid w:val="003D0248"/>
    <w:rsid w:val="003E422A"/>
    <w:rsid w:val="003F0271"/>
    <w:rsid w:val="003F7763"/>
    <w:rsid w:val="004028E8"/>
    <w:rsid w:val="00414C94"/>
    <w:rsid w:val="00422B15"/>
    <w:rsid w:val="004345A7"/>
    <w:rsid w:val="00442304"/>
    <w:rsid w:val="00443A95"/>
    <w:rsid w:val="0045251E"/>
    <w:rsid w:val="004567E3"/>
    <w:rsid w:val="00491222"/>
    <w:rsid w:val="004917B2"/>
    <w:rsid w:val="00495074"/>
    <w:rsid w:val="004A3B31"/>
    <w:rsid w:val="004A6E84"/>
    <w:rsid w:val="004B571D"/>
    <w:rsid w:val="004C35AF"/>
    <w:rsid w:val="004D39C0"/>
    <w:rsid w:val="004F08FD"/>
    <w:rsid w:val="00530DAA"/>
    <w:rsid w:val="005372A4"/>
    <w:rsid w:val="005637E4"/>
    <w:rsid w:val="00570046"/>
    <w:rsid w:val="0058456D"/>
    <w:rsid w:val="00584775"/>
    <w:rsid w:val="005F0AB7"/>
    <w:rsid w:val="005F3222"/>
    <w:rsid w:val="00602E27"/>
    <w:rsid w:val="00652FEC"/>
    <w:rsid w:val="00653D1F"/>
    <w:rsid w:val="00680665"/>
    <w:rsid w:val="006E6170"/>
    <w:rsid w:val="00700D8D"/>
    <w:rsid w:val="007249B9"/>
    <w:rsid w:val="007263D5"/>
    <w:rsid w:val="007314BA"/>
    <w:rsid w:val="0073527B"/>
    <w:rsid w:val="00752D16"/>
    <w:rsid w:val="00755EB5"/>
    <w:rsid w:val="00767A38"/>
    <w:rsid w:val="007728E7"/>
    <w:rsid w:val="00781589"/>
    <w:rsid w:val="007B47A0"/>
    <w:rsid w:val="007E7017"/>
    <w:rsid w:val="007F362C"/>
    <w:rsid w:val="00806C89"/>
    <w:rsid w:val="00807C5A"/>
    <w:rsid w:val="00811D9C"/>
    <w:rsid w:val="00824242"/>
    <w:rsid w:val="008314E7"/>
    <w:rsid w:val="00836218"/>
    <w:rsid w:val="00854532"/>
    <w:rsid w:val="0086069B"/>
    <w:rsid w:val="00863339"/>
    <w:rsid w:val="00864D76"/>
    <w:rsid w:val="00884E7D"/>
    <w:rsid w:val="008907C8"/>
    <w:rsid w:val="008A661D"/>
    <w:rsid w:val="008B4C4A"/>
    <w:rsid w:val="008B4E59"/>
    <w:rsid w:val="008F43DE"/>
    <w:rsid w:val="0092786F"/>
    <w:rsid w:val="00942B8A"/>
    <w:rsid w:val="00945C9D"/>
    <w:rsid w:val="00992A30"/>
    <w:rsid w:val="00996902"/>
    <w:rsid w:val="009C3FDA"/>
    <w:rsid w:val="009D2F64"/>
    <w:rsid w:val="009F78D9"/>
    <w:rsid w:val="00A02D71"/>
    <w:rsid w:val="00A405A1"/>
    <w:rsid w:val="00A45A3D"/>
    <w:rsid w:val="00A478E1"/>
    <w:rsid w:val="00A543C0"/>
    <w:rsid w:val="00A756EF"/>
    <w:rsid w:val="00A92F33"/>
    <w:rsid w:val="00AA599C"/>
    <w:rsid w:val="00AA5C23"/>
    <w:rsid w:val="00AB0E08"/>
    <w:rsid w:val="00AD41C6"/>
    <w:rsid w:val="00AF5D4D"/>
    <w:rsid w:val="00B062D6"/>
    <w:rsid w:val="00BA7D80"/>
    <w:rsid w:val="00BB163E"/>
    <w:rsid w:val="00BC259C"/>
    <w:rsid w:val="00BC392D"/>
    <w:rsid w:val="00BC607A"/>
    <w:rsid w:val="00BC651B"/>
    <w:rsid w:val="00BC68F6"/>
    <w:rsid w:val="00BC6E39"/>
    <w:rsid w:val="00BC7D03"/>
    <w:rsid w:val="00C0495B"/>
    <w:rsid w:val="00C06521"/>
    <w:rsid w:val="00C24368"/>
    <w:rsid w:val="00C415F6"/>
    <w:rsid w:val="00C57DC4"/>
    <w:rsid w:val="00C73EA0"/>
    <w:rsid w:val="00CA7530"/>
    <w:rsid w:val="00CB481D"/>
    <w:rsid w:val="00CD491D"/>
    <w:rsid w:val="00D01CDF"/>
    <w:rsid w:val="00D04646"/>
    <w:rsid w:val="00D04B61"/>
    <w:rsid w:val="00D06248"/>
    <w:rsid w:val="00D07CED"/>
    <w:rsid w:val="00D20073"/>
    <w:rsid w:val="00D368F9"/>
    <w:rsid w:val="00D402CB"/>
    <w:rsid w:val="00D5178B"/>
    <w:rsid w:val="00D77E45"/>
    <w:rsid w:val="00D90CC3"/>
    <w:rsid w:val="00DD2570"/>
    <w:rsid w:val="00E011E2"/>
    <w:rsid w:val="00E072AC"/>
    <w:rsid w:val="00E16DEA"/>
    <w:rsid w:val="00E30577"/>
    <w:rsid w:val="00E330B5"/>
    <w:rsid w:val="00E47FB0"/>
    <w:rsid w:val="00E5561B"/>
    <w:rsid w:val="00E60983"/>
    <w:rsid w:val="00E73807"/>
    <w:rsid w:val="00E840BB"/>
    <w:rsid w:val="00EA462C"/>
    <w:rsid w:val="00EA725E"/>
    <w:rsid w:val="00EB3F99"/>
    <w:rsid w:val="00EB7D47"/>
    <w:rsid w:val="00EC1A50"/>
    <w:rsid w:val="00EC5935"/>
    <w:rsid w:val="00EC68A5"/>
    <w:rsid w:val="00EF5B19"/>
    <w:rsid w:val="00F1250B"/>
    <w:rsid w:val="00F17A7B"/>
    <w:rsid w:val="00F2036E"/>
    <w:rsid w:val="00F31079"/>
    <w:rsid w:val="00F43916"/>
    <w:rsid w:val="00F43DCC"/>
    <w:rsid w:val="00F57E4D"/>
    <w:rsid w:val="00F7292D"/>
    <w:rsid w:val="00FA7110"/>
    <w:rsid w:val="00FB4152"/>
    <w:rsid w:val="00FB4256"/>
    <w:rsid w:val="00FB69CF"/>
    <w:rsid w:val="00FC5D91"/>
    <w:rsid w:val="00FD5527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0F6A67"/>
    <w:rPr>
      <w:color w:val="0000FF"/>
      <w:u w:val="single"/>
    </w:rPr>
  </w:style>
  <w:style w:type="paragraph" w:styleId="Bezmezer">
    <w:name w:val="No Spacing"/>
    <w:uiPriority w:val="1"/>
    <w:qFormat/>
    <w:rsid w:val="000F6A6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F6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2024-03-28T06:28:00Z</dcterms:created>
  <dcterms:modified xsi:type="dcterms:W3CDTF">2024-03-28T06:33:00Z</dcterms:modified>
</cp:coreProperties>
</file>