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AAD" w:rsidRDefault="00550AAD" w:rsidP="00550AAD"/>
    <w:p w:rsidR="00550AAD" w:rsidRDefault="00550AAD" w:rsidP="00550AAD">
      <w:pPr>
        <w:jc w:val="right"/>
      </w:pPr>
      <w:r>
        <w:t xml:space="preserve">                        Smlouva č.</w:t>
      </w:r>
      <w:r>
        <w:rPr>
          <w:b/>
        </w:rPr>
        <w:t xml:space="preserve"> 9 /2024</w:t>
      </w:r>
    </w:p>
    <w:p w:rsidR="00550AAD" w:rsidRDefault="00550AAD" w:rsidP="00550AAD">
      <w:pPr>
        <w:jc w:val="both"/>
      </w:pPr>
    </w:p>
    <w:p w:rsidR="00550AAD" w:rsidRDefault="00550AAD" w:rsidP="00550AAD">
      <w:pPr>
        <w:pStyle w:val="Zkladntext"/>
        <w:ind w:left="708"/>
        <w:rPr>
          <w:szCs w:val="28"/>
        </w:rPr>
      </w:pPr>
      <w:r>
        <w:rPr>
          <w:szCs w:val="28"/>
        </w:rPr>
        <w:t>Smlouva o využití OBECNÍHO systému ODPADOVÉHO HOSPODÁŘStVÍ</w:t>
      </w:r>
      <w:r>
        <w:rPr>
          <w:szCs w:val="28"/>
        </w:rPr>
        <w:br/>
      </w:r>
    </w:p>
    <w:p w:rsidR="00550AAD" w:rsidRDefault="00550AAD" w:rsidP="00550AAD">
      <w:pPr>
        <w:pStyle w:val="Nadpis1"/>
        <w:rPr>
          <w:sz w:val="22"/>
          <w:szCs w:val="22"/>
        </w:rPr>
      </w:pPr>
      <w:r>
        <w:rPr>
          <w:sz w:val="22"/>
          <w:szCs w:val="22"/>
        </w:rPr>
        <w:t>Smluvní strany</w:t>
      </w:r>
    </w:p>
    <w:p w:rsidR="00550AAD" w:rsidRDefault="00550AAD" w:rsidP="00550AAD">
      <w:pPr>
        <w:jc w:val="both"/>
        <w:rPr>
          <w:sz w:val="22"/>
          <w:szCs w:val="22"/>
        </w:rPr>
      </w:pPr>
    </w:p>
    <w:p w:rsidR="00550AAD" w:rsidRDefault="00550AAD" w:rsidP="00550AAD">
      <w:pPr>
        <w:jc w:val="both"/>
        <w:rPr>
          <w:sz w:val="22"/>
          <w:szCs w:val="22"/>
        </w:rPr>
      </w:pPr>
      <w:r>
        <w:rPr>
          <w:sz w:val="22"/>
          <w:szCs w:val="22"/>
        </w:rPr>
        <w:t xml:space="preserve">1. </w:t>
      </w:r>
      <w:r>
        <w:rPr>
          <w:bCs/>
          <w:sz w:val="22"/>
          <w:szCs w:val="22"/>
        </w:rPr>
        <w:t>OBEC:</w:t>
      </w:r>
      <w:r>
        <w:rPr>
          <w:sz w:val="22"/>
          <w:szCs w:val="22"/>
        </w:rPr>
        <w:t xml:space="preserve"> </w:t>
      </w:r>
      <w:r>
        <w:rPr>
          <w:sz w:val="22"/>
          <w:szCs w:val="22"/>
        </w:rPr>
        <w:tab/>
      </w:r>
      <w:r>
        <w:rPr>
          <w:b/>
          <w:sz w:val="22"/>
          <w:szCs w:val="22"/>
        </w:rPr>
        <w:t xml:space="preserve">Město Plesná, 5. května </w:t>
      </w:r>
      <w:proofErr w:type="gramStart"/>
      <w:r>
        <w:rPr>
          <w:b/>
          <w:sz w:val="22"/>
          <w:szCs w:val="22"/>
        </w:rPr>
        <w:t>301,  351 35</w:t>
      </w:r>
      <w:proofErr w:type="gramEnd"/>
      <w:r>
        <w:rPr>
          <w:b/>
          <w:sz w:val="22"/>
          <w:szCs w:val="22"/>
        </w:rPr>
        <w:t xml:space="preserve"> Plesná</w:t>
      </w:r>
      <w:r>
        <w:rPr>
          <w:sz w:val="22"/>
          <w:szCs w:val="22"/>
        </w:rPr>
        <w:t xml:space="preserve"> </w:t>
      </w:r>
    </w:p>
    <w:p w:rsidR="00550AAD" w:rsidRDefault="00550AAD" w:rsidP="00550AAD">
      <w:pPr>
        <w:jc w:val="both"/>
        <w:rPr>
          <w:sz w:val="22"/>
          <w:szCs w:val="22"/>
        </w:rPr>
      </w:pPr>
      <w:r>
        <w:rPr>
          <w:sz w:val="22"/>
          <w:szCs w:val="22"/>
        </w:rPr>
        <w:t xml:space="preserve">    IČO: </w:t>
      </w:r>
      <w:r>
        <w:rPr>
          <w:sz w:val="22"/>
          <w:szCs w:val="22"/>
        </w:rPr>
        <w:tab/>
        <w:t>00254169</w:t>
      </w:r>
    </w:p>
    <w:p w:rsidR="00550AAD" w:rsidRDefault="00550AAD" w:rsidP="00550AAD">
      <w:pPr>
        <w:jc w:val="both"/>
        <w:rPr>
          <w:sz w:val="22"/>
          <w:szCs w:val="22"/>
        </w:rPr>
      </w:pPr>
      <w:r>
        <w:rPr>
          <w:sz w:val="22"/>
          <w:szCs w:val="22"/>
        </w:rPr>
        <w:t xml:space="preserve">    Zastoupená starostou: Petrem </w:t>
      </w:r>
      <w:proofErr w:type="spellStart"/>
      <w:r>
        <w:rPr>
          <w:sz w:val="22"/>
          <w:szCs w:val="22"/>
        </w:rPr>
        <w:t>Schallerem</w:t>
      </w:r>
      <w:proofErr w:type="spellEnd"/>
    </w:p>
    <w:p w:rsidR="00550AAD" w:rsidRDefault="00550AAD" w:rsidP="00550AAD">
      <w:pPr>
        <w:jc w:val="both"/>
        <w:rPr>
          <w:sz w:val="22"/>
          <w:szCs w:val="22"/>
        </w:rPr>
      </w:pPr>
      <w:r>
        <w:rPr>
          <w:sz w:val="22"/>
          <w:szCs w:val="22"/>
        </w:rPr>
        <w:t xml:space="preserve">    (dále jen „Obec“) na straně jedné</w:t>
      </w:r>
    </w:p>
    <w:p w:rsidR="00550AAD" w:rsidRDefault="00550AAD" w:rsidP="00550AAD">
      <w:pPr>
        <w:jc w:val="both"/>
        <w:rPr>
          <w:sz w:val="22"/>
          <w:szCs w:val="22"/>
        </w:rPr>
      </w:pPr>
    </w:p>
    <w:p w:rsidR="00550AAD" w:rsidRDefault="00550AAD" w:rsidP="00550AAD">
      <w:pPr>
        <w:jc w:val="both"/>
        <w:rPr>
          <w:sz w:val="22"/>
          <w:szCs w:val="22"/>
        </w:rPr>
      </w:pPr>
      <w:r>
        <w:rPr>
          <w:sz w:val="22"/>
          <w:szCs w:val="22"/>
        </w:rPr>
        <w:t>a</w:t>
      </w:r>
    </w:p>
    <w:p w:rsidR="00550AAD" w:rsidRDefault="00550AAD" w:rsidP="00550AAD">
      <w:pPr>
        <w:jc w:val="both"/>
        <w:rPr>
          <w:sz w:val="22"/>
          <w:szCs w:val="22"/>
        </w:rPr>
      </w:pPr>
    </w:p>
    <w:p w:rsidR="00550AAD" w:rsidRDefault="00550AAD" w:rsidP="00550AAD">
      <w:pPr>
        <w:jc w:val="both"/>
        <w:rPr>
          <w:sz w:val="22"/>
          <w:szCs w:val="22"/>
        </w:rPr>
      </w:pPr>
      <w:r>
        <w:rPr>
          <w:sz w:val="22"/>
          <w:szCs w:val="22"/>
        </w:rPr>
        <w:t xml:space="preserve">2. </w:t>
      </w:r>
      <w:r>
        <w:rPr>
          <w:bCs/>
          <w:sz w:val="22"/>
          <w:szCs w:val="22"/>
        </w:rPr>
        <w:t>PŮVODCE</w:t>
      </w:r>
      <w:r>
        <w:rPr>
          <w:b/>
          <w:bCs/>
          <w:sz w:val="22"/>
          <w:szCs w:val="22"/>
        </w:rPr>
        <w:t>:</w:t>
      </w:r>
      <w:r>
        <w:rPr>
          <w:sz w:val="22"/>
          <w:szCs w:val="22"/>
        </w:rPr>
        <w:t xml:space="preserve">  </w:t>
      </w:r>
      <w:r>
        <w:rPr>
          <w:b/>
          <w:sz w:val="22"/>
          <w:szCs w:val="22"/>
        </w:rPr>
        <w:t xml:space="preserve">Dětský domov Karlovy Vary a Ostrov </w:t>
      </w:r>
      <w:proofErr w:type="spellStart"/>
      <w:proofErr w:type="gramStart"/>
      <w:r>
        <w:rPr>
          <w:b/>
          <w:sz w:val="22"/>
          <w:szCs w:val="22"/>
        </w:rPr>
        <w:t>p.o</w:t>
      </w:r>
      <w:proofErr w:type="spellEnd"/>
      <w:r>
        <w:rPr>
          <w:b/>
          <w:sz w:val="22"/>
          <w:szCs w:val="22"/>
        </w:rPr>
        <w:t>.</w:t>
      </w:r>
      <w:proofErr w:type="gramEnd"/>
      <w:r>
        <w:rPr>
          <w:sz w:val="22"/>
          <w:szCs w:val="22"/>
        </w:rPr>
        <w:t xml:space="preserve">                            </w:t>
      </w:r>
    </w:p>
    <w:p w:rsidR="00550AAD" w:rsidRDefault="00550AAD" w:rsidP="00550AAD">
      <w:pPr>
        <w:jc w:val="both"/>
        <w:rPr>
          <w:sz w:val="22"/>
          <w:szCs w:val="22"/>
        </w:rPr>
      </w:pPr>
      <w:r>
        <w:rPr>
          <w:sz w:val="22"/>
          <w:szCs w:val="22"/>
        </w:rPr>
        <w:t xml:space="preserve">    se sídlem:      Dukelských hrdinů 610, 363 01 Ostrov</w:t>
      </w:r>
    </w:p>
    <w:p w:rsidR="00550AAD" w:rsidRPr="00CA7032" w:rsidRDefault="00550AAD" w:rsidP="00550AAD">
      <w:pPr>
        <w:jc w:val="both"/>
      </w:pPr>
      <w:r>
        <w:rPr>
          <w:sz w:val="22"/>
          <w:szCs w:val="22"/>
        </w:rPr>
        <w:t xml:space="preserve">    IČO:              </w:t>
      </w:r>
      <w:r w:rsidRPr="00CA7032">
        <w:rPr>
          <w:color w:val="101010"/>
        </w:rPr>
        <w:t>635 536 60</w:t>
      </w:r>
    </w:p>
    <w:p w:rsidR="00550AAD" w:rsidRDefault="00550AAD" w:rsidP="00550AAD">
      <w:pPr>
        <w:jc w:val="both"/>
        <w:rPr>
          <w:sz w:val="22"/>
          <w:szCs w:val="22"/>
        </w:rPr>
      </w:pPr>
      <w:r>
        <w:rPr>
          <w:sz w:val="22"/>
          <w:szCs w:val="22"/>
        </w:rPr>
        <w:t xml:space="preserve">    Zastoupen:    PhDr. Milan </w:t>
      </w:r>
      <w:proofErr w:type="spellStart"/>
      <w:r>
        <w:rPr>
          <w:sz w:val="22"/>
          <w:szCs w:val="22"/>
        </w:rPr>
        <w:t>Molec</w:t>
      </w:r>
      <w:proofErr w:type="spellEnd"/>
      <w:r>
        <w:rPr>
          <w:sz w:val="22"/>
          <w:szCs w:val="22"/>
        </w:rPr>
        <w:t>, ředitel</w:t>
      </w:r>
    </w:p>
    <w:p w:rsidR="00550AAD" w:rsidRDefault="00550AAD" w:rsidP="00550AAD">
      <w:pPr>
        <w:jc w:val="both"/>
        <w:rPr>
          <w:sz w:val="22"/>
          <w:szCs w:val="22"/>
        </w:rPr>
      </w:pPr>
      <w:r>
        <w:rPr>
          <w:sz w:val="22"/>
          <w:szCs w:val="22"/>
        </w:rPr>
        <w:t xml:space="preserve">    Tel. č.:           602 708 154</w:t>
      </w:r>
    </w:p>
    <w:p w:rsidR="00550AAD" w:rsidRDefault="00550AAD" w:rsidP="00550AAD">
      <w:pPr>
        <w:jc w:val="both"/>
        <w:rPr>
          <w:sz w:val="22"/>
          <w:szCs w:val="22"/>
        </w:rPr>
      </w:pPr>
      <w:r>
        <w:rPr>
          <w:sz w:val="22"/>
          <w:szCs w:val="22"/>
        </w:rPr>
        <w:t xml:space="preserve">   (dále jen „Původce“) na straně druhé</w:t>
      </w:r>
    </w:p>
    <w:p w:rsidR="00550AAD" w:rsidRDefault="00550AAD" w:rsidP="00550AAD">
      <w:pPr>
        <w:jc w:val="both"/>
        <w:rPr>
          <w:sz w:val="22"/>
          <w:szCs w:val="22"/>
        </w:rPr>
      </w:pPr>
    </w:p>
    <w:p w:rsidR="00550AAD" w:rsidRDefault="00550AAD" w:rsidP="00550AAD">
      <w:pPr>
        <w:jc w:val="both"/>
        <w:rPr>
          <w:sz w:val="22"/>
          <w:szCs w:val="22"/>
        </w:rPr>
      </w:pPr>
      <w:r>
        <w:rPr>
          <w:sz w:val="22"/>
          <w:szCs w:val="22"/>
        </w:rPr>
        <w:t>uzavírají dnešního dne, měsíce a roku na základě úplného konsenzu o všech níže uvedených skutečnostech v souladu s § 1746 odst. 2 zákona č. 89/2012 Sb., občanský zákoník, ve znění pozdějších předpisů (dále jen „</w:t>
      </w:r>
      <w:r>
        <w:rPr>
          <w:bCs/>
          <w:sz w:val="22"/>
          <w:szCs w:val="22"/>
        </w:rPr>
        <w:t>občanský zákoník</w:t>
      </w:r>
      <w:r>
        <w:rPr>
          <w:sz w:val="22"/>
          <w:szCs w:val="22"/>
        </w:rPr>
        <w:t>“) a § 62 odst. 2 zákona č. 541/2020 Sb., o odpadech, ve znění pozdějších předpisů (dále jen „</w:t>
      </w:r>
      <w:r>
        <w:rPr>
          <w:bCs/>
          <w:sz w:val="22"/>
          <w:szCs w:val="22"/>
        </w:rPr>
        <w:t xml:space="preserve">zákon </w:t>
      </w:r>
      <w:r>
        <w:rPr>
          <w:sz w:val="22"/>
          <w:szCs w:val="22"/>
        </w:rPr>
        <w:t xml:space="preserve">o </w:t>
      </w:r>
      <w:r>
        <w:rPr>
          <w:bCs/>
          <w:sz w:val="22"/>
          <w:szCs w:val="22"/>
        </w:rPr>
        <w:t>odpadech</w:t>
      </w:r>
      <w:r>
        <w:rPr>
          <w:sz w:val="22"/>
          <w:szCs w:val="22"/>
        </w:rPr>
        <w:t xml:space="preserve">“) tuto smlouvu o využití </w:t>
      </w:r>
      <w:r>
        <w:rPr>
          <w:bCs/>
          <w:sz w:val="22"/>
          <w:szCs w:val="22"/>
        </w:rPr>
        <w:t xml:space="preserve">obecního </w:t>
      </w:r>
      <w:r>
        <w:rPr>
          <w:sz w:val="22"/>
          <w:szCs w:val="22"/>
        </w:rPr>
        <w:t xml:space="preserve">systému </w:t>
      </w:r>
      <w:r>
        <w:rPr>
          <w:bCs/>
          <w:sz w:val="22"/>
          <w:szCs w:val="22"/>
        </w:rPr>
        <w:t>odpadového hospodářství (dále jen „Smlouva“):</w:t>
      </w:r>
    </w:p>
    <w:p w:rsidR="00550AAD" w:rsidRDefault="00550AAD" w:rsidP="00550AAD">
      <w:pPr>
        <w:jc w:val="both"/>
        <w:rPr>
          <w:sz w:val="22"/>
          <w:szCs w:val="22"/>
        </w:rPr>
      </w:pPr>
    </w:p>
    <w:p w:rsidR="00550AAD" w:rsidRDefault="00550AAD" w:rsidP="00550AAD">
      <w:pPr>
        <w:ind w:left="720"/>
        <w:jc w:val="center"/>
        <w:rPr>
          <w:b/>
          <w:bCs/>
          <w:sz w:val="22"/>
          <w:szCs w:val="22"/>
        </w:rPr>
      </w:pPr>
      <w:r>
        <w:rPr>
          <w:b/>
          <w:bCs/>
          <w:sz w:val="22"/>
          <w:szCs w:val="22"/>
        </w:rPr>
        <w:t>I.</w:t>
      </w:r>
    </w:p>
    <w:p w:rsidR="00550AAD" w:rsidRDefault="00550AAD" w:rsidP="00550AAD">
      <w:pPr>
        <w:ind w:left="720"/>
        <w:jc w:val="center"/>
        <w:rPr>
          <w:b/>
          <w:bCs/>
          <w:sz w:val="22"/>
          <w:szCs w:val="22"/>
        </w:rPr>
      </w:pPr>
      <w:r>
        <w:rPr>
          <w:b/>
          <w:bCs/>
          <w:sz w:val="22"/>
          <w:szCs w:val="22"/>
        </w:rPr>
        <w:t>Úvodní ustanovení</w:t>
      </w:r>
    </w:p>
    <w:p w:rsidR="00550AAD" w:rsidRDefault="00550AAD" w:rsidP="00550AAD">
      <w:pPr>
        <w:numPr>
          <w:ilvl w:val="0"/>
          <w:numId w:val="1"/>
        </w:numPr>
        <w:ind w:left="284" w:hanging="284"/>
        <w:jc w:val="both"/>
        <w:rPr>
          <w:sz w:val="22"/>
          <w:szCs w:val="22"/>
        </w:rPr>
      </w:pPr>
      <w:r>
        <w:rPr>
          <w:sz w:val="22"/>
          <w:szCs w:val="22"/>
        </w:rPr>
        <w:t xml:space="preserve">Původce je právnickou nebo podnikající fyzickou osobou, která při své nevýrobní činnosti produkuje komunální odpad nebo odpady z obalů z papíru, plastů, skla a kovů, ve smyslu § 62 odst. 2 zákona o odpadech. </w:t>
      </w:r>
    </w:p>
    <w:p w:rsidR="00550AAD" w:rsidRDefault="00550AAD" w:rsidP="00550AAD">
      <w:pPr>
        <w:numPr>
          <w:ilvl w:val="0"/>
          <w:numId w:val="1"/>
        </w:numPr>
        <w:ind w:left="284" w:hanging="284"/>
        <w:jc w:val="both"/>
        <w:rPr>
          <w:sz w:val="22"/>
          <w:szCs w:val="22"/>
        </w:rPr>
      </w:pPr>
      <w:r>
        <w:rPr>
          <w:sz w:val="22"/>
          <w:szCs w:val="22"/>
        </w:rPr>
        <w:t>Za účelem plnění povinností při nakládání s komunálními odpady Obec stanovila obecně závaznou vyhláškou (dále jen „Vyhláška“) obecní systém odpadového hospodářství ve smyslu § 59 odst. 4 zákona o odpadech (dále jen „</w:t>
      </w:r>
      <w:r>
        <w:rPr>
          <w:bCs/>
          <w:sz w:val="22"/>
          <w:szCs w:val="22"/>
        </w:rPr>
        <w:t>Obecní systém</w:t>
      </w:r>
      <w:r>
        <w:rPr>
          <w:sz w:val="22"/>
          <w:szCs w:val="22"/>
        </w:rPr>
        <w:t xml:space="preserve">“). </w:t>
      </w:r>
    </w:p>
    <w:p w:rsidR="00550AAD" w:rsidRDefault="00550AAD" w:rsidP="00550AAD">
      <w:pPr>
        <w:ind w:left="360"/>
        <w:jc w:val="both"/>
        <w:rPr>
          <w:sz w:val="22"/>
          <w:szCs w:val="22"/>
        </w:rPr>
      </w:pPr>
    </w:p>
    <w:p w:rsidR="00550AAD" w:rsidRDefault="00550AAD" w:rsidP="00550AAD">
      <w:pPr>
        <w:ind w:left="284"/>
        <w:jc w:val="both"/>
        <w:rPr>
          <w:sz w:val="22"/>
          <w:szCs w:val="22"/>
        </w:rPr>
      </w:pPr>
      <w:r>
        <w:rPr>
          <w:sz w:val="22"/>
          <w:szCs w:val="22"/>
        </w:rPr>
        <w:t xml:space="preserve">Obec v souladu s § 59 odst. 5 písm. c) zákona o odpadech Vyhláškou </w:t>
      </w:r>
      <w:r>
        <w:rPr>
          <w:bCs/>
          <w:sz w:val="22"/>
          <w:szCs w:val="22"/>
        </w:rPr>
        <w:t>určila místa</w:t>
      </w:r>
      <w:r>
        <w:rPr>
          <w:sz w:val="22"/>
          <w:szCs w:val="22"/>
        </w:rPr>
        <w:t xml:space="preserve">, ve kterých je v rámci Obecního systému přebírán komunální odpad vznikající na území obce při činnosti právnických a podnikajících fyzických osob, které se do obecního systému na základě písemné smlouvy zapojí a stanovila druhy odpadu, které může právnická nebo podnikající fyzická osoba předávat do Obecního systému, způsob určení výše úhrady za zapojení do obecního systému a způsob jejího výběru.   </w:t>
      </w:r>
    </w:p>
    <w:p w:rsidR="00550AAD" w:rsidRDefault="00550AAD" w:rsidP="00550AAD">
      <w:pPr>
        <w:ind w:left="360"/>
        <w:jc w:val="both"/>
        <w:rPr>
          <w:sz w:val="22"/>
          <w:szCs w:val="22"/>
        </w:rPr>
      </w:pPr>
      <w:r>
        <w:rPr>
          <w:sz w:val="22"/>
          <w:szCs w:val="22"/>
        </w:rPr>
        <w:t xml:space="preserve"> </w:t>
      </w:r>
    </w:p>
    <w:p w:rsidR="00550AAD" w:rsidRDefault="00550AAD" w:rsidP="00550AAD">
      <w:pPr>
        <w:jc w:val="center"/>
        <w:rPr>
          <w:b/>
          <w:bCs/>
          <w:sz w:val="22"/>
          <w:szCs w:val="22"/>
        </w:rPr>
      </w:pPr>
      <w:r>
        <w:rPr>
          <w:b/>
          <w:bCs/>
          <w:sz w:val="22"/>
          <w:szCs w:val="22"/>
        </w:rPr>
        <w:t xml:space="preserve">           II.</w:t>
      </w:r>
    </w:p>
    <w:p w:rsidR="00550AAD" w:rsidRDefault="00550AAD" w:rsidP="00550AAD">
      <w:pPr>
        <w:ind w:left="720"/>
        <w:jc w:val="center"/>
        <w:rPr>
          <w:sz w:val="22"/>
          <w:szCs w:val="22"/>
        </w:rPr>
      </w:pPr>
      <w:r>
        <w:rPr>
          <w:b/>
          <w:bCs/>
          <w:sz w:val="22"/>
          <w:szCs w:val="22"/>
        </w:rPr>
        <w:t>Předmět Smlouvy</w:t>
      </w:r>
    </w:p>
    <w:p w:rsidR="00550AAD" w:rsidRDefault="00550AAD" w:rsidP="00550AAD">
      <w:pPr>
        <w:ind w:left="284"/>
        <w:jc w:val="both"/>
        <w:rPr>
          <w:sz w:val="22"/>
          <w:szCs w:val="22"/>
        </w:rPr>
      </w:pPr>
      <w:r>
        <w:rPr>
          <w:sz w:val="22"/>
          <w:szCs w:val="22"/>
        </w:rPr>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550AAD" w:rsidRDefault="00550AAD" w:rsidP="00550AAD">
      <w:pPr>
        <w:jc w:val="both"/>
        <w:rPr>
          <w:sz w:val="22"/>
          <w:szCs w:val="22"/>
        </w:rPr>
      </w:pPr>
    </w:p>
    <w:p w:rsidR="00550AAD" w:rsidRDefault="00550AAD" w:rsidP="00550AAD">
      <w:pPr>
        <w:jc w:val="both"/>
        <w:rPr>
          <w:sz w:val="22"/>
          <w:szCs w:val="22"/>
        </w:rPr>
      </w:pPr>
    </w:p>
    <w:p w:rsidR="00550AAD" w:rsidRDefault="00550AAD" w:rsidP="00550AAD">
      <w:pPr>
        <w:ind w:left="720"/>
        <w:jc w:val="center"/>
        <w:rPr>
          <w:b/>
          <w:bCs/>
          <w:sz w:val="22"/>
          <w:szCs w:val="22"/>
        </w:rPr>
      </w:pPr>
      <w:r>
        <w:rPr>
          <w:b/>
          <w:bCs/>
          <w:sz w:val="22"/>
          <w:szCs w:val="22"/>
        </w:rPr>
        <w:t>III.</w:t>
      </w:r>
    </w:p>
    <w:p w:rsidR="00550AAD" w:rsidRDefault="00550AAD" w:rsidP="00550AAD">
      <w:pPr>
        <w:ind w:left="720"/>
        <w:jc w:val="center"/>
        <w:rPr>
          <w:b/>
          <w:bCs/>
          <w:sz w:val="22"/>
          <w:szCs w:val="22"/>
        </w:rPr>
      </w:pPr>
      <w:r>
        <w:rPr>
          <w:b/>
          <w:bCs/>
          <w:sz w:val="22"/>
          <w:szCs w:val="22"/>
        </w:rPr>
        <w:t>Práva a povinnosti Původce</w:t>
      </w:r>
    </w:p>
    <w:p w:rsidR="00550AAD" w:rsidRDefault="00550AAD" w:rsidP="00550AAD">
      <w:pPr>
        <w:numPr>
          <w:ilvl w:val="0"/>
          <w:numId w:val="2"/>
        </w:numPr>
        <w:jc w:val="both"/>
        <w:rPr>
          <w:sz w:val="22"/>
          <w:szCs w:val="22"/>
        </w:rPr>
      </w:pPr>
      <w:r>
        <w:rPr>
          <w:sz w:val="22"/>
          <w:szCs w:val="22"/>
        </w:rPr>
        <w:t>Původce se zavazuje využívat Obecního systému v souladu s veškerými právními předpisy, zejména v souladu se zákonem o odpadech a Vyhláškou.</w:t>
      </w:r>
    </w:p>
    <w:p w:rsidR="00550AAD" w:rsidRDefault="00550AAD" w:rsidP="00550AAD">
      <w:pPr>
        <w:numPr>
          <w:ilvl w:val="0"/>
          <w:numId w:val="2"/>
        </w:numPr>
        <w:jc w:val="both"/>
        <w:rPr>
          <w:sz w:val="22"/>
          <w:szCs w:val="22"/>
        </w:rPr>
      </w:pPr>
      <w:r>
        <w:rPr>
          <w:sz w:val="22"/>
          <w:szCs w:val="22"/>
        </w:rPr>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550AAD" w:rsidRDefault="00550AAD" w:rsidP="00550AAD">
      <w:pPr>
        <w:numPr>
          <w:ilvl w:val="0"/>
          <w:numId w:val="2"/>
        </w:numPr>
        <w:jc w:val="both"/>
        <w:rPr>
          <w:b/>
          <w:sz w:val="22"/>
          <w:szCs w:val="22"/>
        </w:rPr>
      </w:pPr>
      <w:r>
        <w:rPr>
          <w:sz w:val="22"/>
          <w:szCs w:val="22"/>
        </w:rPr>
        <w:t xml:space="preserve">Původce se zavazuje za zapojení do Obecního systému platit Obci cenu, jejíž výše a způsob úhrady jsou upraveny v článku V. této Smlouvy. </w:t>
      </w:r>
    </w:p>
    <w:p w:rsidR="00550AAD" w:rsidRDefault="00550AAD" w:rsidP="00550AAD">
      <w:pPr>
        <w:jc w:val="center"/>
        <w:rPr>
          <w:b/>
          <w:bCs/>
          <w:sz w:val="22"/>
          <w:szCs w:val="22"/>
        </w:rPr>
      </w:pPr>
    </w:p>
    <w:p w:rsidR="00550AAD" w:rsidRDefault="00550AAD" w:rsidP="00550AAD">
      <w:pPr>
        <w:ind w:left="720"/>
        <w:jc w:val="center"/>
        <w:rPr>
          <w:b/>
          <w:bCs/>
          <w:sz w:val="22"/>
          <w:szCs w:val="22"/>
        </w:rPr>
      </w:pPr>
      <w:r>
        <w:rPr>
          <w:b/>
          <w:bCs/>
          <w:sz w:val="22"/>
          <w:szCs w:val="22"/>
        </w:rPr>
        <w:t>IV.</w:t>
      </w:r>
    </w:p>
    <w:p w:rsidR="00550AAD" w:rsidRDefault="00550AAD" w:rsidP="00550AAD">
      <w:pPr>
        <w:ind w:left="720"/>
        <w:jc w:val="center"/>
        <w:rPr>
          <w:b/>
          <w:bCs/>
          <w:sz w:val="22"/>
          <w:szCs w:val="22"/>
        </w:rPr>
      </w:pPr>
      <w:r>
        <w:rPr>
          <w:b/>
          <w:bCs/>
          <w:sz w:val="22"/>
          <w:szCs w:val="22"/>
        </w:rPr>
        <w:t>Práva a povinnosti Obce</w:t>
      </w:r>
    </w:p>
    <w:p w:rsidR="00550AAD" w:rsidRDefault="00550AAD" w:rsidP="00550AAD">
      <w:pPr>
        <w:numPr>
          <w:ilvl w:val="0"/>
          <w:numId w:val="3"/>
        </w:numPr>
        <w:jc w:val="both"/>
        <w:rPr>
          <w:sz w:val="22"/>
          <w:szCs w:val="22"/>
        </w:rPr>
      </w:pPr>
      <w:r>
        <w:rPr>
          <w:sz w:val="22"/>
          <w:szCs w:val="22"/>
        </w:rPr>
        <w:t xml:space="preserve">Obec přidělí Původci sběrnou nádobu (nebo termín svozu odpadu) v souladu s Vyhláškou a předpokládanou produkcí odpadů do 14 dnů od uzavření této Smlouvy, pokud Původce sběrnou nádobu již nevlastní. </w:t>
      </w:r>
    </w:p>
    <w:p w:rsidR="00550AAD" w:rsidRDefault="00550AAD" w:rsidP="00550AAD">
      <w:pPr>
        <w:numPr>
          <w:ilvl w:val="0"/>
          <w:numId w:val="3"/>
        </w:numPr>
        <w:jc w:val="both"/>
        <w:rPr>
          <w:sz w:val="22"/>
          <w:szCs w:val="22"/>
        </w:rPr>
      </w:pPr>
      <w:r>
        <w:rPr>
          <w:sz w:val="22"/>
          <w:szCs w:val="22"/>
        </w:rPr>
        <w:t>Obec se zavazuje, že seznámí písemně Původce s každou změnou Vyhlášky, která je součástí této Smlouvy jako Příloha č. 1, a to nejpozději do dne začátku účinnosti příslušné změny.</w:t>
      </w:r>
    </w:p>
    <w:p w:rsidR="00550AAD" w:rsidRDefault="00550AAD" w:rsidP="00550AAD">
      <w:pPr>
        <w:jc w:val="both"/>
        <w:rPr>
          <w:sz w:val="22"/>
          <w:szCs w:val="22"/>
        </w:rPr>
      </w:pPr>
    </w:p>
    <w:p w:rsidR="00550AAD" w:rsidRDefault="00550AAD" w:rsidP="00550AAD">
      <w:pPr>
        <w:ind w:left="720"/>
        <w:jc w:val="center"/>
        <w:rPr>
          <w:b/>
          <w:bCs/>
          <w:sz w:val="22"/>
          <w:szCs w:val="22"/>
        </w:rPr>
      </w:pPr>
      <w:r>
        <w:rPr>
          <w:b/>
          <w:bCs/>
          <w:sz w:val="22"/>
          <w:szCs w:val="22"/>
        </w:rPr>
        <w:t>V.</w:t>
      </w:r>
    </w:p>
    <w:p w:rsidR="00550AAD" w:rsidRDefault="00550AAD" w:rsidP="00550AAD">
      <w:pPr>
        <w:ind w:left="720"/>
        <w:jc w:val="center"/>
        <w:rPr>
          <w:b/>
          <w:bCs/>
          <w:sz w:val="22"/>
          <w:szCs w:val="22"/>
        </w:rPr>
      </w:pPr>
      <w:r>
        <w:rPr>
          <w:b/>
          <w:bCs/>
          <w:sz w:val="22"/>
          <w:szCs w:val="22"/>
        </w:rPr>
        <w:t>Cena</w:t>
      </w:r>
    </w:p>
    <w:p w:rsidR="00550AAD" w:rsidRDefault="00550AAD" w:rsidP="00550AAD">
      <w:pPr>
        <w:ind w:left="709" w:hanging="283"/>
        <w:jc w:val="both"/>
        <w:rPr>
          <w:sz w:val="22"/>
          <w:szCs w:val="22"/>
        </w:rPr>
      </w:pPr>
      <w:r>
        <w:rPr>
          <w:sz w:val="22"/>
          <w:szCs w:val="22"/>
        </w:rPr>
        <w:t>1</w:t>
      </w:r>
      <w:r>
        <w:rPr>
          <w:sz w:val="22"/>
          <w:szCs w:val="22"/>
        </w:rPr>
        <w:tab/>
        <w:t>Původce se zavazuje Obci hradit cenu za zapojení do Obecního systému ve výši a splatnosti stanovenými v Příloze č. 1 této smlouvy.</w:t>
      </w:r>
    </w:p>
    <w:p w:rsidR="00550AAD" w:rsidRDefault="00550AAD" w:rsidP="00550AAD">
      <w:pPr>
        <w:ind w:left="709" w:hanging="283"/>
        <w:jc w:val="both"/>
        <w:rPr>
          <w:sz w:val="22"/>
          <w:szCs w:val="22"/>
        </w:rPr>
      </w:pPr>
      <w:r>
        <w:rPr>
          <w:sz w:val="22"/>
          <w:szCs w:val="22"/>
        </w:rPr>
        <w:t xml:space="preserve">2. Cena sjednaná pro následující kalendářní roky se stanoví aktualizovanou Přílohou č. 1 ke Smlouvě. </w:t>
      </w:r>
    </w:p>
    <w:p w:rsidR="00550AAD" w:rsidRDefault="00550AAD" w:rsidP="00550AAD">
      <w:pPr>
        <w:ind w:left="720"/>
        <w:jc w:val="center"/>
        <w:rPr>
          <w:b/>
          <w:bCs/>
          <w:sz w:val="22"/>
          <w:szCs w:val="22"/>
        </w:rPr>
      </w:pPr>
      <w:r>
        <w:rPr>
          <w:b/>
          <w:bCs/>
          <w:sz w:val="22"/>
          <w:szCs w:val="22"/>
        </w:rPr>
        <w:t>VI.</w:t>
      </w:r>
    </w:p>
    <w:p w:rsidR="00550AAD" w:rsidRDefault="00550AAD" w:rsidP="00550AAD">
      <w:pPr>
        <w:ind w:left="720"/>
        <w:jc w:val="center"/>
        <w:rPr>
          <w:b/>
          <w:bCs/>
          <w:sz w:val="22"/>
          <w:szCs w:val="22"/>
        </w:rPr>
      </w:pPr>
      <w:r>
        <w:rPr>
          <w:b/>
          <w:bCs/>
          <w:sz w:val="22"/>
          <w:szCs w:val="22"/>
        </w:rPr>
        <w:t>Doba trvání Smlouvy</w:t>
      </w:r>
    </w:p>
    <w:p w:rsidR="00550AAD" w:rsidRDefault="00550AAD" w:rsidP="00550AAD">
      <w:pPr>
        <w:numPr>
          <w:ilvl w:val="0"/>
          <w:numId w:val="4"/>
        </w:numPr>
        <w:jc w:val="both"/>
        <w:rPr>
          <w:sz w:val="22"/>
          <w:szCs w:val="22"/>
        </w:rPr>
      </w:pPr>
      <w:r>
        <w:rPr>
          <w:sz w:val="22"/>
          <w:szCs w:val="22"/>
        </w:rPr>
        <w:t>Tato Smlouva se uzavírá na dobu neurčitou.</w:t>
      </w:r>
    </w:p>
    <w:p w:rsidR="00550AAD" w:rsidRDefault="00550AAD" w:rsidP="00550AAD">
      <w:pPr>
        <w:numPr>
          <w:ilvl w:val="0"/>
          <w:numId w:val="4"/>
        </w:numPr>
        <w:jc w:val="both"/>
        <w:rPr>
          <w:sz w:val="22"/>
          <w:szCs w:val="22"/>
        </w:rPr>
      </w:pPr>
      <w:r>
        <w:rPr>
          <w:sz w:val="22"/>
          <w:szCs w:val="22"/>
        </w:rPr>
        <w:t>Obec má právo od Smlouvy okamžitě písemně odstoupit:</w:t>
      </w:r>
    </w:p>
    <w:p w:rsidR="00550AAD" w:rsidRDefault="00550AAD" w:rsidP="00550AAD">
      <w:pPr>
        <w:numPr>
          <w:ilvl w:val="0"/>
          <w:numId w:val="5"/>
        </w:numPr>
        <w:jc w:val="both"/>
        <w:rPr>
          <w:sz w:val="22"/>
          <w:szCs w:val="22"/>
        </w:rPr>
      </w:pPr>
      <w:r>
        <w:rPr>
          <w:sz w:val="22"/>
          <w:szCs w:val="22"/>
        </w:rPr>
        <w:t>pokud Původce nakládá s odpady v rozporu s právními předpisy, zejména v rozporu se zákonem o odpadech a Vyhláškou.</w:t>
      </w:r>
    </w:p>
    <w:p w:rsidR="00550AAD" w:rsidRDefault="00550AAD" w:rsidP="00550AAD">
      <w:pPr>
        <w:numPr>
          <w:ilvl w:val="0"/>
          <w:numId w:val="5"/>
        </w:numPr>
        <w:jc w:val="both"/>
        <w:rPr>
          <w:sz w:val="22"/>
          <w:szCs w:val="22"/>
        </w:rPr>
      </w:pPr>
      <w:r>
        <w:rPr>
          <w:sz w:val="22"/>
          <w:szCs w:val="22"/>
        </w:rPr>
        <w:t>pokud Původce využívá Obecní systému i pro odpad jiný, než stanovuje čl. I., odst. 1 této Smlouvy, zejména pokud Obecní systém využívá pro odpad z výrobní činnosti.</w:t>
      </w:r>
    </w:p>
    <w:p w:rsidR="00550AAD" w:rsidRDefault="00550AAD" w:rsidP="00550AAD">
      <w:pPr>
        <w:numPr>
          <w:ilvl w:val="0"/>
          <w:numId w:val="5"/>
        </w:numPr>
        <w:jc w:val="both"/>
        <w:rPr>
          <w:sz w:val="22"/>
          <w:szCs w:val="22"/>
        </w:rPr>
      </w:pPr>
      <w:r>
        <w:rPr>
          <w:sz w:val="22"/>
          <w:szCs w:val="22"/>
        </w:rPr>
        <w:t xml:space="preserve">při prodlení Původce se zaplacením ceny po dobu delší než jeden měsíc. </w:t>
      </w:r>
    </w:p>
    <w:p w:rsidR="00550AAD" w:rsidRDefault="00550AAD" w:rsidP="00550AAD">
      <w:pPr>
        <w:numPr>
          <w:ilvl w:val="0"/>
          <w:numId w:val="4"/>
        </w:numPr>
        <w:jc w:val="both"/>
        <w:rPr>
          <w:sz w:val="22"/>
          <w:szCs w:val="22"/>
        </w:rPr>
      </w:pPr>
      <w:r>
        <w:rPr>
          <w:sz w:val="22"/>
          <w:szCs w:val="22"/>
        </w:rPr>
        <w:t xml:space="preserve">Smlouva zaniká doručením písemného oznámení o odstoupení druhé smluvní straně. </w:t>
      </w:r>
    </w:p>
    <w:p w:rsidR="00550AAD" w:rsidRDefault="00550AAD" w:rsidP="00550AAD">
      <w:pPr>
        <w:numPr>
          <w:ilvl w:val="0"/>
          <w:numId w:val="4"/>
        </w:numPr>
        <w:jc w:val="both"/>
        <w:rPr>
          <w:sz w:val="22"/>
          <w:szCs w:val="22"/>
        </w:rPr>
      </w:pPr>
      <w:r>
        <w:rPr>
          <w:sz w:val="22"/>
          <w:szCs w:val="22"/>
        </w:rPr>
        <w:t>Odstoupením od Smlouvy nezaniká právo na náhradu škody či uhrazení úroku z prodlení.</w:t>
      </w:r>
    </w:p>
    <w:p w:rsidR="00550AAD" w:rsidRDefault="00550AAD" w:rsidP="00550AAD">
      <w:pPr>
        <w:numPr>
          <w:ilvl w:val="0"/>
          <w:numId w:val="4"/>
        </w:numPr>
        <w:jc w:val="both"/>
        <w:rPr>
          <w:sz w:val="22"/>
          <w:szCs w:val="22"/>
        </w:rPr>
      </w:pPr>
      <w:r>
        <w:rPr>
          <w:sz w:val="22"/>
          <w:szCs w:val="22"/>
        </w:rPr>
        <w:t xml:space="preserve">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w:t>
      </w:r>
    </w:p>
    <w:p w:rsidR="00550AAD" w:rsidRDefault="00550AAD" w:rsidP="00550AAD">
      <w:pPr>
        <w:ind w:left="540"/>
        <w:jc w:val="both"/>
        <w:rPr>
          <w:sz w:val="22"/>
          <w:szCs w:val="22"/>
        </w:rPr>
      </w:pPr>
    </w:p>
    <w:p w:rsidR="00550AAD" w:rsidRDefault="00550AAD" w:rsidP="00550AAD">
      <w:pPr>
        <w:ind w:left="540"/>
        <w:jc w:val="both"/>
        <w:rPr>
          <w:sz w:val="22"/>
          <w:szCs w:val="22"/>
        </w:rPr>
      </w:pPr>
    </w:p>
    <w:p w:rsidR="00550AAD" w:rsidRDefault="00550AAD" w:rsidP="00550AAD">
      <w:pPr>
        <w:ind w:left="720"/>
        <w:jc w:val="center"/>
        <w:rPr>
          <w:b/>
          <w:bCs/>
          <w:sz w:val="22"/>
          <w:szCs w:val="22"/>
        </w:rPr>
      </w:pPr>
      <w:r>
        <w:rPr>
          <w:b/>
          <w:bCs/>
          <w:sz w:val="22"/>
          <w:szCs w:val="22"/>
        </w:rPr>
        <w:t>VII.</w:t>
      </w:r>
    </w:p>
    <w:p w:rsidR="00550AAD" w:rsidRDefault="00550AAD" w:rsidP="00550AAD">
      <w:pPr>
        <w:ind w:left="720"/>
        <w:jc w:val="center"/>
        <w:rPr>
          <w:b/>
          <w:bCs/>
          <w:sz w:val="22"/>
          <w:szCs w:val="22"/>
        </w:rPr>
      </w:pPr>
      <w:r>
        <w:rPr>
          <w:b/>
          <w:bCs/>
          <w:sz w:val="22"/>
          <w:szCs w:val="22"/>
        </w:rPr>
        <w:t>Závěrečná ustanovení</w:t>
      </w:r>
    </w:p>
    <w:p w:rsidR="00550AAD" w:rsidRDefault="00550AAD" w:rsidP="00550AAD">
      <w:pPr>
        <w:numPr>
          <w:ilvl w:val="0"/>
          <w:numId w:val="6"/>
        </w:numPr>
        <w:jc w:val="both"/>
        <w:rPr>
          <w:sz w:val="22"/>
          <w:szCs w:val="22"/>
        </w:rPr>
      </w:pPr>
      <w:r>
        <w:rPr>
          <w:sz w:val="22"/>
          <w:szCs w:val="22"/>
        </w:rPr>
        <w:t>Tato Smlouva nabývá platnosti a účinnosti okamžikem podpisu oběma smluvními stranami.</w:t>
      </w:r>
    </w:p>
    <w:p w:rsidR="00550AAD" w:rsidRDefault="00550AAD" w:rsidP="00550AAD">
      <w:pPr>
        <w:numPr>
          <w:ilvl w:val="0"/>
          <w:numId w:val="6"/>
        </w:numPr>
        <w:jc w:val="both"/>
        <w:rPr>
          <w:sz w:val="22"/>
          <w:szCs w:val="22"/>
        </w:rPr>
      </w:pPr>
      <w:r>
        <w:rPr>
          <w:sz w:val="22"/>
          <w:szCs w:val="22"/>
        </w:rPr>
        <w:t>Tato Smlouva se uzavírá ve dvou vyhotoveních, z nichž každá ze smluvních stran obdrží při podpisu této Smlouvy po jednom.</w:t>
      </w:r>
    </w:p>
    <w:p w:rsidR="00550AAD" w:rsidRDefault="00550AAD" w:rsidP="00550AAD">
      <w:pPr>
        <w:numPr>
          <w:ilvl w:val="0"/>
          <w:numId w:val="6"/>
        </w:numPr>
        <w:jc w:val="both"/>
        <w:rPr>
          <w:sz w:val="22"/>
          <w:szCs w:val="22"/>
        </w:rPr>
      </w:pPr>
      <w:r>
        <w:rPr>
          <w:sz w:val="22"/>
          <w:szCs w:val="22"/>
        </w:rPr>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550AAD" w:rsidRDefault="00550AAD" w:rsidP="00550AAD">
      <w:pPr>
        <w:numPr>
          <w:ilvl w:val="0"/>
          <w:numId w:val="6"/>
        </w:numPr>
        <w:jc w:val="both"/>
        <w:rPr>
          <w:sz w:val="22"/>
          <w:szCs w:val="22"/>
        </w:rPr>
      </w:pPr>
      <w:r>
        <w:rPr>
          <w:sz w:val="22"/>
          <w:szCs w:val="22"/>
        </w:rPr>
        <w:lastRenderedPageBreak/>
        <w:t>Pro případ prodlení s plněním jakéhokoliv peněžitého závazku podle této Smlouvy se sjednává úrok z prodlení ve výši 0,05 % z dlužné částky za každý i započatý den prodlení.</w:t>
      </w:r>
    </w:p>
    <w:p w:rsidR="00550AAD" w:rsidRDefault="00550AAD" w:rsidP="00550AAD">
      <w:pPr>
        <w:ind w:left="720"/>
        <w:jc w:val="both"/>
        <w:rPr>
          <w:sz w:val="22"/>
          <w:szCs w:val="22"/>
        </w:rPr>
      </w:pPr>
    </w:p>
    <w:p w:rsidR="00550AAD" w:rsidRDefault="00550AAD" w:rsidP="00550AAD">
      <w:pPr>
        <w:numPr>
          <w:ilvl w:val="0"/>
          <w:numId w:val="6"/>
        </w:numPr>
        <w:jc w:val="both"/>
        <w:rPr>
          <w:sz w:val="22"/>
          <w:szCs w:val="22"/>
        </w:rPr>
      </w:pPr>
      <w:r>
        <w:rPr>
          <w:sz w:val="22"/>
          <w:szCs w:val="22"/>
        </w:rPr>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Pr>
          <w:sz w:val="22"/>
          <w:szCs w:val="22"/>
        </w:rPr>
        <w:t>obč</w:t>
      </w:r>
      <w:proofErr w:type="spellEnd"/>
      <w:r>
        <w:rPr>
          <w:sz w:val="22"/>
          <w:szCs w:val="22"/>
        </w:rPr>
        <w:t xml:space="preserve">. </w:t>
      </w:r>
      <w:proofErr w:type="gramStart"/>
      <w:r>
        <w:rPr>
          <w:sz w:val="22"/>
          <w:szCs w:val="22"/>
        </w:rPr>
        <w:t>soud</w:t>
      </w:r>
      <w:proofErr w:type="gramEnd"/>
      <w:r>
        <w:rPr>
          <w:sz w:val="22"/>
          <w:szCs w:val="22"/>
        </w:rPr>
        <w:t>. řádu).</w:t>
      </w:r>
    </w:p>
    <w:p w:rsidR="00550AAD" w:rsidRDefault="00550AAD" w:rsidP="00550AAD">
      <w:pPr>
        <w:numPr>
          <w:ilvl w:val="0"/>
          <w:numId w:val="6"/>
        </w:numPr>
        <w:jc w:val="both"/>
        <w:rPr>
          <w:sz w:val="22"/>
          <w:szCs w:val="22"/>
        </w:rPr>
      </w:pPr>
      <w:r>
        <w:rPr>
          <w:sz w:val="22"/>
          <w:szCs w:val="22"/>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550AAD" w:rsidRDefault="00550AAD" w:rsidP="00550AAD">
      <w:pPr>
        <w:ind w:left="720"/>
        <w:jc w:val="both"/>
        <w:rPr>
          <w:sz w:val="22"/>
          <w:szCs w:val="22"/>
        </w:rPr>
      </w:pPr>
    </w:p>
    <w:p w:rsidR="00550AAD" w:rsidRDefault="00550AAD" w:rsidP="00550AAD">
      <w:pPr>
        <w:numPr>
          <w:ilvl w:val="0"/>
          <w:numId w:val="6"/>
        </w:numPr>
        <w:jc w:val="both"/>
        <w:rPr>
          <w:sz w:val="22"/>
          <w:szCs w:val="22"/>
        </w:rPr>
      </w:pPr>
      <w:r>
        <w:rPr>
          <w:sz w:val="22"/>
          <w:szCs w:val="22"/>
        </w:rPr>
        <w:t>Fyzické osoby, které tuto Smlouvu uzavírají jménem jednotlivých smluvních stran, tímto prohlašují, že jsou plně oprávněny k platnému uzavření této Smlouvy.</w:t>
      </w:r>
    </w:p>
    <w:p w:rsidR="00550AAD" w:rsidRDefault="00550AAD" w:rsidP="00550AAD">
      <w:pPr>
        <w:ind w:left="720"/>
        <w:jc w:val="both"/>
        <w:rPr>
          <w:sz w:val="22"/>
          <w:szCs w:val="22"/>
        </w:rPr>
      </w:pPr>
    </w:p>
    <w:p w:rsidR="00550AAD" w:rsidRDefault="00550AAD" w:rsidP="00550AAD">
      <w:pPr>
        <w:numPr>
          <w:ilvl w:val="0"/>
          <w:numId w:val="6"/>
        </w:numPr>
        <w:jc w:val="both"/>
        <w:rPr>
          <w:sz w:val="22"/>
          <w:szCs w:val="22"/>
        </w:rPr>
      </w:pPr>
      <w:r>
        <w:rPr>
          <w:sz w:val="22"/>
          <w:szCs w:val="22"/>
        </w:rPr>
        <w:t>Neuplatní-li kterákoliv ze smluvních stran nějaké právo, které pro ni vyplývá z této Smlouvy nebo v souvislosti s ní, nebude to vykládáno tak, že se taková strana tohoto práva vzdává.</w:t>
      </w:r>
    </w:p>
    <w:p w:rsidR="00550AAD" w:rsidRDefault="00550AAD" w:rsidP="00550AAD">
      <w:pPr>
        <w:ind w:left="720"/>
        <w:jc w:val="both"/>
        <w:rPr>
          <w:sz w:val="22"/>
          <w:szCs w:val="22"/>
        </w:rPr>
      </w:pPr>
    </w:p>
    <w:p w:rsidR="00550AAD" w:rsidRDefault="00550AAD" w:rsidP="00550AAD">
      <w:pPr>
        <w:numPr>
          <w:ilvl w:val="0"/>
          <w:numId w:val="6"/>
        </w:numPr>
        <w:jc w:val="both"/>
        <w:rPr>
          <w:sz w:val="22"/>
          <w:szCs w:val="22"/>
        </w:rPr>
      </w:pPr>
      <w:r>
        <w:rPr>
          <w:sz w:val="22"/>
          <w:szCs w:val="22"/>
        </w:rPr>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550AAD" w:rsidRDefault="00550AAD" w:rsidP="00550AAD">
      <w:pPr>
        <w:ind w:left="720"/>
        <w:jc w:val="both"/>
        <w:rPr>
          <w:sz w:val="22"/>
          <w:szCs w:val="22"/>
        </w:rPr>
      </w:pPr>
    </w:p>
    <w:p w:rsidR="00550AAD" w:rsidRDefault="00550AAD" w:rsidP="00550AAD">
      <w:pPr>
        <w:numPr>
          <w:ilvl w:val="0"/>
          <w:numId w:val="6"/>
        </w:numPr>
        <w:jc w:val="both"/>
        <w:rPr>
          <w:sz w:val="22"/>
          <w:szCs w:val="22"/>
        </w:rPr>
      </w:pPr>
      <w:r>
        <w:rPr>
          <w:sz w:val="22"/>
          <w:szCs w:val="22"/>
        </w:rPr>
        <w:t>Smluvní strany shodně prohlašují, že si tuto Smlouvu před jejím podpisem přečetly a že byla uzavřena po vzájemném projednání podle jejich pravé a svobodné vůle, a že se dohodly o celém jejím obsahu, což stvrzují svými podpisy.</w:t>
      </w:r>
    </w:p>
    <w:p w:rsidR="00550AAD" w:rsidRDefault="00550AAD" w:rsidP="00550AAD">
      <w:pPr>
        <w:ind w:left="360"/>
        <w:jc w:val="both"/>
        <w:rPr>
          <w:sz w:val="22"/>
          <w:szCs w:val="22"/>
        </w:rPr>
      </w:pPr>
    </w:p>
    <w:p w:rsidR="00550AAD" w:rsidRDefault="00550AAD" w:rsidP="00550AAD">
      <w:pPr>
        <w:ind w:left="360"/>
        <w:jc w:val="both"/>
        <w:rPr>
          <w:sz w:val="22"/>
          <w:szCs w:val="22"/>
        </w:rPr>
      </w:pPr>
    </w:p>
    <w:p w:rsidR="00550AAD" w:rsidRDefault="00550AAD" w:rsidP="00550AAD">
      <w:pPr>
        <w:jc w:val="both"/>
        <w:rPr>
          <w:sz w:val="22"/>
          <w:szCs w:val="22"/>
        </w:rPr>
      </w:pPr>
      <w:r>
        <w:rPr>
          <w:sz w:val="22"/>
          <w:szCs w:val="22"/>
        </w:rPr>
        <w:t>Příloha č. 1: Cena za zapojení do Obecního systému pro kalendářní rok</w:t>
      </w:r>
    </w:p>
    <w:p w:rsidR="00550AAD" w:rsidRDefault="00550AAD" w:rsidP="00550AAD">
      <w:pPr>
        <w:ind w:left="540" w:hanging="540"/>
        <w:jc w:val="both"/>
        <w:rPr>
          <w:sz w:val="22"/>
          <w:szCs w:val="22"/>
        </w:rPr>
      </w:pPr>
    </w:p>
    <w:p w:rsidR="00550AAD" w:rsidRDefault="00550AAD" w:rsidP="00550AAD">
      <w:pPr>
        <w:ind w:left="540" w:hanging="540"/>
        <w:jc w:val="both"/>
        <w:rPr>
          <w:sz w:val="22"/>
          <w:szCs w:val="22"/>
        </w:rPr>
      </w:pPr>
    </w:p>
    <w:p w:rsidR="00550AAD" w:rsidRDefault="00550AAD" w:rsidP="00550AAD">
      <w:pPr>
        <w:ind w:left="540" w:hanging="540"/>
        <w:jc w:val="both"/>
        <w:rPr>
          <w:sz w:val="22"/>
          <w:szCs w:val="22"/>
        </w:rPr>
      </w:pPr>
    </w:p>
    <w:p w:rsidR="00550AAD" w:rsidRDefault="00550AAD" w:rsidP="00550AAD">
      <w:pPr>
        <w:ind w:left="540" w:hanging="540"/>
        <w:jc w:val="both"/>
        <w:rPr>
          <w:sz w:val="22"/>
          <w:szCs w:val="22"/>
        </w:rPr>
      </w:pPr>
    </w:p>
    <w:p w:rsidR="00550AAD" w:rsidRDefault="00550AAD" w:rsidP="00550AAD">
      <w:pPr>
        <w:ind w:left="540" w:hanging="540"/>
        <w:jc w:val="both"/>
        <w:rPr>
          <w:sz w:val="22"/>
          <w:szCs w:val="22"/>
        </w:rPr>
      </w:pPr>
      <w:r>
        <w:rPr>
          <w:sz w:val="22"/>
          <w:szCs w:val="22"/>
        </w:rPr>
        <w:t>V Plesné dne __. __. 2024</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50AAD" w:rsidRDefault="00550AAD" w:rsidP="00550AAD">
      <w:pPr>
        <w:ind w:left="540" w:hanging="540"/>
        <w:jc w:val="both"/>
        <w:rPr>
          <w:sz w:val="22"/>
          <w:szCs w:val="22"/>
        </w:rPr>
      </w:pPr>
    </w:p>
    <w:p w:rsidR="00550AAD" w:rsidRDefault="00550AAD" w:rsidP="00550AAD">
      <w:pPr>
        <w:ind w:left="540" w:hanging="540"/>
        <w:jc w:val="both"/>
        <w:rPr>
          <w:sz w:val="22"/>
          <w:szCs w:val="22"/>
        </w:rPr>
      </w:pPr>
      <w:r>
        <w:rPr>
          <w:sz w:val="22"/>
          <w:szCs w:val="22"/>
        </w:rPr>
        <w:t>Za Obec:</w:t>
      </w:r>
      <w:r>
        <w:rPr>
          <w:sz w:val="22"/>
          <w:szCs w:val="22"/>
        </w:rPr>
        <w:tab/>
      </w:r>
      <w:r>
        <w:rPr>
          <w:sz w:val="22"/>
          <w:szCs w:val="22"/>
        </w:rPr>
        <w:tab/>
      </w:r>
      <w:r>
        <w:rPr>
          <w:sz w:val="22"/>
          <w:szCs w:val="22"/>
        </w:rPr>
        <w:tab/>
      </w:r>
      <w:r>
        <w:rPr>
          <w:sz w:val="22"/>
          <w:szCs w:val="22"/>
        </w:rPr>
        <w:tab/>
      </w:r>
      <w:r>
        <w:rPr>
          <w:sz w:val="22"/>
          <w:szCs w:val="22"/>
        </w:rPr>
        <w:tab/>
      </w:r>
      <w:r>
        <w:rPr>
          <w:sz w:val="22"/>
          <w:szCs w:val="22"/>
        </w:rPr>
        <w:tab/>
        <w:t>Za Původce:</w:t>
      </w:r>
    </w:p>
    <w:p w:rsidR="00550AAD" w:rsidRDefault="00550AAD" w:rsidP="00550AAD">
      <w:pPr>
        <w:ind w:left="540" w:hanging="540"/>
        <w:jc w:val="both"/>
        <w:rPr>
          <w:sz w:val="22"/>
          <w:szCs w:val="22"/>
        </w:rPr>
      </w:pPr>
    </w:p>
    <w:p w:rsidR="00550AAD" w:rsidRDefault="00550AAD" w:rsidP="00550AAD">
      <w:pPr>
        <w:ind w:left="540" w:hanging="540"/>
        <w:jc w:val="both"/>
        <w:rPr>
          <w:sz w:val="22"/>
          <w:szCs w:val="22"/>
        </w:rPr>
      </w:pPr>
    </w:p>
    <w:p w:rsidR="00550AAD" w:rsidRDefault="00550AAD" w:rsidP="00550AAD">
      <w:pPr>
        <w:ind w:left="540" w:hanging="540"/>
        <w:jc w:val="both"/>
        <w:rPr>
          <w:sz w:val="22"/>
          <w:szCs w:val="22"/>
        </w:rPr>
      </w:pPr>
    </w:p>
    <w:p w:rsidR="00550AAD" w:rsidRDefault="00550AAD" w:rsidP="00550AAD">
      <w:pPr>
        <w:ind w:left="540" w:hanging="540"/>
        <w:jc w:val="both"/>
        <w:rPr>
          <w:sz w:val="22"/>
          <w:szCs w:val="22"/>
        </w:rPr>
      </w:pPr>
      <w:r>
        <w:rPr>
          <w:sz w:val="22"/>
          <w:szCs w:val="22"/>
        </w:rPr>
        <w:t>________________________</w:t>
      </w:r>
      <w:r>
        <w:rPr>
          <w:sz w:val="22"/>
          <w:szCs w:val="22"/>
        </w:rPr>
        <w:tab/>
      </w:r>
      <w:r>
        <w:rPr>
          <w:sz w:val="22"/>
          <w:szCs w:val="22"/>
        </w:rPr>
        <w:tab/>
        <w:t xml:space="preserve">                      </w:t>
      </w:r>
      <w:r>
        <w:rPr>
          <w:sz w:val="22"/>
          <w:szCs w:val="22"/>
        </w:rPr>
        <w:tab/>
        <w:t xml:space="preserve">________________________ </w:t>
      </w:r>
    </w:p>
    <w:p w:rsidR="00550AAD" w:rsidRDefault="00550AAD" w:rsidP="00550AAD">
      <w:pPr>
        <w:ind w:left="540" w:hanging="540"/>
        <w:jc w:val="both"/>
        <w:rPr>
          <w:sz w:val="22"/>
          <w:szCs w:val="22"/>
        </w:rPr>
      </w:pPr>
      <w:r>
        <w:rPr>
          <w:sz w:val="22"/>
          <w:szCs w:val="22"/>
        </w:rPr>
        <w:t xml:space="preserve">          Petr Schaller</w:t>
      </w:r>
    </w:p>
    <w:p w:rsidR="00550AAD" w:rsidRDefault="00550AAD" w:rsidP="00550AAD">
      <w:pPr>
        <w:ind w:left="540" w:hanging="540"/>
        <w:jc w:val="both"/>
        <w:rPr>
          <w:sz w:val="22"/>
          <w:szCs w:val="22"/>
        </w:rPr>
      </w:pPr>
      <w:r>
        <w:rPr>
          <w:sz w:val="22"/>
          <w:szCs w:val="22"/>
        </w:rPr>
        <w:t xml:space="preserve">         starosta města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50AAD" w:rsidRDefault="00550AAD" w:rsidP="00550AAD">
      <w:pPr>
        <w:ind w:left="540" w:hanging="540"/>
        <w:jc w:val="both"/>
        <w:rPr>
          <w:sz w:val="22"/>
          <w:szCs w:val="22"/>
        </w:rPr>
      </w:pPr>
    </w:p>
    <w:p w:rsidR="00550AAD" w:rsidRDefault="00550AAD" w:rsidP="00550AAD">
      <w:pPr>
        <w:ind w:left="540" w:hanging="540"/>
        <w:jc w:val="both"/>
        <w:rPr>
          <w:sz w:val="22"/>
          <w:szCs w:val="22"/>
        </w:rPr>
      </w:pPr>
    </w:p>
    <w:p w:rsidR="00550AAD" w:rsidRDefault="00550AAD" w:rsidP="00550AAD">
      <w:pPr>
        <w:ind w:left="540" w:hanging="540"/>
        <w:jc w:val="both"/>
        <w:rPr>
          <w:sz w:val="22"/>
          <w:szCs w:val="22"/>
        </w:rPr>
      </w:pPr>
    </w:p>
    <w:p w:rsidR="00550AAD" w:rsidRDefault="00550AAD" w:rsidP="00550AAD">
      <w:pPr>
        <w:ind w:left="540" w:hanging="540"/>
        <w:jc w:val="both"/>
        <w:rPr>
          <w:sz w:val="22"/>
          <w:szCs w:val="22"/>
        </w:rPr>
      </w:pPr>
    </w:p>
    <w:p w:rsidR="00550AAD" w:rsidRDefault="00550AAD" w:rsidP="00550AAD">
      <w:pPr>
        <w:ind w:left="540" w:hanging="540"/>
        <w:jc w:val="both"/>
      </w:pPr>
    </w:p>
    <w:p w:rsidR="00550AAD" w:rsidRDefault="00550AAD" w:rsidP="00550AAD">
      <w:pPr>
        <w:ind w:left="540" w:hanging="540"/>
        <w:jc w:val="both"/>
      </w:pPr>
    </w:p>
    <w:p w:rsidR="00550AAD" w:rsidRDefault="00550AAD" w:rsidP="00550AAD">
      <w:pPr>
        <w:ind w:left="540" w:hanging="540"/>
        <w:jc w:val="both"/>
      </w:pPr>
    </w:p>
    <w:p w:rsidR="00550AAD" w:rsidRDefault="00550AAD" w:rsidP="00550AAD">
      <w:pPr>
        <w:ind w:left="540" w:hanging="540"/>
        <w:jc w:val="both"/>
      </w:pPr>
    </w:p>
    <w:p w:rsidR="00550AAD" w:rsidRDefault="00550AAD" w:rsidP="00550AAD">
      <w:pPr>
        <w:ind w:left="540" w:hanging="540"/>
        <w:jc w:val="both"/>
      </w:pPr>
    </w:p>
    <w:p w:rsidR="00550AAD" w:rsidRDefault="00550AAD" w:rsidP="00550AAD">
      <w:pPr>
        <w:ind w:left="540" w:hanging="540"/>
        <w:jc w:val="both"/>
      </w:pPr>
      <w:bookmarkStart w:id="0" w:name="_GoBack"/>
      <w:bookmarkEnd w:id="0"/>
    </w:p>
    <w:sectPr w:rsidR="00550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954"/>
    <w:multiLevelType w:val="hybridMultilevel"/>
    <w:tmpl w:val="881279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D76A30"/>
    <w:multiLevelType w:val="hybridMultilevel"/>
    <w:tmpl w:val="5CEC5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9D7A9C"/>
    <w:multiLevelType w:val="hybridMultilevel"/>
    <w:tmpl w:val="3A54228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D"/>
    <w:rsid w:val="00027415"/>
    <w:rsid w:val="00184FDE"/>
    <w:rsid w:val="00550AAD"/>
    <w:rsid w:val="007B2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DA0B0-E76D-4F37-B0FA-91533899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0AA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50AAD"/>
    <w:pPr>
      <w:keepNext/>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50AAD"/>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550AAD"/>
    <w:pPr>
      <w:jc w:val="center"/>
    </w:pPr>
    <w:rPr>
      <w:b/>
      <w:caps/>
      <w:sz w:val="28"/>
    </w:rPr>
  </w:style>
  <w:style w:type="character" w:customStyle="1" w:styleId="ZkladntextChar">
    <w:name w:val="Základní text Char"/>
    <w:basedOn w:val="Standardnpsmoodstavce"/>
    <w:link w:val="Zkladntext"/>
    <w:rsid w:val="00550AAD"/>
    <w:rPr>
      <w:rFonts w:ascii="Times New Roman" w:eastAsia="Times New Roman" w:hAnsi="Times New Roman" w:cs="Times New Roman"/>
      <w:b/>
      <w:caps/>
      <w:sz w:val="28"/>
      <w:szCs w:val="24"/>
      <w:lang w:eastAsia="cs-CZ"/>
    </w:rPr>
  </w:style>
  <w:style w:type="character" w:styleId="Hypertextovodkaz">
    <w:name w:val="Hyperlink"/>
    <w:uiPriority w:val="99"/>
    <w:unhideWhenUsed/>
    <w:rsid w:val="00550AAD"/>
    <w:rPr>
      <w:color w:val="0563C1"/>
      <w:u w:val="single"/>
    </w:rPr>
  </w:style>
  <w:style w:type="paragraph" w:customStyle="1" w:styleId="TDCenter">
    <w:name w:val="TDCenter"/>
    <w:basedOn w:val="Normln"/>
    <w:link w:val="TDCenterChar"/>
    <w:qFormat/>
    <w:rsid w:val="00550AAD"/>
    <w:pPr>
      <w:jc w:val="center"/>
    </w:pPr>
    <w:rPr>
      <w:rFonts w:ascii="Arial" w:hAnsi="Arial" w:cs="Arial"/>
      <w:sz w:val="14"/>
      <w:szCs w:val="20"/>
    </w:rPr>
  </w:style>
  <w:style w:type="character" w:customStyle="1" w:styleId="TDCenterChar">
    <w:name w:val="TDCenter Char"/>
    <w:link w:val="TDCenter"/>
    <w:rsid w:val="00550AAD"/>
    <w:rPr>
      <w:rFonts w:ascii="Arial" w:eastAsia="Times New Roman" w:hAnsi="Arial" w:cs="Arial"/>
      <w:sz w:val="14"/>
      <w:szCs w:val="20"/>
      <w:lang w:eastAsia="cs-CZ"/>
    </w:rPr>
  </w:style>
  <w:style w:type="paragraph" w:customStyle="1" w:styleId="THCenter">
    <w:name w:val="THCenter"/>
    <w:basedOn w:val="Normln"/>
    <w:link w:val="THCenterChar"/>
    <w:qFormat/>
    <w:rsid w:val="00550AAD"/>
    <w:pPr>
      <w:jc w:val="center"/>
    </w:pPr>
    <w:rPr>
      <w:rFonts w:ascii="Arial" w:hAnsi="Arial" w:cs="Arial"/>
      <w:b/>
      <w:sz w:val="16"/>
      <w:szCs w:val="20"/>
    </w:rPr>
  </w:style>
  <w:style w:type="character" w:customStyle="1" w:styleId="THCenterChar">
    <w:name w:val="THCenter Char"/>
    <w:link w:val="THCenter"/>
    <w:rsid w:val="00550AAD"/>
    <w:rPr>
      <w:rFonts w:ascii="Arial" w:eastAsia="Times New Roman" w:hAnsi="Arial" w:cs="Arial"/>
      <w:b/>
      <w:sz w:val="16"/>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1136</Words>
  <Characters>6703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Kunciterová</dc:creator>
  <cp:keywords/>
  <dc:description/>
  <cp:lastModifiedBy>Miroslava Kunciterová</cp:lastModifiedBy>
  <cp:revision>3</cp:revision>
  <dcterms:created xsi:type="dcterms:W3CDTF">2024-03-21T11:37:00Z</dcterms:created>
  <dcterms:modified xsi:type="dcterms:W3CDTF">2024-03-21T12:16:00Z</dcterms:modified>
</cp:coreProperties>
</file>