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30" w:rsidRDefault="00B54E30">
      <w:pPr>
        <w:spacing w:line="1" w:lineRule="exact"/>
      </w:pPr>
    </w:p>
    <w:p w:rsidR="00B54E30" w:rsidRDefault="00B54E30">
      <w:pPr>
        <w:framePr w:wrap="none" w:vAnchor="page" w:hAnchor="page" w:x="64" w:y="42"/>
        <w:rPr>
          <w:sz w:val="2"/>
          <w:szCs w:val="2"/>
        </w:rPr>
      </w:pPr>
    </w:p>
    <w:p w:rsidR="00B54E30" w:rsidRDefault="00B54E30">
      <w:pPr>
        <w:framePr w:wrap="none" w:vAnchor="page" w:hAnchor="page" w:x="2296" w:y="618"/>
        <w:rPr>
          <w:sz w:val="2"/>
          <w:szCs w:val="2"/>
        </w:rPr>
      </w:pPr>
    </w:p>
    <w:p w:rsidR="00B54E30" w:rsidRDefault="00B54E30">
      <w:pPr>
        <w:framePr w:wrap="none" w:vAnchor="page" w:hAnchor="page" w:x="7570" w:y="225"/>
      </w:pPr>
    </w:p>
    <w:p w:rsidR="00B54E30" w:rsidRDefault="00371C4B">
      <w:pPr>
        <w:pStyle w:val="Nadpis20"/>
        <w:framePr w:w="9709" w:h="1004" w:hRule="exact" w:wrap="none" w:vAnchor="page" w:hAnchor="page" w:x="1198" w:y="1154"/>
        <w:shd w:val="clear" w:color="auto" w:fill="auto"/>
        <w:spacing w:after="0"/>
        <w:ind w:left="1191" w:right="1199"/>
      </w:pPr>
      <w:bookmarkStart w:id="0" w:name="bookmark0"/>
      <w:bookmarkStart w:id="1" w:name="bookmark1"/>
      <w:r>
        <w:t>Dohoda o poskytování a vyúčtování služeb</w:t>
      </w:r>
      <w:r>
        <w:br/>
        <w:t>spojených s odběrem elektřiny pro zastávkové označníky</w:t>
      </w:r>
      <w:r>
        <w:br/>
        <w:t>(dále jen „dohoda“)</w:t>
      </w:r>
      <w:bookmarkEnd w:id="0"/>
      <w:bookmarkEnd w:id="1"/>
    </w:p>
    <w:p w:rsidR="00B54E30" w:rsidRDefault="00371C4B">
      <w:pPr>
        <w:pStyle w:val="Nadpis40"/>
        <w:framePr w:w="9709" w:h="1904" w:hRule="exact" w:wrap="none" w:vAnchor="page" w:hAnchor="page" w:x="1198" w:y="2526"/>
        <w:shd w:val="clear" w:color="auto" w:fill="auto"/>
        <w:spacing w:after="0"/>
        <w:jc w:val="left"/>
      </w:pPr>
      <w:bookmarkStart w:id="2" w:name="bookmark2"/>
      <w:bookmarkStart w:id="3" w:name="bookmark3"/>
      <w:r>
        <w:rPr>
          <w:u w:val="none"/>
        </w:rPr>
        <w:t>LE CYGNE SPORTIF GROUPE a.s.</w:t>
      </w:r>
      <w:bookmarkEnd w:id="2"/>
      <w:bookmarkEnd w:id="3"/>
    </w:p>
    <w:p w:rsidR="00B54E30" w:rsidRDefault="00371C4B">
      <w:pPr>
        <w:pStyle w:val="Zkladntext1"/>
        <w:framePr w:w="9709" w:h="1904" w:hRule="exact" w:wrap="none" w:vAnchor="page" w:hAnchor="page" w:x="1198" w:y="2526"/>
        <w:shd w:val="clear" w:color="auto" w:fill="auto"/>
        <w:spacing w:line="257" w:lineRule="auto"/>
      </w:pPr>
      <w:r>
        <w:t xml:space="preserve">zapsána v obchodním rejstříku vedeném Městským soudem v Praze, oddíl B, vložka 2889 sídlo: Závišova </w:t>
      </w:r>
      <w:r>
        <w:t>66/13, 140 00 Praha 4 - Vinohrady</w:t>
      </w:r>
    </w:p>
    <w:p w:rsidR="00B54E30" w:rsidRDefault="00371C4B">
      <w:pPr>
        <w:pStyle w:val="Zkladntext1"/>
        <w:framePr w:w="9709" w:h="1904" w:hRule="exact" w:wrap="none" w:vAnchor="page" w:hAnchor="page" w:x="1198" w:y="2526"/>
        <w:shd w:val="clear" w:color="auto" w:fill="auto"/>
        <w:spacing w:line="257" w:lineRule="auto"/>
      </w:pPr>
      <w:r>
        <w:t>IČ: 61860042, DIČ: CZ61860042</w:t>
      </w:r>
    </w:p>
    <w:p w:rsidR="00B54E30" w:rsidRDefault="00371C4B">
      <w:pPr>
        <w:pStyle w:val="Zkladntext1"/>
        <w:framePr w:w="9709" w:h="1904" w:hRule="exact" w:wrap="none" w:vAnchor="page" w:hAnchor="page" w:x="1198" w:y="2526"/>
        <w:shd w:val="clear" w:color="auto" w:fill="auto"/>
        <w:spacing w:line="257" w:lineRule="auto"/>
      </w:pPr>
      <w:r>
        <w:t>zastoupená: Ing. Libuší Vojáčkovou, místopředsedou představenstva, a Ing. Janem Hamáčkem, členem představenstva bankovní spojení: Komerční banka, a.s.</w:t>
      </w:r>
    </w:p>
    <w:p w:rsidR="00B54E30" w:rsidRDefault="00371C4B">
      <w:pPr>
        <w:pStyle w:val="Zkladntext1"/>
        <w:framePr w:w="9709" w:h="1904" w:hRule="exact" w:wrap="none" w:vAnchor="page" w:hAnchor="page" w:x="1198" w:y="2526"/>
        <w:shd w:val="clear" w:color="auto" w:fill="auto"/>
        <w:spacing w:line="257" w:lineRule="auto"/>
      </w:pPr>
      <w:r>
        <w:t>číslo účtu: 4011300031/0100</w:t>
      </w:r>
    </w:p>
    <w:p w:rsidR="00B54E30" w:rsidRDefault="00371C4B">
      <w:pPr>
        <w:pStyle w:val="Zkladntext1"/>
        <w:framePr w:w="9709" w:h="1904" w:hRule="exact" w:wrap="none" w:vAnchor="page" w:hAnchor="page" w:x="1198" w:y="2526"/>
        <w:shd w:val="clear" w:color="auto" w:fill="auto"/>
        <w:spacing w:line="257" w:lineRule="auto"/>
        <w:rPr>
          <w:sz w:val="20"/>
          <w:szCs w:val="20"/>
        </w:rPr>
      </w:pPr>
      <w:r>
        <w:t xml:space="preserve">(dále jen </w:t>
      </w:r>
      <w:r>
        <w:rPr>
          <w:b/>
          <w:bCs/>
          <w:sz w:val="20"/>
          <w:szCs w:val="20"/>
        </w:rPr>
        <w:t>„po</w:t>
      </w:r>
      <w:r>
        <w:rPr>
          <w:b/>
          <w:bCs/>
          <w:sz w:val="20"/>
          <w:szCs w:val="20"/>
        </w:rPr>
        <w:t>skytovatel“)</w:t>
      </w:r>
    </w:p>
    <w:p w:rsidR="00B54E30" w:rsidRDefault="00371C4B">
      <w:pPr>
        <w:pStyle w:val="Jin0"/>
        <w:framePr w:wrap="none" w:vAnchor="page" w:hAnchor="page" w:x="1220" w:y="4621"/>
        <w:shd w:val="clear" w:color="auto" w:fill="auto"/>
        <w:spacing w:line="240" w:lineRule="auto"/>
        <w:jc w:val="both"/>
      </w:pPr>
      <w:r>
        <w:t>a</w:t>
      </w:r>
    </w:p>
    <w:p w:rsidR="00B54E30" w:rsidRDefault="00371C4B">
      <w:pPr>
        <w:pStyle w:val="Nadpis40"/>
        <w:framePr w:w="9709" w:h="2135" w:hRule="exact" w:wrap="none" w:vAnchor="page" w:hAnchor="page" w:x="1198" w:y="5064"/>
        <w:shd w:val="clear" w:color="auto" w:fill="auto"/>
        <w:spacing w:after="0"/>
        <w:jc w:val="left"/>
      </w:pPr>
      <w:bookmarkStart w:id="4" w:name="bookmark4"/>
      <w:bookmarkStart w:id="5" w:name="bookmark5"/>
      <w:r>
        <w:rPr>
          <w:u w:val="none"/>
        </w:rPr>
        <w:t>DOPRAVNÍ PODNIK měst Mostu a Litvínova, a.s.</w:t>
      </w:r>
      <w:bookmarkEnd w:id="4"/>
      <w:bookmarkEnd w:id="5"/>
    </w:p>
    <w:p w:rsidR="00B54E30" w:rsidRDefault="00371C4B">
      <w:pPr>
        <w:pStyle w:val="Zkladntext1"/>
        <w:framePr w:w="9709" w:h="2135" w:hRule="exact" w:wrap="none" w:vAnchor="page" w:hAnchor="page" w:x="1198" w:y="5064"/>
        <w:shd w:val="clear" w:color="auto" w:fill="auto"/>
        <w:spacing w:line="257" w:lineRule="auto"/>
      </w:pPr>
      <w:r>
        <w:t>zapsána v obchodním rejstříku vedeném Krajským soudem v Ústí nad Labem, oddíl B, vložka 660 sídlo: tř. Budovatelů 1395/23, 434 01 Most</w:t>
      </w:r>
    </w:p>
    <w:p w:rsidR="00B54E30" w:rsidRDefault="00371C4B">
      <w:pPr>
        <w:pStyle w:val="Zkladntext1"/>
        <w:framePr w:w="9709" w:h="2135" w:hRule="exact" w:wrap="none" w:vAnchor="page" w:hAnchor="page" w:x="1198" w:y="5064"/>
        <w:shd w:val="clear" w:color="auto" w:fill="auto"/>
        <w:spacing w:line="257" w:lineRule="auto"/>
      </w:pPr>
      <w:r>
        <w:t>IČ: 62242504, DIČ: CZ62242504</w:t>
      </w:r>
    </w:p>
    <w:p w:rsidR="00B54E30" w:rsidRDefault="00371C4B">
      <w:pPr>
        <w:pStyle w:val="Zkladntext1"/>
        <w:framePr w:w="9709" w:h="2135" w:hRule="exact" w:wrap="none" w:vAnchor="page" w:hAnchor="page" w:x="1198" w:y="5064"/>
        <w:shd w:val="clear" w:color="auto" w:fill="auto"/>
        <w:spacing w:line="257" w:lineRule="auto"/>
      </w:pPr>
      <w:r>
        <w:t xml:space="preserve">zastoupená: Zdeňkem Brabcem, </w:t>
      </w:r>
      <w:r>
        <w:t xml:space="preserve">předsedou představenstva, a Bc. Danielem </w:t>
      </w:r>
      <w:proofErr w:type="spellStart"/>
      <w:r>
        <w:t>Dunovským</w:t>
      </w:r>
      <w:proofErr w:type="spellEnd"/>
      <w:r>
        <w:t>, místopředsedou představenstva</w:t>
      </w:r>
    </w:p>
    <w:p w:rsidR="00B54E30" w:rsidRDefault="00371C4B">
      <w:pPr>
        <w:pStyle w:val="Zkladntext1"/>
        <w:framePr w:w="9709" w:h="2135" w:hRule="exact" w:wrap="none" w:vAnchor="page" w:hAnchor="page" w:x="1198" w:y="5064"/>
        <w:shd w:val="clear" w:color="auto" w:fill="auto"/>
        <w:spacing w:line="257" w:lineRule="auto"/>
      </w:pPr>
      <w:r>
        <w:t>bankovní spojení:</w:t>
      </w:r>
    </w:p>
    <w:p w:rsidR="00B54E30" w:rsidRDefault="00371C4B">
      <w:pPr>
        <w:pStyle w:val="Zkladntext1"/>
        <w:framePr w:w="9709" w:h="2135" w:hRule="exact" w:wrap="none" w:vAnchor="page" w:hAnchor="page" w:x="1198" w:y="5064"/>
        <w:shd w:val="clear" w:color="auto" w:fill="auto"/>
        <w:spacing w:line="257" w:lineRule="auto"/>
      </w:pPr>
      <w:r>
        <w:t>číslo účtu:</w:t>
      </w:r>
    </w:p>
    <w:p w:rsidR="00B54E30" w:rsidRDefault="00371C4B">
      <w:pPr>
        <w:pStyle w:val="Zkladntext1"/>
        <w:framePr w:w="9709" w:h="2135" w:hRule="exact" w:wrap="none" w:vAnchor="page" w:hAnchor="page" w:x="1198" w:y="5064"/>
        <w:shd w:val="clear" w:color="auto" w:fill="auto"/>
        <w:spacing w:line="257" w:lineRule="auto"/>
        <w:rPr>
          <w:sz w:val="20"/>
          <w:szCs w:val="20"/>
        </w:rPr>
      </w:pPr>
      <w:r>
        <w:t xml:space="preserve">(dále jen </w:t>
      </w:r>
      <w:r>
        <w:rPr>
          <w:b/>
          <w:bCs/>
          <w:sz w:val="20"/>
          <w:szCs w:val="20"/>
        </w:rPr>
        <w:t>„odběratel“)</w:t>
      </w:r>
    </w:p>
    <w:p w:rsidR="00B54E30" w:rsidRDefault="00371C4B">
      <w:pPr>
        <w:pStyle w:val="Zkladntext1"/>
        <w:framePr w:w="9709" w:h="1717" w:hRule="exact" w:wrap="none" w:vAnchor="page" w:hAnchor="page" w:x="1198" w:y="7595"/>
        <w:shd w:val="clear" w:color="auto" w:fill="auto"/>
        <w:spacing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I.</w:t>
      </w:r>
    </w:p>
    <w:p w:rsidR="00B54E30" w:rsidRDefault="00371C4B">
      <w:pPr>
        <w:pStyle w:val="Nadpis40"/>
        <w:framePr w:w="9709" w:h="1717" w:hRule="exact" w:wrap="none" w:vAnchor="page" w:hAnchor="page" w:x="1198" w:y="7595"/>
        <w:shd w:val="clear" w:color="auto" w:fill="auto"/>
        <w:spacing w:after="60"/>
      </w:pPr>
      <w:bookmarkStart w:id="6" w:name="bookmark6"/>
      <w:bookmarkStart w:id="7" w:name="bookmark7"/>
      <w:r>
        <w:t>Předmět a účel dohody</w:t>
      </w:r>
      <w:bookmarkEnd w:id="6"/>
      <w:bookmarkEnd w:id="7"/>
    </w:p>
    <w:p w:rsidR="00B54E30" w:rsidRDefault="00371C4B">
      <w:pPr>
        <w:pStyle w:val="Zkladntext1"/>
        <w:framePr w:w="9709" w:h="1717" w:hRule="exact" w:wrap="none" w:vAnchor="page" w:hAnchor="page" w:x="1198" w:y="7595"/>
        <w:shd w:val="clear" w:color="auto" w:fill="auto"/>
        <w:jc w:val="both"/>
      </w:pPr>
      <w:r>
        <w:t>Předmětem této dohody je ujednání o vzájemných závazcích smluvních stran, spočívajících v poskyt</w:t>
      </w:r>
      <w:r>
        <w:t>ování trvalých nebo objednaných služeb za úplatu a závazku odběratele na základě vyúčtování poskytnutých služeb a činností je včas a řádně zaplatit na účet společnosti LE CYGNE SPORTIF GROUPE a.s. jako poskytovateli zajišťujícímu služby.</w:t>
      </w:r>
    </w:p>
    <w:p w:rsidR="00B54E30" w:rsidRDefault="00371C4B">
      <w:pPr>
        <w:pStyle w:val="Zkladntext1"/>
        <w:framePr w:w="9709" w:h="1717" w:hRule="exact" w:wrap="none" w:vAnchor="page" w:hAnchor="page" w:x="1198" w:y="7595"/>
        <w:shd w:val="clear" w:color="auto" w:fill="auto"/>
        <w:jc w:val="both"/>
      </w:pPr>
      <w:r>
        <w:t>Účelem této dohody</w:t>
      </w:r>
      <w:r>
        <w:t xml:space="preserve"> je zajistit a poskytnout odběrateli řádné plnění služeb, jejichž poskytování je spojeno s odběrem elektrické energie za účelem napájení zastávkových označníků tak, jak je ujednáno níže v této dohodě.</w:t>
      </w:r>
    </w:p>
    <w:p w:rsidR="00B54E30" w:rsidRDefault="00371C4B">
      <w:pPr>
        <w:pStyle w:val="Zkladntext1"/>
        <w:framePr w:w="9709" w:h="2869" w:hRule="exact" w:wrap="none" w:vAnchor="page" w:hAnchor="page" w:x="1198" w:y="9726"/>
        <w:shd w:val="clear" w:color="auto" w:fill="auto"/>
        <w:spacing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II.</w:t>
      </w:r>
    </w:p>
    <w:p w:rsidR="00B54E30" w:rsidRDefault="00371C4B">
      <w:pPr>
        <w:pStyle w:val="Nadpis40"/>
        <w:framePr w:w="9709" w:h="2869" w:hRule="exact" w:wrap="none" w:vAnchor="page" w:hAnchor="page" w:x="1198" w:y="9726"/>
        <w:shd w:val="clear" w:color="auto" w:fill="auto"/>
        <w:spacing w:after="0"/>
      </w:pPr>
      <w:bookmarkStart w:id="8" w:name="bookmark8"/>
      <w:bookmarkStart w:id="9" w:name="bookmark9"/>
      <w:r>
        <w:t>Doba trvání dohody</w:t>
      </w:r>
      <w:bookmarkEnd w:id="8"/>
      <w:bookmarkEnd w:id="9"/>
    </w:p>
    <w:p w:rsidR="00B54E30" w:rsidRDefault="00371C4B">
      <w:pPr>
        <w:pStyle w:val="Zkladntext1"/>
        <w:framePr w:w="9709" w:h="2869" w:hRule="exact" w:wrap="none" w:vAnchor="page" w:hAnchor="page" w:x="1198" w:y="9726"/>
        <w:numPr>
          <w:ilvl w:val="0"/>
          <w:numId w:val="1"/>
        </w:numPr>
        <w:shd w:val="clear" w:color="auto" w:fill="auto"/>
        <w:tabs>
          <w:tab w:val="left" w:pos="301"/>
        </w:tabs>
        <w:rPr>
          <w:sz w:val="20"/>
          <w:szCs w:val="20"/>
        </w:rPr>
      </w:pPr>
      <w:r>
        <w:t xml:space="preserve">Tato dohoda je uzavřená na dobu </w:t>
      </w:r>
      <w:r>
        <w:t xml:space="preserve">neurčitou </w:t>
      </w:r>
      <w:proofErr w:type="gramStart"/>
      <w:r>
        <w:t>od .1.6.</w:t>
      </w:r>
      <w:r>
        <w:rPr>
          <w:b/>
          <w:bCs/>
          <w:sz w:val="20"/>
          <w:szCs w:val="20"/>
        </w:rPr>
        <w:t>2018</w:t>
      </w:r>
      <w:proofErr w:type="gramEnd"/>
    </w:p>
    <w:p w:rsidR="00B54E30" w:rsidRDefault="00371C4B">
      <w:pPr>
        <w:pStyle w:val="Zkladntext1"/>
        <w:framePr w:w="9709" w:h="2869" w:hRule="exact" w:wrap="none" w:vAnchor="page" w:hAnchor="page" w:x="1198" w:y="9726"/>
        <w:numPr>
          <w:ilvl w:val="0"/>
          <w:numId w:val="1"/>
        </w:numPr>
        <w:shd w:val="clear" w:color="auto" w:fill="auto"/>
        <w:tabs>
          <w:tab w:val="left" w:pos="323"/>
        </w:tabs>
        <w:ind w:left="240" w:hanging="240"/>
        <w:jc w:val="both"/>
      </w:pPr>
      <w:r>
        <w:t>Poskytovatel je vlastníkem obchodního domu na adrese 9. května 2043, Litvínov, zapsaného na LV 528 pro katastrální území Horní Litvínov, obec Litvínov, u Katastrálního úřadu pro Ústecký kraj, Katastrální pracoviště Most, a umožní odběrat</w:t>
      </w:r>
      <w:r>
        <w:t>eli odběr elektrické energie.</w:t>
      </w:r>
    </w:p>
    <w:p w:rsidR="00B54E30" w:rsidRDefault="00371C4B">
      <w:pPr>
        <w:pStyle w:val="Zkladntext1"/>
        <w:framePr w:w="9709" w:h="2869" w:hRule="exact" w:wrap="none" w:vAnchor="page" w:hAnchor="page" w:x="1198" w:y="9726"/>
        <w:numPr>
          <w:ilvl w:val="0"/>
          <w:numId w:val="1"/>
        </w:numPr>
        <w:shd w:val="clear" w:color="auto" w:fill="auto"/>
        <w:tabs>
          <w:tab w:val="left" w:pos="323"/>
        </w:tabs>
        <w:ind w:left="240" w:hanging="240"/>
        <w:jc w:val="both"/>
      </w:pPr>
      <w:r>
        <w:t>Smluvní strany mohou ukončit tuto dohodu výpovědí bez uvedení důvodu s výpovědní dobou, která činí tři měsíce a začíná běžet první den měsíce následujícího po doručení výpovědi druhé smluvní straně.</w:t>
      </w:r>
    </w:p>
    <w:p w:rsidR="00B54E30" w:rsidRDefault="00371C4B">
      <w:pPr>
        <w:pStyle w:val="Zkladntext1"/>
        <w:framePr w:w="9709" w:h="2869" w:hRule="exact" w:wrap="none" w:vAnchor="page" w:hAnchor="page" w:x="1198" w:y="9726"/>
        <w:numPr>
          <w:ilvl w:val="0"/>
          <w:numId w:val="1"/>
        </w:numPr>
        <w:shd w:val="clear" w:color="auto" w:fill="auto"/>
        <w:tabs>
          <w:tab w:val="left" w:pos="330"/>
        </w:tabs>
        <w:ind w:left="240" w:hanging="240"/>
        <w:jc w:val="both"/>
      </w:pPr>
      <w:r>
        <w:t>V případě porušení některéh</w:t>
      </w:r>
      <w:r>
        <w:t>o v této dohodě uvedeného závazku ze strany odběratele, zejména je-li odběratel vlastním zaviněním o více jak jeden měsíc v prodlení s úhradami za poskytované služby, může poskytovatel vypovědět tuto dohodu bez výpovědní doby s tím, že tato dohoda bude uko</w:t>
      </w:r>
      <w:r>
        <w:t>nčena dnem doručení výpovědi odběrateli.</w:t>
      </w:r>
    </w:p>
    <w:p w:rsidR="00B54E30" w:rsidRDefault="00371C4B">
      <w:pPr>
        <w:pStyle w:val="Zkladntext1"/>
        <w:framePr w:w="9709" w:h="2416" w:hRule="exact" w:wrap="none" w:vAnchor="page" w:hAnchor="page" w:x="1198" w:y="12782"/>
        <w:shd w:val="clear" w:color="auto" w:fill="auto"/>
        <w:spacing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III.</w:t>
      </w:r>
    </w:p>
    <w:p w:rsidR="00B54E30" w:rsidRDefault="00371C4B">
      <w:pPr>
        <w:pStyle w:val="Nadpis40"/>
        <w:framePr w:w="9709" w:h="2416" w:hRule="exact" w:wrap="none" w:vAnchor="page" w:hAnchor="page" w:x="1198" w:y="12782"/>
        <w:shd w:val="clear" w:color="auto" w:fill="auto"/>
        <w:spacing w:after="60"/>
      </w:pPr>
      <w:bookmarkStart w:id="10" w:name="bookmark10"/>
      <w:bookmarkStart w:id="11" w:name="bookmark11"/>
      <w:r>
        <w:t>Druhy služeb a činností</w:t>
      </w:r>
      <w:bookmarkEnd w:id="10"/>
      <w:bookmarkEnd w:id="11"/>
    </w:p>
    <w:p w:rsidR="00B54E30" w:rsidRDefault="00371C4B">
      <w:pPr>
        <w:pStyle w:val="Zkladntext1"/>
        <w:framePr w:w="9709" w:h="2416" w:hRule="exact" w:wrap="none" w:vAnchor="page" w:hAnchor="page" w:x="1198" w:y="12782"/>
        <w:numPr>
          <w:ilvl w:val="0"/>
          <w:numId w:val="2"/>
        </w:numPr>
        <w:shd w:val="clear" w:color="auto" w:fill="auto"/>
        <w:tabs>
          <w:tab w:val="left" w:pos="305"/>
        </w:tabs>
        <w:spacing w:line="240" w:lineRule="auto"/>
      </w:pPr>
      <w:r>
        <w:t>Spotřeba trvalých služeb: odběr elektrické energie.</w:t>
      </w:r>
    </w:p>
    <w:p w:rsidR="00B54E30" w:rsidRDefault="00371C4B">
      <w:pPr>
        <w:pStyle w:val="Zkladntext1"/>
        <w:framePr w:w="9709" w:h="2416" w:hRule="exact" w:wrap="none" w:vAnchor="page" w:hAnchor="page" w:x="1198" w:y="12782"/>
        <w:numPr>
          <w:ilvl w:val="0"/>
          <w:numId w:val="2"/>
        </w:numPr>
        <w:shd w:val="clear" w:color="auto" w:fill="auto"/>
        <w:tabs>
          <w:tab w:val="left" w:pos="319"/>
        </w:tabs>
        <w:spacing w:line="240" w:lineRule="auto"/>
        <w:ind w:left="240" w:hanging="240"/>
        <w:jc w:val="both"/>
      </w:pPr>
      <w:r>
        <w:t xml:space="preserve">Dočasně objednané služby budou poskytovány na základě předchozí písemné objednávky odběratele doručené poskytovateli. Platby za tyto </w:t>
      </w:r>
      <w:r>
        <w:t>služby budou prováděny zvlášť mimo účtování trvalých služeb.</w:t>
      </w:r>
    </w:p>
    <w:p w:rsidR="00B54E30" w:rsidRDefault="00371C4B">
      <w:pPr>
        <w:pStyle w:val="Zkladntext1"/>
        <w:framePr w:w="9709" w:h="2416" w:hRule="exact" w:wrap="none" w:vAnchor="page" w:hAnchor="page" w:x="1198" w:y="12782"/>
        <w:numPr>
          <w:ilvl w:val="0"/>
          <w:numId w:val="2"/>
        </w:numPr>
        <w:shd w:val="clear" w:color="auto" w:fill="auto"/>
        <w:tabs>
          <w:tab w:val="left" w:pos="323"/>
        </w:tabs>
        <w:spacing w:line="240" w:lineRule="auto"/>
        <w:ind w:left="240" w:hanging="240"/>
        <w:jc w:val="both"/>
      </w:pPr>
      <w:r>
        <w:t>Ostatní dočasně objednané služby a činnosti: kontrolní činnost, odpočty, kalkulace, údržbářská služba bez dodání materiálu.</w:t>
      </w:r>
    </w:p>
    <w:p w:rsidR="00B54E30" w:rsidRDefault="00371C4B">
      <w:pPr>
        <w:pStyle w:val="Zkladntext1"/>
        <w:framePr w:w="9709" w:h="2416" w:hRule="exact" w:wrap="none" w:vAnchor="page" w:hAnchor="page" w:x="1198" w:y="12782"/>
        <w:numPr>
          <w:ilvl w:val="0"/>
          <w:numId w:val="2"/>
        </w:numPr>
        <w:shd w:val="clear" w:color="auto" w:fill="auto"/>
        <w:tabs>
          <w:tab w:val="left" w:pos="330"/>
        </w:tabs>
        <w:spacing w:line="240" w:lineRule="auto"/>
      </w:pPr>
      <w:r>
        <w:t>Další služby a činnosti: dle požadavků odběratele.</w:t>
      </w:r>
    </w:p>
    <w:p w:rsidR="00B54E30" w:rsidRDefault="00371C4B">
      <w:pPr>
        <w:pStyle w:val="Zkladntext1"/>
        <w:framePr w:w="9709" w:h="2416" w:hRule="exact" w:wrap="none" w:vAnchor="page" w:hAnchor="page" w:x="1198" w:y="12782"/>
        <w:numPr>
          <w:ilvl w:val="0"/>
          <w:numId w:val="2"/>
        </w:numPr>
        <w:shd w:val="clear" w:color="auto" w:fill="auto"/>
        <w:tabs>
          <w:tab w:val="left" w:pos="330"/>
        </w:tabs>
        <w:spacing w:line="240" w:lineRule="auto"/>
        <w:ind w:left="240" w:hanging="240"/>
        <w:jc w:val="both"/>
      </w:pPr>
      <w:r>
        <w:t>Poskytovatel neodpov</w:t>
      </w:r>
      <w:r>
        <w:t>ídá za přerušení dodávky elektřiny způsobené odstávkou primárního dodavatele nebo regulací při vyhlášení havarijních situací.</w:t>
      </w:r>
    </w:p>
    <w:p w:rsidR="00B54E30" w:rsidRDefault="00B54E30">
      <w:pPr>
        <w:spacing w:line="1" w:lineRule="exact"/>
        <w:sectPr w:rsidR="00B54E3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54E30" w:rsidRDefault="00B54E30">
      <w:pPr>
        <w:spacing w:line="1" w:lineRule="exact"/>
      </w:pPr>
    </w:p>
    <w:p w:rsidR="00B54E30" w:rsidRDefault="00371C4B">
      <w:pPr>
        <w:framePr w:wrap="none" w:vAnchor="page" w:hAnchor="page" w:x="9601" w:y="5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420495" cy="774065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42049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E30" w:rsidRDefault="00371C4B">
      <w:pPr>
        <w:pStyle w:val="Nadpis40"/>
        <w:framePr w:w="9702" w:h="2164" w:hRule="exact" w:wrap="none" w:vAnchor="page" w:hAnchor="page" w:x="1202" w:y="1349"/>
        <w:shd w:val="clear" w:color="auto" w:fill="auto"/>
        <w:spacing w:after="60"/>
      </w:pPr>
      <w:bookmarkStart w:id="12" w:name="bookmark12"/>
      <w:bookmarkStart w:id="13" w:name="bookmark13"/>
      <w:r>
        <w:t>Platební podmínky</w:t>
      </w:r>
      <w:bookmarkEnd w:id="12"/>
      <w:bookmarkEnd w:id="13"/>
    </w:p>
    <w:p w:rsidR="00B54E30" w:rsidRDefault="00371C4B">
      <w:pPr>
        <w:pStyle w:val="Zkladntext1"/>
        <w:framePr w:w="9702" w:h="2164" w:hRule="exact" w:wrap="none" w:vAnchor="page" w:hAnchor="page" w:x="1202" w:y="1349"/>
        <w:numPr>
          <w:ilvl w:val="0"/>
          <w:numId w:val="3"/>
        </w:numPr>
        <w:shd w:val="clear" w:color="auto" w:fill="auto"/>
        <w:tabs>
          <w:tab w:val="left" w:pos="248"/>
        </w:tabs>
        <w:spacing w:line="240" w:lineRule="auto"/>
        <w:ind w:left="220" w:hanging="220"/>
        <w:jc w:val="both"/>
      </w:pPr>
      <w:r>
        <w:t xml:space="preserve">Úhrada za poskytování služeb a činností trvalé povahy (elektrická energie) bude </w:t>
      </w:r>
      <w:r>
        <w:t>odběratelem hrazena v měsíčních zálohových platbách ve výši uvedené v zálohovém listu, vystaveném poskytovatelem, se splatností vždy do 10. dne příslušného kalendářního měsíce na účet poskytovatele uvedený v záhlaví této dohody. Zálohový list tvoří přílohu</w:t>
      </w:r>
      <w:r>
        <w:t xml:space="preserve"> č. 1 této dohody a je nedílnou součástí dohody.</w:t>
      </w:r>
    </w:p>
    <w:p w:rsidR="00B54E30" w:rsidRDefault="00371C4B">
      <w:pPr>
        <w:pStyle w:val="Zkladntext1"/>
        <w:framePr w:w="9702" w:h="2164" w:hRule="exact" w:wrap="none" w:vAnchor="page" w:hAnchor="page" w:x="1202" w:y="1349"/>
        <w:numPr>
          <w:ilvl w:val="0"/>
          <w:numId w:val="3"/>
        </w:numPr>
        <w:shd w:val="clear" w:color="auto" w:fill="auto"/>
        <w:tabs>
          <w:tab w:val="left" w:pos="270"/>
        </w:tabs>
        <w:spacing w:line="240" w:lineRule="auto"/>
        <w:ind w:left="220" w:hanging="220"/>
        <w:jc w:val="both"/>
      </w:pPr>
      <w:r>
        <w:t xml:space="preserve">Vyúčtování dle skutečné spotřeby (zjištěné na základě údajů podružného měření, vynásobené sazbou, kterou platí poskytovatel distributorovi elektrické energie) bude provedeno po uplynutí kalendářního roku na </w:t>
      </w:r>
      <w:r>
        <w:t xml:space="preserve">základě daňového dokladu nejpozději do </w:t>
      </w:r>
      <w:proofErr w:type="gramStart"/>
      <w:r>
        <w:t>30.6. následujícího</w:t>
      </w:r>
      <w:proofErr w:type="gramEnd"/>
      <w:r>
        <w:t xml:space="preserve"> kalendářního roku, resp. po obdržení všech faktur od dodavatelů jednotlivých služeb. Odběratel se zavazuje na své náklady zajistit podružné měřící zařízení.</w:t>
      </w:r>
    </w:p>
    <w:p w:rsidR="00B54E30" w:rsidRDefault="00371C4B">
      <w:pPr>
        <w:pStyle w:val="Zkladntext1"/>
        <w:framePr w:w="9702" w:h="3348" w:hRule="exact" w:wrap="none" w:vAnchor="page" w:hAnchor="page" w:x="1202" w:y="3685"/>
        <w:shd w:val="clear" w:color="auto" w:fill="auto"/>
        <w:spacing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V.</w:t>
      </w:r>
    </w:p>
    <w:p w:rsidR="00B54E30" w:rsidRDefault="00371C4B">
      <w:pPr>
        <w:pStyle w:val="Zkladntext1"/>
        <w:framePr w:w="9702" w:h="3348" w:hRule="exact" w:wrap="none" w:vAnchor="page" w:hAnchor="page" w:x="1202" w:y="3685"/>
        <w:shd w:val="clear" w:color="auto" w:fill="auto"/>
        <w:spacing w:after="60"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Ostatní ujednání</w:t>
      </w:r>
    </w:p>
    <w:p w:rsidR="00B54E30" w:rsidRDefault="00371C4B">
      <w:pPr>
        <w:pStyle w:val="Zkladntext1"/>
        <w:framePr w:w="9702" w:h="3348" w:hRule="exact" w:wrap="none" w:vAnchor="page" w:hAnchor="page" w:x="1202" w:y="3685"/>
        <w:numPr>
          <w:ilvl w:val="0"/>
          <w:numId w:val="4"/>
        </w:numPr>
        <w:shd w:val="clear" w:color="auto" w:fill="auto"/>
        <w:tabs>
          <w:tab w:val="left" w:pos="248"/>
        </w:tabs>
        <w:spacing w:line="254" w:lineRule="auto"/>
        <w:ind w:left="220" w:hanging="220"/>
        <w:jc w:val="both"/>
      </w:pPr>
      <w:r>
        <w:t xml:space="preserve">Případné změny či </w:t>
      </w:r>
      <w:r>
        <w:t>doplnění této dohody lze provést pouze písemně formou číslovaných dodatků k dohodě, přičemž se smluvní strany zavazují řádně, promptně a spravedlivě zvážit návrhy druhé smluvní strany.</w:t>
      </w:r>
    </w:p>
    <w:p w:rsidR="00B54E30" w:rsidRDefault="00371C4B">
      <w:pPr>
        <w:pStyle w:val="Zkladntext1"/>
        <w:framePr w:w="9702" w:h="3348" w:hRule="exact" w:wrap="none" w:vAnchor="page" w:hAnchor="page" w:x="1202" w:y="3685"/>
        <w:numPr>
          <w:ilvl w:val="0"/>
          <w:numId w:val="4"/>
        </w:numPr>
        <w:shd w:val="clear" w:color="auto" w:fill="auto"/>
        <w:tabs>
          <w:tab w:val="left" w:pos="270"/>
        </w:tabs>
        <w:spacing w:line="254" w:lineRule="auto"/>
        <w:ind w:left="220" w:hanging="220"/>
        <w:jc w:val="both"/>
      </w:pPr>
      <w:r>
        <w:t xml:space="preserve">Všechny písemné a ústní úkony dle této dohody se uskutečňují na adresy </w:t>
      </w:r>
      <w:r>
        <w:t>smluvních stran, které jsou uvedené v záhlaví této dohody. Písemnosti budou druhé smluvní straně zasílané doporučenou poštou s tím, že budou považovány za nesporně doručené nejpozději 5. (pátý) den následující po dni, kdy byla písemnost podána na poště.</w:t>
      </w:r>
    </w:p>
    <w:p w:rsidR="00B54E30" w:rsidRDefault="00371C4B">
      <w:pPr>
        <w:pStyle w:val="Zkladntext1"/>
        <w:framePr w:w="9702" w:h="3348" w:hRule="exact" w:wrap="none" w:vAnchor="page" w:hAnchor="page" w:x="1202" w:y="3685"/>
        <w:numPr>
          <w:ilvl w:val="0"/>
          <w:numId w:val="4"/>
        </w:numPr>
        <w:shd w:val="clear" w:color="auto" w:fill="auto"/>
        <w:tabs>
          <w:tab w:val="left" w:pos="270"/>
        </w:tabs>
        <w:spacing w:line="254" w:lineRule="auto"/>
        <w:ind w:left="220" w:hanging="220"/>
        <w:jc w:val="both"/>
      </w:pPr>
      <w:r>
        <w:t>Pr</w:t>
      </w:r>
      <w:r>
        <w:t>ávní vztahy smluvních stran touto dohodou výslovně neupravené se řídí příslušnými ustanoveními občanského zákoníku a dalšími obecně závaznými českými právními předpisy.</w:t>
      </w:r>
    </w:p>
    <w:p w:rsidR="00B54E30" w:rsidRDefault="00371C4B">
      <w:pPr>
        <w:pStyle w:val="Zkladntext1"/>
        <w:framePr w:w="9702" w:h="3348" w:hRule="exact" w:wrap="none" w:vAnchor="page" w:hAnchor="page" w:x="1202" w:y="3685"/>
        <w:numPr>
          <w:ilvl w:val="0"/>
          <w:numId w:val="4"/>
        </w:numPr>
        <w:shd w:val="clear" w:color="auto" w:fill="auto"/>
        <w:tabs>
          <w:tab w:val="left" w:pos="270"/>
        </w:tabs>
        <w:spacing w:line="254" w:lineRule="auto"/>
        <w:ind w:left="220" w:hanging="220"/>
        <w:jc w:val="both"/>
      </w:pPr>
      <w:r>
        <w:t xml:space="preserve">Tato dohoda byla vyhotovena ve třech vyhotoveních, poskytovatel obdrží dvě vyhotovení, </w:t>
      </w:r>
      <w:r>
        <w:t>odběratel obdrží jedno vyhotovení.</w:t>
      </w:r>
    </w:p>
    <w:p w:rsidR="00B54E30" w:rsidRDefault="00371C4B">
      <w:pPr>
        <w:pStyle w:val="Zkladntext1"/>
        <w:framePr w:w="9702" w:h="3348" w:hRule="exact" w:wrap="none" w:vAnchor="page" w:hAnchor="page" w:x="1202" w:y="3685"/>
        <w:numPr>
          <w:ilvl w:val="0"/>
          <w:numId w:val="4"/>
        </w:numPr>
        <w:shd w:val="clear" w:color="auto" w:fill="auto"/>
        <w:tabs>
          <w:tab w:val="left" w:pos="270"/>
        </w:tabs>
        <w:spacing w:line="254" w:lineRule="auto"/>
        <w:ind w:left="220" w:hanging="220"/>
        <w:jc w:val="both"/>
      </w:pPr>
      <w:r>
        <w:t xml:space="preserve">Smluvní strany shodně prohlašují, že tato dohoda byla sepsána na základě jejich pravé, svobodné a vážně projevené vůle, a že jim nejsou známy žádné okolnosti a překážky bránící uzavření této dohody. </w:t>
      </w:r>
      <w:proofErr w:type="spellStart"/>
      <w:r>
        <w:rPr>
          <w:vertAlign w:val="subscript"/>
        </w:rPr>
        <w:t>nc</w:t>
      </w:r>
      <w:proofErr w:type="spellEnd"/>
    </w:p>
    <w:p w:rsidR="00B54E30" w:rsidRDefault="00371C4B">
      <w:pPr>
        <w:pStyle w:val="Zkladntext1"/>
        <w:framePr w:w="9702" w:h="3348" w:hRule="exact" w:wrap="none" w:vAnchor="page" w:hAnchor="page" w:x="1202" w:y="3685"/>
        <w:numPr>
          <w:ilvl w:val="0"/>
          <w:numId w:val="4"/>
        </w:numPr>
        <w:shd w:val="clear" w:color="auto" w:fill="auto"/>
        <w:tabs>
          <w:tab w:val="left" w:pos="270"/>
        </w:tabs>
        <w:spacing w:line="254" w:lineRule="auto"/>
        <w:jc w:val="both"/>
        <w:rPr>
          <w:sz w:val="20"/>
          <w:szCs w:val="20"/>
        </w:rPr>
      </w:pPr>
      <w:r>
        <w:t xml:space="preserve">Tato dohoda nabývá </w:t>
      </w:r>
      <w:r>
        <w:t xml:space="preserve">platnosti dnem podpisu obou smluvních stran a účinnosti </w:t>
      </w:r>
      <w:proofErr w:type="gramStart"/>
      <w:r>
        <w:t xml:space="preserve">dnem </w:t>
      </w:r>
      <w:r>
        <w:rPr>
          <w:b/>
          <w:bCs/>
          <w:sz w:val="20"/>
          <w:szCs w:val="20"/>
        </w:rPr>
        <w:t>...V..!.’“?’</w:t>
      </w:r>
      <w:proofErr w:type="gramEnd"/>
    </w:p>
    <w:p w:rsidR="00B54E30" w:rsidRDefault="00371C4B">
      <w:pPr>
        <w:pStyle w:val="Zkladntext1"/>
        <w:framePr w:wrap="none" w:vAnchor="page" w:hAnchor="page" w:x="1209" w:y="7433"/>
        <w:shd w:val="clear" w:color="auto" w:fill="auto"/>
        <w:spacing w:line="240" w:lineRule="auto"/>
      </w:pPr>
      <w:r>
        <w:t>V Praze dne</w:t>
      </w:r>
    </w:p>
    <w:p w:rsidR="00B54E30" w:rsidRDefault="00371C4B">
      <w:pPr>
        <w:pStyle w:val="Titulekobrzku0"/>
        <w:framePr w:wrap="none" w:vAnchor="page" w:hAnchor="page" w:x="1198" w:y="8145"/>
        <w:shd w:val="clear" w:color="auto" w:fill="auto"/>
      </w:pPr>
      <w:r>
        <w:t>Za poskytovatele:</w:t>
      </w:r>
    </w:p>
    <w:p w:rsidR="00B54E30" w:rsidRDefault="00371C4B">
      <w:pPr>
        <w:pStyle w:val="Titulekobrzku0"/>
        <w:framePr w:wrap="none" w:vAnchor="page" w:hAnchor="page" w:x="2595" w:y="8509"/>
        <w:shd w:val="clear" w:color="auto" w:fill="auto"/>
        <w:ind w:left="61" w:right="58"/>
        <w:rPr>
          <w:sz w:val="44"/>
          <w:szCs w:val="44"/>
        </w:rPr>
      </w:pPr>
      <w:r>
        <w:rPr>
          <w:rFonts w:ascii="Arial" w:eastAsia="Arial" w:hAnsi="Arial" w:cs="Arial"/>
          <w:color w:val="516297"/>
          <w:sz w:val="44"/>
          <w:szCs w:val="44"/>
        </w:rPr>
        <w:t>/</w:t>
      </w:r>
    </w:p>
    <w:p w:rsidR="00B54E30" w:rsidRDefault="00371C4B">
      <w:pPr>
        <w:pStyle w:val="Zkladntext1"/>
        <w:framePr w:w="3056" w:h="2545" w:hRule="exact" w:wrap="none" w:vAnchor="page" w:hAnchor="page" w:x="1198" w:y="9056"/>
        <w:shd w:val="clear" w:color="auto" w:fill="auto"/>
        <w:spacing w:line="254" w:lineRule="auto"/>
        <w:ind w:left="15" w:right="40"/>
      </w:pPr>
      <w:r>
        <w:t>LE CYGNE SPORTCE GROUPE a.s.</w:t>
      </w:r>
    </w:p>
    <w:p w:rsidR="00B54E30" w:rsidRDefault="00371C4B">
      <w:pPr>
        <w:pStyle w:val="Zkladntext1"/>
        <w:framePr w:w="3056" w:h="2545" w:hRule="exact" w:wrap="none" w:vAnchor="page" w:hAnchor="page" w:x="1198" w:y="9056"/>
        <w:shd w:val="clear" w:color="auto" w:fill="auto"/>
        <w:spacing w:line="254" w:lineRule="auto"/>
        <w:ind w:left="15" w:right="1070"/>
      </w:pPr>
      <w:r>
        <w:t>Ing. Libuše Vojáčko</w:t>
      </w:r>
      <w:r>
        <w:t>vá</w:t>
      </w:r>
    </w:p>
    <w:p w:rsidR="00B54E30" w:rsidRDefault="00371C4B">
      <w:pPr>
        <w:pStyle w:val="Zkladntext1"/>
        <w:framePr w:w="3056" w:h="2545" w:hRule="exact" w:wrap="none" w:vAnchor="page" w:hAnchor="page" w:x="1198" w:y="9056"/>
        <w:shd w:val="clear" w:color="auto" w:fill="auto"/>
        <w:spacing w:after="660" w:line="254" w:lineRule="auto"/>
        <w:ind w:left="15" w:right="11"/>
      </w:pPr>
      <w:r>
        <w:t>Místopředseda před</w:t>
      </w:r>
      <w:r>
        <w:t>stavenstva</w:t>
      </w:r>
    </w:p>
    <w:p w:rsidR="00B54E30" w:rsidRDefault="00371C4B">
      <w:pPr>
        <w:pStyle w:val="Zkladntext1"/>
        <w:framePr w:w="3056" w:h="2545" w:hRule="exact" w:wrap="none" w:vAnchor="page" w:hAnchor="page" w:x="1198" w:y="9056"/>
        <w:shd w:val="clear" w:color="auto" w:fill="auto"/>
        <w:spacing w:line="254" w:lineRule="auto"/>
        <w:ind w:left="15" w:right="11"/>
      </w:pPr>
      <w:r>
        <w:t>LE CYGNE SP0RTIF GROUPE a.s.</w:t>
      </w:r>
      <w:r>
        <w:br/>
        <w:t xml:space="preserve">Ing. Jan </w:t>
      </w:r>
      <w:proofErr w:type="spellStart"/>
      <w:r>
        <w:t>Hámáček</w:t>
      </w:r>
      <w:proofErr w:type="spellEnd"/>
      <w:r>
        <w:br/>
        <w:t>člen představenstva</w:t>
      </w:r>
    </w:p>
    <w:p w:rsidR="00B54E30" w:rsidRDefault="00371C4B">
      <w:pPr>
        <w:pStyle w:val="Zkladntext30"/>
        <w:framePr w:w="3056" w:h="2545" w:hRule="exact" w:wrap="none" w:vAnchor="page" w:hAnchor="page" w:x="1198" w:y="9056"/>
        <w:shd w:val="clear" w:color="auto" w:fill="auto"/>
        <w:spacing w:after="0"/>
        <w:ind w:right="11"/>
      </w:pPr>
      <w:r>
        <w:t>/</w:t>
      </w:r>
    </w:p>
    <w:p w:rsidR="00B54E30" w:rsidRDefault="00371C4B">
      <w:pPr>
        <w:pStyle w:val="Titulekobrzku0"/>
        <w:framePr w:wrap="none" w:vAnchor="page" w:hAnchor="page" w:x="6166" w:y="7451"/>
        <w:shd w:val="clear" w:color="auto" w:fill="auto"/>
      </w:pPr>
      <w:r>
        <w:t>V</w:t>
      </w:r>
      <w:r>
        <w:t xml:space="preserve"> Mostě dne</w:t>
      </w:r>
    </w:p>
    <w:p w:rsidR="00B54E30" w:rsidRDefault="00371C4B">
      <w:pPr>
        <w:pStyle w:val="Titulekobrzku0"/>
        <w:framePr w:wrap="none" w:vAnchor="page" w:hAnchor="page" w:x="6156" w:y="8142"/>
        <w:shd w:val="clear" w:color="auto" w:fill="auto"/>
        <w:ind w:left="8" w:right="36"/>
      </w:pPr>
      <w:r>
        <w:t>Za odběratele:</w:t>
      </w:r>
    </w:p>
    <w:p w:rsidR="00B54E30" w:rsidRDefault="00371C4B">
      <w:pPr>
        <w:pStyle w:val="Titulekobrzku0"/>
        <w:framePr w:wrap="none" w:vAnchor="page" w:hAnchor="page" w:x="8434" w:y="9827"/>
        <w:shd w:val="clear" w:color="auto" w:fill="auto"/>
        <w:ind w:left="7"/>
        <w:jc w:val="both"/>
        <w:rPr>
          <w:sz w:val="12"/>
          <w:szCs w:val="12"/>
        </w:rPr>
      </w:pPr>
      <w:r>
        <w:rPr>
          <w:color w:val="516297"/>
          <w:sz w:val="12"/>
          <w:szCs w:val="12"/>
        </w:rPr>
        <w:t>Z'</w:t>
      </w:r>
    </w:p>
    <w:p w:rsidR="00B54E30" w:rsidRDefault="00371C4B">
      <w:pPr>
        <w:pStyle w:val="Zkladntext1"/>
        <w:framePr w:w="2012" w:h="745" w:hRule="exact" w:wrap="none" w:vAnchor="page" w:hAnchor="page" w:x="6156" w:y="9042"/>
        <w:shd w:val="clear" w:color="auto" w:fill="auto"/>
        <w:spacing w:line="240" w:lineRule="auto"/>
        <w:ind w:left="8" w:right="785"/>
      </w:pPr>
      <w:r>
        <w:t>DOPRAVNÍ P</w:t>
      </w:r>
    </w:p>
    <w:p w:rsidR="00B54E30" w:rsidRDefault="00371C4B">
      <w:pPr>
        <w:pStyle w:val="Zkladntext1"/>
        <w:framePr w:w="2012" w:h="745" w:hRule="exact" w:wrap="none" w:vAnchor="page" w:hAnchor="page" w:x="6156" w:y="9042"/>
        <w:shd w:val="clear" w:color="auto" w:fill="auto"/>
        <w:spacing w:line="240" w:lineRule="auto"/>
        <w:ind w:left="8" w:right="1357"/>
      </w:pPr>
      <w:r>
        <w:t>Zdeněk Brabec</w:t>
      </w:r>
    </w:p>
    <w:p w:rsidR="00B54E30" w:rsidRDefault="00371C4B">
      <w:pPr>
        <w:pStyle w:val="Zkladntext1"/>
        <w:framePr w:w="2012" w:h="745" w:hRule="exact" w:wrap="none" w:vAnchor="page" w:hAnchor="page" w:x="6156" w:y="9042"/>
        <w:shd w:val="clear" w:color="auto" w:fill="auto"/>
        <w:spacing w:line="240" w:lineRule="auto"/>
        <w:ind w:left="8" w:right="11"/>
      </w:pPr>
      <w:r>
        <w:t>předseda představenstva</w:t>
      </w:r>
    </w:p>
    <w:p w:rsidR="00B54E30" w:rsidRDefault="00371C4B">
      <w:pPr>
        <w:pStyle w:val="Zkladntext1"/>
        <w:framePr w:wrap="none" w:vAnchor="page" w:hAnchor="page" w:x="7855" w:y="9053"/>
        <w:shd w:val="clear" w:color="auto" w:fill="auto"/>
        <w:spacing w:line="240" w:lineRule="auto"/>
        <w:ind w:left="18" w:right="7"/>
      </w:pPr>
      <w:r>
        <w:t>K</w:t>
      </w:r>
      <w:r>
        <w:t>. měst Mostu a Litvínova, a.s.</w:t>
      </w:r>
    </w:p>
    <w:p w:rsidR="00B54E30" w:rsidRDefault="00B54E30">
      <w:pPr>
        <w:framePr w:wrap="none" w:vAnchor="page" w:hAnchor="page" w:x="6638" w:y="9938"/>
        <w:rPr>
          <w:sz w:val="2"/>
          <w:szCs w:val="2"/>
        </w:rPr>
      </w:pPr>
    </w:p>
    <w:p w:rsidR="00B54E30" w:rsidRDefault="00371C4B">
      <w:pPr>
        <w:pStyle w:val="Titulekobrzku0"/>
        <w:framePr w:wrap="none" w:vAnchor="page" w:hAnchor="page" w:x="8200" w:y="10439"/>
        <w:shd w:val="clear" w:color="auto" w:fill="auto"/>
        <w:ind w:left="25" w:right="7"/>
      </w:pPr>
      <w:proofErr w:type="spellStart"/>
      <w:r>
        <w:t>ěst</w:t>
      </w:r>
      <w:proofErr w:type="spellEnd"/>
      <w:r>
        <w:t xml:space="preserve"> Mostu a Litvínova, a.s.</w:t>
      </w:r>
    </w:p>
    <w:p w:rsidR="00B54E30" w:rsidRDefault="00371C4B">
      <w:pPr>
        <w:pStyle w:val="Zkladntext1"/>
        <w:framePr w:w="2459" w:h="752" w:hRule="exact" w:wrap="none" w:vAnchor="page" w:hAnchor="page" w:x="6156" w:y="10428"/>
        <w:shd w:val="clear" w:color="auto" w:fill="auto"/>
        <w:spacing w:line="257" w:lineRule="auto"/>
        <w:ind w:left="15" w:right="731"/>
      </w:pPr>
      <w:r>
        <w:t xml:space="preserve">DOPRAVNÍ </w:t>
      </w:r>
      <w:proofErr w:type="spellStart"/>
      <w:r>
        <w:t>PODNIk</w:t>
      </w:r>
      <w:proofErr w:type="spellEnd"/>
    </w:p>
    <w:p w:rsidR="00B54E30" w:rsidRDefault="00371C4B">
      <w:pPr>
        <w:pStyle w:val="Zkladntext1"/>
        <w:framePr w:w="2459" w:h="752" w:hRule="exact" w:wrap="none" w:vAnchor="page" w:hAnchor="page" w:x="6156" w:y="10428"/>
        <w:shd w:val="clear" w:color="auto" w:fill="auto"/>
        <w:spacing w:line="257" w:lineRule="auto"/>
        <w:ind w:left="8" w:right="903"/>
      </w:pPr>
      <w:r>
        <w:t xml:space="preserve">Bc. Daniel </w:t>
      </w:r>
      <w:proofErr w:type="spellStart"/>
      <w:r>
        <w:t>Dunovsky</w:t>
      </w:r>
      <w:proofErr w:type="spellEnd"/>
    </w:p>
    <w:p w:rsidR="00B54E30" w:rsidRDefault="00371C4B">
      <w:pPr>
        <w:pStyle w:val="Zkladntext1"/>
        <w:framePr w:w="2459" w:h="752" w:hRule="exact" w:wrap="none" w:vAnchor="page" w:hAnchor="page" w:x="6156" w:y="10428"/>
        <w:shd w:val="clear" w:color="auto" w:fill="auto"/>
        <w:spacing w:line="257" w:lineRule="auto"/>
        <w:ind w:left="8" w:right="11"/>
      </w:pPr>
      <w:r>
        <w:t>místopředseda představenstva</w:t>
      </w:r>
    </w:p>
    <w:p w:rsidR="00B54E30" w:rsidRDefault="00B54E30">
      <w:pPr>
        <w:spacing w:line="1" w:lineRule="exact"/>
        <w:sectPr w:rsidR="00B54E3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54E30" w:rsidRDefault="00B54E30">
      <w:pPr>
        <w:spacing w:line="1" w:lineRule="exact"/>
      </w:pPr>
    </w:p>
    <w:p w:rsidR="00B54E30" w:rsidRDefault="00371C4B">
      <w:pPr>
        <w:pStyle w:val="Nadpis10"/>
        <w:framePr w:w="9716" w:h="961" w:hRule="exact" w:wrap="none" w:vAnchor="page" w:hAnchor="page" w:x="1258" w:y="1538"/>
        <w:shd w:val="clear" w:color="auto" w:fill="auto"/>
      </w:pPr>
      <w:bookmarkStart w:id="14" w:name="bookmark14"/>
      <w:bookmarkStart w:id="15" w:name="bookmark15"/>
      <w:r>
        <w:t>ZÁLOHOVÝ LIST</w:t>
      </w:r>
      <w:bookmarkEnd w:id="14"/>
      <w:bookmarkEnd w:id="15"/>
    </w:p>
    <w:p w:rsidR="00B54E30" w:rsidRDefault="00371C4B">
      <w:pPr>
        <w:pStyle w:val="Nadpis30"/>
        <w:framePr w:w="9716" w:h="961" w:hRule="exact" w:wrap="none" w:vAnchor="page" w:hAnchor="page" w:x="1258" w:y="1538"/>
        <w:shd w:val="clear" w:color="auto" w:fill="auto"/>
        <w:spacing w:after="0"/>
        <w:rPr>
          <w:sz w:val="28"/>
          <w:szCs w:val="28"/>
        </w:rPr>
      </w:pPr>
      <w:bookmarkStart w:id="16" w:name="bookmark16"/>
      <w:bookmarkStart w:id="17" w:name="bookmark17"/>
      <w:r>
        <w:t xml:space="preserve">platný od </w:t>
      </w:r>
      <w:r>
        <w:rPr>
          <w:rFonts w:ascii="Arial" w:eastAsia="Arial" w:hAnsi="Arial" w:cs="Arial"/>
          <w:sz w:val="26"/>
          <w:szCs w:val="26"/>
        </w:rPr>
        <w:t>–</w:t>
      </w:r>
      <w:r>
        <w:rPr>
          <w:rFonts w:ascii="Arial" w:eastAsia="Arial" w:hAnsi="Arial" w:cs="Arial"/>
          <w:sz w:val="26"/>
          <w:szCs w:val="26"/>
        </w:rPr>
        <w:t xml:space="preserve"> </w:t>
      </w:r>
      <w:bookmarkEnd w:id="16"/>
      <w:bookmarkEnd w:id="17"/>
      <w:proofErr w:type="gramStart"/>
      <w:r>
        <w:rPr>
          <w:rFonts w:ascii="Arial" w:eastAsia="Arial" w:hAnsi="Arial" w:cs="Arial"/>
          <w:sz w:val="26"/>
          <w:szCs w:val="26"/>
        </w:rPr>
        <w:t>1.6.2018</w:t>
      </w:r>
      <w:proofErr w:type="gramEnd"/>
    </w:p>
    <w:p w:rsidR="00B54E30" w:rsidRDefault="00371C4B">
      <w:pPr>
        <w:pStyle w:val="Zkladntext1"/>
        <w:framePr w:w="9716" w:h="490" w:hRule="exact" w:wrap="none" w:vAnchor="page" w:hAnchor="page" w:x="1258" w:y="2877"/>
        <w:shd w:val="clear" w:color="auto" w:fill="auto"/>
        <w:tabs>
          <w:tab w:val="left" w:pos="2133"/>
        </w:tabs>
        <w:spacing w:line="240" w:lineRule="auto"/>
        <w:ind w:firstLine="720"/>
        <w:jc w:val="both"/>
      </w:pPr>
      <w:r>
        <w:t>Objekt:</w:t>
      </w:r>
      <w:r>
        <w:tab/>
        <w:t>9. května 2043, Litvínov</w:t>
      </w:r>
    </w:p>
    <w:p w:rsidR="00B54E30" w:rsidRDefault="00371C4B">
      <w:pPr>
        <w:pStyle w:val="Zkladntext1"/>
        <w:framePr w:w="9716" w:h="490" w:hRule="exact" w:wrap="none" w:vAnchor="page" w:hAnchor="page" w:x="1258" w:y="2877"/>
        <w:shd w:val="clear" w:color="auto" w:fill="auto"/>
        <w:tabs>
          <w:tab w:val="left" w:pos="2133"/>
        </w:tabs>
        <w:spacing w:line="240" w:lineRule="auto"/>
        <w:ind w:firstLine="720"/>
      </w:pPr>
      <w:r>
        <w:t>Odběratel:</w:t>
      </w:r>
      <w:r>
        <w:tab/>
        <w:t>DOPRAVNÍ PODNIK měst Mostu a Litvínova, a.s., IČ: 62242504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7"/>
        <w:gridCol w:w="1706"/>
        <w:gridCol w:w="1357"/>
        <w:gridCol w:w="1264"/>
      </w:tblGrid>
      <w:tr w:rsidR="00B54E30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E30" w:rsidRDefault="00371C4B">
            <w:pPr>
              <w:pStyle w:val="Jin0"/>
              <w:framePr w:w="6444" w:h="1148" w:wrap="none" w:vAnchor="page" w:hAnchor="page" w:x="2896" w:y="4029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Období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E30" w:rsidRDefault="00371C4B">
            <w:pPr>
              <w:pStyle w:val="Jin0"/>
              <w:framePr w:w="6444" w:h="1148" w:wrap="none" w:vAnchor="page" w:hAnchor="page" w:x="2896" w:y="4029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Přepočítací koeficienty</w:t>
            </w:r>
          </w:p>
        </w:tc>
      </w:tr>
      <w:tr w:rsidR="00B54E30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E30" w:rsidRDefault="00371C4B">
            <w:pPr>
              <w:pStyle w:val="Jin0"/>
              <w:framePr w:w="6444" w:h="1148" w:wrap="none" w:vAnchor="page" w:hAnchor="page" w:x="2896" w:y="4029"/>
              <w:shd w:val="clear" w:color="auto" w:fill="auto"/>
              <w:spacing w:line="240" w:lineRule="auto"/>
              <w:jc w:val="center"/>
            </w:pPr>
            <w:proofErr w:type="gramStart"/>
            <w:r>
              <w:t>od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E30" w:rsidRDefault="00371C4B">
            <w:pPr>
              <w:pStyle w:val="Jin0"/>
              <w:framePr w:w="6444" w:h="1148" w:wrap="none" w:vAnchor="page" w:hAnchor="page" w:x="2896" w:y="4029"/>
              <w:shd w:val="clear" w:color="auto" w:fill="auto"/>
              <w:spacing w:line="240" w:lineRule="auto"/>
              <w:jc w:val="center"/>
            </w:pPr>
            <w:proofErr w:type="gramStart"/>
            <w:r>
              <w:t>do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E30" w:rsidRDefault="00371C4B">
            <w:pPr>
              <w:pStyle w:val="Jin0"/>
              <w:framePr w:w="6444" w:h="1148" w:wrap="none" w:vAnchor="page" w:hAnchor="page" w:x="2896" w:y="4029"/>
              <w:shd w:val="clear" w:color="auto" w:fill="auto"/>
              <w:spacing w:line="240" w:lineRule="auto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E30" w:rsidRDefault="00371C4B">
            <w:pPr>
              <w:pStyle w:val="Jin0"/>
              <w:framePr w:w="6444" w:h="1148" w:wrap="none" w:vAnchor="page" w:hAnchor="page" w:x="2896" w:y="4029"/>
              <w:shd w:val="clear" w:color="auto" w:fill="auto"/>
              <w:spacing w:line="240" w:lineRule="auto"/>
              <w:jc w:val="center"/>
            </w:pPr>
            <w:r>
              <w:t>osob</w:t>
            </w:r>
          </w:p>
        </w:tc>
      </w:tr>
      <w:tr w:rsidR="00B54E30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4E30" w:rsidRDefault="00371C4B">
            <w:pPr>
              <w:pStyle w:val="Jin0"/>
              <w:framePr w:w="6444" w:h="1148" w:wrap="none" w:vAnchor="page" w:hAnchor="page" w:x="2896" w:y="4029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0 1 -06- 2018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E30" w:rsidRDefault="00B54E30">
            <w:pPr>
              <w:framePr w:w="6444" w:h="1148" w:wrap="none" w:vAnchor="page" w:hAnchor="page" w:x="2896" w:y="4029"/>
              <w:rPr>
                <w:sz w:val="10"/>
                <w:szCs w:val="1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E30" w:rsidRDefault="00B54E30">
            <w:pPr>
              <w:framePr w:w="6444" w:h="1148" w:wrap="none" w:vAnchor="page" w:hAnchor="page" w:x="2896" w:y="4029"/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E30" w:rsidRDefault="00B54E30">
            <w:pPr>
              <w:framePr w:w="6444" w:h="1148" w:wrap="none" w:vAnchor="page" w:hAnchor="page" w:x="2896" w:y="4029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8"/>
        <w:gridCol w:w="2128"/>
        <w:gridCol w:w="1922"/>
      </w:tblGrid>
      <w:tr w:rsidR="00B54E30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DF920"/>
            <w:vAlign w:val="bottom"/>
          </w:tcPr>
          <w:p w:rsidR="00B54E30" w:rsidRDefault="00371C4B">
            <w:pPr>
              <w:pStyle w:val="Jin0"/>
              <w:framePr w:w="8028" w:h="1472" w:wrap="none" w:vAnchor="page" w:hAnchor="page" w:x="2108" w:y="562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Záloha na poskytované služby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DF920"/>
            <w:vAlign w:val="bottom"/>
          </w:tcPr>
          <w:p w:rsidR="00B54E30" w:rsidRDefault="00371C4B">
            <w:pPr>
              <w:pStyle w:val="Jin0"/>
              <w:framePr w:w="8028" w:h="1472" w:wrap="none" w:vAnchor="page" w:hAnchor="page" w:x="2108" w:y="562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Částka ročně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920"/>
            <w:vAlign w:val="bottom"/>
          </w:tcPr>
          <w:p w:rsidR="00B54E30" w:rsidRDefault="00371C4B">
            <w:pPr>
              <w:pStyle w:val="Jin0"/>
              <w:framePr w:w="8028" w:h="1472" w:wrap="none" w:vAnchor="page" w:hAnchor="page" w:x="2108" w:y="562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Částka měsíčně</w:t>
            </w:r>
          </w:p>
        </w:tc>
      </w:tr>
      <w:tr w:rsidR="00B54E30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E30" w:rsidRDefault="00371C4B">
            <w:pPr>
              <w:pStyle w:val="Jin0"/>
              <w:framePr w:w="8028" w:h="1472" w:wrap="none" w:vAnchor="page" w:hAnchor="page" w:x="2108" w:y="5624"/>
              <w:shd w:val="clear" w:color="auto" w:fill="auto"/>
              <w:spacing w:line="240" w:lineRule="auto"/>
            </w:pPr>
            <w:r>
              <w:t>elektrická energie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E30" w:rsidRDefault="00371C4B">
            <w:pPr>
              <w:pStyle w:val="Jin0"/>
              <w:framePr w:w="8028" w:h="1472" w:wrap="none" w:vAnchor="page" w:hAnchor="page" w:x="2108" w:y="5624"/>
              <w:shd w:val="clear" w:color="auto" w:fill="auto"/>
              <w:spacing w:line="240" w:lineRule="auto"/>
              <w:jc w:val="right"/>
            </w:pPr>
            <w:r>
              <w:t>3 600 Kč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E30" w:rsidRDefault="00371C4B">
            <w:pPr>
              <w:pStyle w:val="Jin0"/>
              <w:framePr w:w="8028" w:h="1472" w:wrap="none" w:vAnchor="page" w:hAnchor="page" w:x="2108" w:y="5624"/>
              <w:shd w:val="clear" w:color="auto" w:fill="auto"/>
              <w:spacing w:line="240" w:lineRule="auto"/>
              <w:jc w:val="right"/>
            </w:pPr>
            <w:r>
              <w:t>300 Kč</w:t>
            </w:r>
          </w:p>
        </w:tc>
      </w:tr>
      <w:tr w:rsidR="00B54E3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4E30" w:rsidRDefault="00371C4B">
            <w:pPr>
              <w:pStyle w:val="Jin0"/>
              <w:framePr w:w="8028" w:h="1472" w:wrap="none" w:vAnchor="page" w:hAnchor="page" w:x="2108" w:y="5624"/>
              <w:shd w:val="clear" w:color="auto" w:fill="auto"/>
              <w:spacing w:line="240" w:lineRule="auto"/>
            </w:pPr>
            <w:r>
              <w:t>—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E30" w:rsidRDefault="00B54E30">
            <w:pPr>
              <w:framePr w:w="8028" w:h="1472" w:wrap="none" w:vAnchor="page" w:hAnchor="page" w:x="2108" w:y="5624"/>
              <w:rPr>
                <w:sz w:val="10"/>
                <w:szCs w:val="1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E30" w:rsidRDefault="00B54E30">
            <w:pPr>
              <w:framePr w:w="8028" w:h="1472" w:wrap="none" w:vAnchor="page" w:hAnchor="page" w:x="2108" w:y="5624"/>
              <w:rPr>
                <w:sz w:val="10"/>
                <w:szCs w:val="10"/>
              </w:rPr>
            </w:pPr>
          </w:p>
        </w:tc>
      </w:tr>
      <w:tr w:rsidR="00B54E3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4E30" w:rsidRDefault="00371C4B">
            <w:pPr>
              <w:pStyle w:val="Jin0"/>
              <w:framePr w:w="8028" w:h="1472" w:wrap="none" w:vAnchor="page" w:hAnchor="page" w:x="2108" w:y="5624"/>
              <w:shd w:val="clear" w:color="auto" w:fill="auto"/>
              <w:spacing w:line="240" w:lineRule="auto"/>
            </w:pPr>
            <w:r>
              <w:t>—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E30" w:rsidRDefault="00B54E30">
            <w:pPr>
              <w:framePr w:w="8028" w:h="1472" w:wrap="none" w:vAnchor="page" w:hAnchor="page" w:x="2108" w:y="5624"/>
              <w:rPr>
                <w:sz w:val="10"/>
                <w:szCs w:val="1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E30" w:rsidRDefault="00B54E30">
            <w:pPr>
              <w:framePr w:w="8028" w:h="1472" w:wrap="none" w:vAnchor="page" w:hAnchor="page" w:x="2108" w:y="5624"/>
              <w:rPr>
                <w:sz w:val="10"/>
                <w:szCs w:val="10"/>
              </w:rPr>
            </w:pPr>
          </w:p>
        </w:tc>
      </w:tr>
      <w:tr w:rsidR="00B54E30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4E30" w:rsidRDefault="00371C4B">
            <w:pPr>
              <w:pStyle w:val="Jin0"/>
              <w:framePr w:w="8028" w:h="1472" w:wrap="none" w:vAnchor="page" w:hAnchor="page" w:x="2108" w:y="562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—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E30" w:rsidRDefault="00B54E30">
            <w:pPr>
              <w:framePr w:w="8028" w:h="1472" w:wrap="none" w:vAnchor="page" w:hAnchor="page" w:x="2108" w:y="5624"/>
              <w:rPr>
                <w:sz w:val="10"/>
                <w:szCs w:val="1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E30" w:rsidRDefault="00B54E30">
            <w:pPr>
              <w:framePr w:w="8028" w:h="1472" w:wrap="none" w:vAnchor="page" w:hAnchor="page" w:x="2108" w:y="5624"/>
              <w:rPr>
                <w:sz w:val="10"/>
                <w:szCs w:val="10"/>
              </w:rPr>
            </w:pPr>
          </w:p>
        </w:tc>
      </w:tr>
      <w:tr w:rsidR="00B54E30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920"/>
          </w:tcPr>
          <w:p w:rsidR="00B54E30" w:rsidRDefault="00371C4B">
            <w:pPr>
              <w:pStyle w:val="Jin0"/>
              <w:framePr w:w="8028" w:h="1472" w:wrap="none" w:vAnchor="page" w:hAnchor="page" w:x="2108" w:y="562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920"/>
          </w:tcPr>
          <w:p w:rsidR="00B54E30" w:rsidRDefault="00371C4B">
            <w:pPr>
              <w:pStyle w:val="Jin0"/>
              <w:framePr w:w="8028" w:h="1472" w:wrap="none" w:vAnchor="page" w:hAnchor="page" w:x="2108" w:y="5624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3 600 Kč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920"/>
          </w:tcPr>
          <w:p w:rsidR="00B54E30" w:rsidRDefault="00371C4B">
            <w:pPr>
              <w:pStyle w:val="Jin0"/>
              <w:framePr w:w="8028" w:h="1472" w:wrap="none" w:vAnchor="page" w:hAnchor="page" w:x="2108" w:y="5624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Kč</w:t>
            </w:r>
          </w:p>
        </w:tc>
      </w:tr>
    </w:tbl>
    <w:p w:rsidR="00B54E30" w:rsidRDefault="00371C4B">
      <w:pPr>
        <w:pStyle w:val="Zkladntext1"/>
        <w:framePr w:w="9716" w:h="1202" w:hRule="exact" w:wrap="none" w:vAnchor="page" w:hAnchor="page" w:x="1258" w:y="7769"/>
        <w:shd w:val="clear" w:color="auto" w:fill="auto"/>
        <w:spacing w:after="200" w:line="259" w:lineRule="auto"/>
        <w:jc w:val="both"/>
      </w:pPr>
      <w:r>
        <w:t>Datum splatnosti měsíčních záloh je vždy k 10. dni příslušného kalendářního měsíce daného roku.</w:t>
      </w:r>
    </w:p>
    <w:p w:rsidR="00B54E30" w:rsidRDefault="00371C4B">
      <w:pPr>
        <w:pStyle w:val="Zkladntext1"/>
        <w:framePr w:w="9716" w:h="1202" w:hRule="exact" w:wrap="none" w:vAnchor="page" w:hAnchor="page" w:x="1258" w:y="7769"/>
        <w:shd w:val="clear" w:color="auto" w:fill="auto"/>
        <w:spacing w:line="259" w:lineRule="auto"/>
        <w:jc w:val="both"/>
      </w:pPr>
      <w:r>
        <w:t>Zálohy za služby budou odběrateli vyúčtovány řádným daňovým dokladem,</w:t>
      </w:r>
      <w:r>
        <w:t xml:space="preserve"> vystaveným poskytovatelem nebo jím pověřeným poskytovatelem, do </w:t>
      </w:r>
      <w:proofErr w:type="gramStart"/>
      <w:r>
        <w:t>30.6. následujícího</w:t>
      </w:r>
      <w:proofErr w:type="gramEnd"/>
      <w:r>
        <w:t xml:space="preserve"> roku, příp. do 14 dnů po obdržení všech faktur od dodavatelů jednotlivých služeb.</w:t>
      </w:r>
    </w:p>
    <w:p w:rsidR="00B54E30" w:rsidRDefault="00B54E30">
      <w:pPr>
        <w:framePr w:wrap="none" w:vAnchor="page" w:hAnchor="page" w:x="1319" w:y="9555"/>
        <w:rPr>
          <w:sz w:val="2"/>
          <w:szCs w:val="2"/>
        </w:rPr>
      </w:pPr>
    </w:p>
    <w:p w:rsidR="00B54E30" w:rsidRDefault="00B54E30">
      <w:pPr>
        <w:spacing w:line="1" w:lineRule="exact"/>
        <w:sectPr w:rsidR="00B54E3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54E30" w:rsidRDefault="00B54E30">
      <w:pPr>
        <w:spacing w:line="1" w:lineRule="exact"/>
      </w:pPr>
    </w:p>
    <w:p w:rsidR="00B54E30" w:rsidRDefault="00371C4B">
      <w:pPr>
        <w:pStyle w:val="Titulektabulky0"/>
        <w:framePr w:wrap="none" w:vAnchor="page" w:hAnchor="page" w:x="1166" w:y="1149"/>
        <w:shd w:val="clear" w:color="auto" w:fill="auto"/>
      </w:pPr>
      <w:r>
        <w:rPr>
          <w:b w:val="0"/>
          <w:bCs w:val="0"/>
        </w:rPr>
        <w:t>Zpracovatel smlouvy:</w:t>
      </w:r>
    </w:p>
    <w:p w:rsidR="00B54E30" w:rsidRDefault="00371C4B">
      <w:pPr>
        <w:pStyle w:val="Titulektabulky0"/>
        <w:framePr w:wrap="none" w:vAnchor="page" w:hAnchor="page" w:x="4539" w:y="1149"/>
        <w:shd w:val="clear" w:color="auto" w:fill="auto"/>
      </w:pPr>
      <w:r>
        <w:t>LE CYGNE SPORTIF GROUPE a.s.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7"/>
        <w:gridCol w:w="1580"/>
        <w:gridCol w:w="1832"/>
        <w:gridCol w:w="1404"/>
        <w:gridCol w:w="1667"/>
      </w:tblGrid>
      <w:tr w:rsidR="00B54E30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E30" w:rsidRDefault="00B54E30">
            <w:pPr>
              <w:framePr w:w="9860" w:h="3884" w:wrap="none" w:vAnchor="page" w:hAnchor="page" w:x="1133" w:y="1887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E30" w:rsidRDefault="00371C4B">
            <w:pPr>
              <w:pStyle w:val="Jin0"/>
              <w:framePr w:w="9860" w:h="3884" w:wrap="none" w:vAnchor="page" w:hAnchor="page" w:x="1133" w:y="188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E30" w:rsidRDefault="00371C4B">
            <w:pPr>
              <w:pStyle w:val="Jin0"/>
              <w:framePr w:w="9860" w:h="3884" w:wrap="none" w:vAnchor="page" w:hAnchor="page" w:x="1133" w:y="1887"/>
              <w:shd w:val="clear" w:color="auto" w:fill="auto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Příjmení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E30" w:rsidRDefault="00371C4B">
            <w:pPr>
              <w:pStyle w:val="Jin0"/>
              <w:framePr w:w="9860" w:h="3884" w:wrap="none" w:vAnchor="page" w:hAnchor="page" w:x="1133" w:y="188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Funkce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E30" w:rsidRDefault="00371C4B">
            <w:pPr>
              <w:pStyle w:val="Jin0"/>
              <w:framePr w:w="9860" w:h="3884" w:wrap="none" w:vAnchor="page" w:hAnchor="page" w:x="1133" w:y="188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Podpis</w:t>
            </w:r>
          </w:p>
        </w:tc>
      </w:tr>
      <w:tr w:rsidR="00B54E30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E30" w:rsidRDefault="00371C4B">
            <w:pPr>
              <w:pStyle w:val="Jin0"/>
              <w:framePr w:w="9860" w:h="3884" w:wrap="none" w:vAnchor="page" w:hAnchor="page" w:x="1133" w:y="188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Vypracoval: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E30" w:rsidRDefault="00B54E30">
            <w:pPr>
              <w:framePr w:w="9860" w:h="3884" w:wrap="none" w:vAnchor="page" w:hAnchor="page" w:x="1133" w:y="1887"/>
              <w:rPr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E30" w:rsidRDefault="00B54E30">
            <w:pPr>
              <w:framePr w:w="9860" w:h="3884" w:wrap="none" w:vAnchor="page" w:hAnchor="page" w:x="1133" w:y="1887"/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E30" w:rsidRDefault="00B54E30">
            <w:pPr>
              <w:framePr w:w="9860" w:h="3884" w:wrap="none" w:vAnchor="page" w:hAnchor="page" w:x="1133" w:y="1887"/>
              <w:rPr>
                <w:sz w:val="10"/>
                <w:szCs w:val="1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E30" w:rsidRDefault="00B54E30">
            <w:pPr>
              <w:pStyle w:val="Jin0"/>
              <w:framePr w:w="9860" w:h="3884" w:wrap="none" w:vAnchor="page" w:hAnchor="page" w:x="1133" w:y="1887"/>
              <w:shd w:val="clear" w:color="auto" w:fill="auto"/>
              <w:spacing w:line="240" w:lineRule="auto"/>
              <w:ind w:firstLine="840"/>
              <w:rPr>
                <w:sz w:val="24"/>
                <w:szCs w:val="24"/>
              </w:rPr>
            </w:pPr>
          </w:p>
        </w:tc>
      </w:tr>
      <w:tr w:rsidR="00B54E30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E30" w:rsidRDefault="00371C4B">
            <w:pPr>
              <w:pStyle w:val="Jin0"/>
              <w:framePr w:w="9860" w:h="3884" w:wrap="none" w:vAnchor="page" w:hAnchor="page" w:x="1133" w:y="188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Odborné posouzení: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E30" w:rsidRDefault="00B54E30">
            <w:pPr>
              <w:framePr w:w="9860" w:h="3884" w:wrap="none" w:vAnchor="page" w:hAnchor="page" w:x="1133" w:y="1887"/>
              <w:rPr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E30" w:rsidRDefault="00B54E30">
            <w:pPr>
              <w:pStyle w:val="Jin0"/>
              <w:framePr w:w="9860" w:h="3884" w:wrap="none" w:vAnchor="page" w:hAnchor="page" w:x="1133" w:y="1887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E30" w:rsidRDefault="00B54E30">
            <w:pPr>
              <w:pStyle w:val="Jin0"/>
              <w:framePr w:w="9860" w:h="3884" w:wrap="none" w:vAnchor="page" w:hAnchor="page" w:x="1133" w:y="188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E30" w:rsidRDefault="00B54E30">
            <w:pPr>
              <w:framePr w:w="9860" w:h="3884" w:wrap="none" w:vAnchor="page" w:hAnchor="page" w:x="1133" w:y="1887"/>
              <w:rPr>
                <w:sz w:val="10"/>
                <w:szCs w:val="10"/>
              </w:rPr>
            </w:pPr>
          </w:p>
        </w:tc>
      </w:tr>
      <w:tr w:rsidR="00B54E30">
        <w:tblPrEx>
          <w:tblCellMar>
            <w:top w:w="0" w:type="dxa"/>
            <w:bottom w:w="0" w:type="dxa"/>
          </w:tblCellMar>
        </w:tblPrEx>
        <w:trPr>
          <w:trHeight w:hRule="exact" w:val="378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E30" w:rsidRDefault="00371C4B">
            <w:pPr>
              <w:pStyle w:val="Jin0"/>
              <w:framePr w:w="9860" w:h="3884" w:wrap="none" w:vAnchor="page" w:hAnchor="page" w:x="1133" w:y="188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Odborné posouzení: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E30" w:rsidRDefault="00B54E30">
            <w:pPr>
              <w:framePr w:w="9860" w:h="3884" w:wrap="none" w:vAnchor="page" w:hAnchor="page" w:x="1133" w:y="1887"/>
              <w:rPr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E30" w:rsidRDefault="00B54E30">
            <w:pPr>
              <w:framePr w:w="9860" w:h="3884" w:wrap="none" w:vAnchor="page" w:hAnchor="page" w:x="1133" w:y="1887"/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E30" w:rsidRDefault="00B54E30">
            <w:pPr>
              <w:framePr w:w="9860" w:h="3884" w:wrap="none" w:vAnchor="page" w:hAnchor="page" w:x="1133" w:y="1887"/>
              <w:rPr>
                <w:sz w:val="10"/>
                <w:szCs w:val="1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E30" w:rsidRDefault="00B54E30">
            <w:pPr>
              <w:framePr w:w="9860" w:h="3884" w:wrap="none" w:vAnchor="page" w:hAnchor="page" w:x="1133" w:y="1887"/>
              <w:rPr>
                <w:sz w:val="10"/>
                <w:szCs w:val="10"/>
              </w:rPr>
            </w:pPr>
          </w:p>
        </w:tc>
      </w:tr>
      <w:tr w:rsidR="00B54E30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E30" w:rsidRDefault="00371C4B">
            <w:pPr>
              <w:pStyle w:val="Jin0"/>
              <w:framePr w:w="9860" w:h="3884" w:wrap="none" w:vAnchor="page" w:hAnchor="page" w:x="1133" w:y="188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Ekonomické posouzení: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E30" w:rsidRDefault="00B54E30">
            <w:pPr>
              <w:framePr w:w="9860" w:h="3884" w:wrap="none" w:vAnchor="page" w:hAnchor="page" w:x="1133" w:y="1887"/>
              <w:rPr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E30" w:rsidRDefault="00B54E30">
            <w:pPr>
              <w:pStyle w:val="Jin0"/>
              <w:framePr w:w="9860" w:h="3884" w:wrap="none" w:vAnchor="page" w:hAnchor="page" w:x="1133" w:y="1887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E30" w:rsidRDefault="00B54E30">
            <w:pPr>
              <w:pStyle w:val="Jin0"/>
              <w:framePr w:w="9860" w:h="3884" w:wrap="none" w:vAnchor="page" w:hAnchor="page" w:x="1133" w:y="188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E30" w:rsidRDefault="00B54E30">
            <w:pPr>
              <w:pStyle w:val="Jin0"/>
              <w:framePr w:w="9860" w:h="3884" w:wrap="none" w:vAnchor="page" w:hAnchor="page" w:x="1133" w:y="1887"/>
              <w:shd w:val="clear" w:color="auto" w:fill="auto"/>
              <w:spacing w:line="240" w:lineRule="auto"/>
              <w:ind w:firstLine="140"/>
              <w:rPr>
                <w:sz w:val="28"/>
                <w:szCs w:val="28"/>
              </w:rPr>
            </w:pPr>
          </w:p>
        </w:tc>
      </w:tr>
      <w:tr w:rsidR="00B54E30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E30" w:rsidRDefault="00371C4B">
            <w:pPr>
              <w:pStyle w:val="Jin0"/>
              <w:framePr w:w="9860" w:h="3884" w:wrap="none" w:vAnchor="page" w:hAnchor="page" w:x="1133" w:y="188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Obchodní posouzení: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E30" w:rsidRDefault="00B54E30">
            <w:pPr>
              <w:framePr w:w="9860" w:h="3884" w:wrap="none" w:vAnchor="page" w:hAnchor="page" w:x="1133" w:y="1887"/>
              <w:rPr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E30" w:rsidRDefault="00B54E30">
            <w:pPr>
              <w:pStyle w:val="Jin0"/>
              <w:framePr w:w="9860" w:h="3884" w:wrap="none" w:vAnchor="page" w:hAnchor="page" w:x="1133" w:y="1887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E30" w:rsidRDefault="00B54E30">
            <w:pPr>
              <w:pStyle w:val="Jin0"/>
              <w:framePr w:w="9860" w:h="3884" w:wrap="none" w:vAnchor="page" w:hAnchor="page" w:x="1133" w:y="188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E30" w:rsidRDefault="00B54E30">
            <w:pPr>
              <w:pStyle w:val="Jin0"/>
              <w:framePr w:w="9860" w:h="3884" w:wrap="none" w:vAnchor="page" w:hAnchor="page" w:x="1133" w:y="1887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  <w:tr w:rsidR="00B54E30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E30" w:rsidRDefault="00371C4B">
            <w:pPr>
              <w:pStyle w:val="Jin0"/>
              <w:framePr w:w="9860" w:h="3884" w:wrap="none" w:vAnchor="page" w:hAnchor="page" w:x="1133" w:y="188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Právní posouzení: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E30" w:rsidRDefault="00B54E30">
            <w:pPr>
              <w:framePr w:w="9860" w:h="3884" w:wrap="none" w:vAnchor="page" w:hAnchor="page" w:x="1133" w:y="1887"/>
              <w:rPr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E30" w:rsidRDefault="00B54E30">
            <w:pPr>
              <w:pStyle w:val="Jin0"/>
              <w:framePr w:w="9860" w:h="3884" w:wrap="none" w:vAnchor="page" w:hAnchor="page" w:x="1133" w:y="1887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E30" w:rsidRDefault="00B54E30">
            <w:pPr>
              <w:pStyle w:val="Jin0"/>
              <w:framePr w:w="9860" w:h="3884" w:wrap="none" w:vAnchor="page" w:hAnchor="page" w:x="1133" w:y="188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E30" w:rsidRDefault="00B54E30">
            <w:pPr>
              <w:framePr w:w="9860" w:h="3884" w:wrap="none" w:vAnchor="page" w:hAnchor="page" w:x="1133" w:y="1887"/>
              <w:rPr>
                <w:sz w:val="10"/>
                <w:szCs w:val="10"/>
              </w:rPr>
            </w:pPr>
          </w:p>
        </w:tc>
      </w:tr>
      <w:tr w:rsidR="00B54E30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E30" w:rsidRDefault="00371C4B">
            <w:pPr>
              <w:pStyle w:val="Jin0"/>
              <w:framePr w:w="9860" w:h="3884" w:wrap="none" w:vAnchor="page" w:hAnchor="page" w:x="1133" w:y="188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Vyjádření ŘAS:</w:t>
            </w:r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E30" w:rsidRDefault="00B54E30">
            <w:pPr>
              <w:framePr w:w="9860" w:h="3884" w:wrap="none" w:vAnchor="page" w:hAnchor="page" w:x="1133" w:y="1887"/>
              <w:rPr>
                <w:sz w:val="10"/>
                <w:szCs w:val="10"/>
              </w:rPr>
            </w:pPr>
          </w:p>
        </w:tc>
      </w:tr>
      <w:tr w:rsidR="00B54E30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E30" w:rsidRDefault="00371C4B">
            <w:pPr>
              <w:pStyle w:val="Jin0"/>
              <w:framePr w:w="9860" w:h="3884" w:wrap="none" w:vAnchor="page" w:hAnchor="page" w:x="1133" w:y="188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Platnost smlouvy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do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E30" w:rsidRDefault="00B54E30">
            <w:pPr>
              <w:framePr w:w="9860" w:h="3884" w:wrap="none" w:vAnchor="page" w:hAnchor="page" w:x="1133" w:y="1887"/>
              <w:rPr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E30" w:rsidRDefault="00371C4B">
            <w:pPr>
              <w:pStyle w:val="Jin0"/>
              <w:framePr w:w="9860" w:h="3884" w:wrap="none" w:vAnchor="page" w:hAnchor="page" w:x="1133" w:y="188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Archivace: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E30" w:rsidRDefault="00371C4B">
            <w:pPr>
              <w:pStyle w:val="Jin0"/>
              <w:framePr w:w="9860" w:h="3884" w:wrap="none" w:vAnchor="page" w:hAnchor="page" w:x="1133" w:y="188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ANO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E30" w:rsidRDefault="00B54E30">
            <w:pPr>
              <w:framePr w:w="9860" w:h="3884" w:wrap="none" w:vAnchor="page" w:hAnchor="page" w:x="1133" w:y="1887"/>
              <w:rPr>
                <w:sz w:val="10"/>
                <w:szCs w:val="10"/>
              </w:rPr>
            </w:pPr>
          </w:p>
        </w:tc>
      </w:tr>
      <w:tr w:rsidR="00B54E30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6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E30" w:rsidRDefault="00371C4B">
            <w:pPr>
              <w:pStyle w:val="Jin0"/>
              <w:framePr w:w="9860" w:h="3884" w:wrap="none" w:vAnchor="page" w:hAnchor="page" w:x="1133" w:y="188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Datum předání do odd.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registru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smluv: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E30" w:rsidRDefault="00B54E30">
            <w:pPr>
              <w:pStyle w:val="Jin0"/>
              <w:framePr w:w="9860" w:h="3884" w:wrap="none" w:vAnchor="page" w:hAnchor="page" w:x="1133" w:y="1887"/>
              <w:shd w:val="clear" w:color="auto" w:fill="auto"/>
              <w:spacing w:line="240" w:lineRule="auto"/>
              <w:ind w:firstLine="780"/>
              <w:rPr>
                <w:sz w:val="42"/>
                <w:szCs w:val="42"/>
              </w:rPr>
            </w:pPr>
            <w:bookmarkStart w:id="18" w:name="_GoBack"/>
            <w:bookmarkEnd w:id="18"/>
          </w:p>
        </w:tc>
      </w:tr>
    </w:tbl>
    <w:p w:rsidR="00B54E30" w:rsidRDefault="00B54E30">
      <w:pPr>
        <w:spacing w:line="1" w:lineRule="exact"/>
      </w:pPr>
    </w:p>
    <w:sectPr w:rsidR="00B54E3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71C4B">
      <w:r>
        <w:separator/>
      </w:r>
    </w:p>
  </w:endnote>
  <w:endnote w:type="continuationSeparator" w:id="0">
    <w:p w:rsidR="00000000" w:rsidRDefault="0037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E30" w:rsidRDefault="00B54E30"/>
  </w:footnote>
  <w:footnote w:type="continuationSeparator" w:id="0">
    <w:p w:rsidR="00B54E30" w:rsidRDefault="00B54E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14EC"/>
    <w:multiLevelType w:val="multilevel"/>
    <w:tmpl w:val="C07AA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DF2B0B"/>
    <w:multiLevelType w:val="multilevel"/>
    <w:tmpl w:val="21320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3F30F4"/>
    <w:multiLevelType w:val="multilevel"/>
    <w:tmpl w:val="74AA3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2C5C72"/>
    <w:multiLevelType w:val="multilevel"/>
    <w:tmpl w:val="75AE1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54E30"/>
    <w:rsid w:val="00371C4B"/>
    <w:rsid w:val="00B5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516297"/>
      <w:sz w:val="44"/>
      <w:szCs w:val="4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1" w:lineRule="auto"/>
      <w:jc w:val="center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20" w:line="223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30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40" w:line="190" w:lineRule="auto"/>
      <w:ind w:firstLine="720"/>
    </w:pPr>
    <w:rPr>
      <w:rFonts w:ascii="Arial" w:eastAsia="Arial" w:hAnsi="Arial" w:cs="Arial"/>
      <w:color w:val="516297"/>
      <w:sz w:val="44"/>
      <w:szCs w:val="4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20"/>
      <w:jc w:val="center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1C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1C4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516297"/>
      <w:sz w:val="44"/>
      <w:szCs w:val="4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1" w:lineRule="auto"/>
      <w:jc w:val="center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20" w:line="223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30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40" w:line="190" w:lineRule="auto"/>
      <w:ind w:firstLine="720"/>
    </w:pPr>
    <w:rPr>
      <w:rFonts w:ascii="Arial" w:eastAsia="Arial" w:hAnsi="Arial" w:cs="Arial"/>
      <w:color w:val="516297"/>
      <w:sz w:val="44"/>
      <w:szCs w:val="4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20"/>
      <w:jc w:val="center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1C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1C4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909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Marcela Valová</cp:lastModifiedBy>
  <cp:revision>2</cp:revision>
  <dcterms:created xsi:type="dcterms:W3CDTF">2024-03-27T09:33:00Z</dcterms:created>
  <dcterms:modified xsi:type="dcterms:W3CDTF">2024-03-27T09:38:00Z</dcterms:modified>
</cp:coreProperties>
</file>