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A7" w:rsidRDefault="00EB752A">
      <w:pPr>
        <w:spacing w:after="0" w:line="259" w:lineRule="auto"/>
        <w:ind w:left="0" w:right="156" w:firstLine="0"/>
        <w:jc w:val="right"/>
      </w:pPr>
      <w:bookmarkStart w:id="0" w:name="_GoBack"/>
      <w:bookmarkEnd w:id="0"/>
      <w:proofErr w:type="gramStart"/>
      <w:r>
        <w:t>Č.j.</w:t>
      </w:r>
      <w:proofErr w:type="gramEnd"/>
      <w:r>
        <w:t xml:space="preserve">225867/2024-MZV/ODOS  </w:t>
      </w:r>
    </w:p>
    <w:p w:rsidR="00E97FA7" w:rsidRDefault="00EB752A">
      <w:pPr>
        <w:pStyle w:val="Nadpis1"/>
      </w:pPr>
      <w:r>
        <w:rPr>
          <w:sz w:val="24"/>
        </w:rPr>
        <w:t xml:space="preserve">SM8424-006 </w:t>
      </w:r>
      <w:r>
        <w:t xml:space="preserve">Smlouva o zajištění služeb </w:t>
      </w:r>
    </w:p>
    <w:p w:rsidR="00E97FA7" w:rsidRDefault="00EB752A">
      <w:pPr>
        <w:spacing w:after="229"/>
        <w:ind w:left="72" w:right="148"/>
      </w:pPr>
      <w:r>
        <w:t>Uzavřená v souladu s ustanovením § 1746 odst. 2 a násl., zákona č. 89/2012 Sb., občanský zákoník, ve znění pozdějších předpisů (dále jen „</w:t>
      </w:r>
      <w:r>
        <w:rPr>
          <w:b/>
        </w:rPr>
        <w:t>Občanský zákoník</w:t>
      </w:r>
      <w:r>
        <w:t xml:space="preserve">“), jejímž předmětem je plnění veřejné zakázky s názvem </w:t>
      </w:r>
    </w:p>
    <w:p w:rsidR="00E97FA7" w:rsidRDefault="00EB752A">
      <w:pPr>
        <w:spacing w:after="189" w:line="250" w:lineRule="auto"/>
        <w:ind w:left="2342" w:right="0" w:hanging="2278"/>
        <w:jc w:val="left"/>
      </w:pPr>
      <w:r>
        <w:rPr>
          <w:b/>
        </w:rPr>
        <w:t xml:space="preserve">„Zajištění cateringových služeb - Slavnostní večeře ministrů zahraničních věcí členských států NATO na Pražském hradě </w:t>
      </w:r>
      <w:proofErr w:type="gramStart"/>
      <w:r>
        <w:rPr>
          <w:b/>
        </w:rPr>
        <w:t>30.5.2024</w:t>
      </w:r>
      <w:proofErr w:type="gramEnd"/>
      <w:r>
        <w:rPr>
          <w:b/>
        </w:rPr>
        <w:t xml:space="preserve"> “</w:t>
      </w:r>
      <w:r>
        <w:t xml:space="preserve"> </w:t>
      </w:r>
    </w:p>
    <w:p w:rsidR="00E97FA7" w:rsidRDefault="00EB752A">
      <w:pPr>
        <w:spacing w:after="208" w:line="259" w:lineRule="auto"/>
        <w:ind w:left="0" w:right="78" w:firstLine="0"/>
        <w:jc w:val="center"/>
      </w:pPr>
      <w:r>
        <w:t xml:space="preserve"> (Dále jen „</w:t>
      </w:r>
      <w:r>
        <w:rPr>
          <w:b/>
        </w:rPr>
        <w:t>Smlouva</w:t>
      </w:r>
      <w:r>
        <w:t xml:space="preserve">“) </w:t>
      </w:r>
    </w:p>
    <w:p w:rsidR="00E97FA7" w:rsidRDefault="00EB752A">
      <w:pPr>
        <w:tabs>
          <w:tab w:val="center" w:pos="2201"/>
        </w:tabs>
        <w:spacing w:after="193" w:line="250" w:lineRule="auto"/>
        <w:ind w:left="0" w:right="0" w:firstLine="0"/>
        <w:jc w:val="left"/>
      </w:pPr>
      <w:r>
        <w:rPr>
          <w:b/>
        </w:rPr>
        <w:t xml:space="preserve">Smluvní strany: </w:t>
      </w:r>
      <w:r>
        <w:rPr>
          <w:b/>
        </w:rPr>
        <w:tab/>
        <w:t xml:space="preserve"> </w:t>
      </w:r>
    </w:p>
    <w:p w:rsidR="00E97FA7" w:rsidRDefault="00EB752A">
      <w:pPr>
        <w:spacing w:after="12" w:line="250" w:lineRule="auto"/>
        <w:ind w:left="74" w:right="0"/>
        <w:jc w:val="left"/>
      </w:pPr>
      <w:r>
        <w:rPr>
          <w:b/>
        </w:rPr>
        <w:t xml:space="preserve">Česká republika – Ministerstvo zahraničních věcí  </w:t>
      </w:r>
    </w:p>
    <w:tbl>
      <w:tblPr>
        <w:tblStyle w:val="TableGrid"/>
        <w:tblW w:w="9129" w:type="dxa"/>
        <w:tblInd w:w="77" w:type="dxa"/>
        <w:tblLook w:val="04A0" w:firstRow="1" w:lastRow="0" w:firstColumn="1" w:lastColumn="0" w:noHBand="0" w:noVBand="1"/>
      </w:tblPr>
      <w:tblGrid>
        <w:gridCol w:w="2833"/>
        <w:gridCol w:w="6296"/>
      </w:tblGrid>
      <w:tr w:rsidR="00E97FA7">
        <w:trPr>
          <w:trHeight w:val="247"/>
        </w:trPr>
        <w:tc>
          <w:tcPr>
            <w:tcW w:w="2833" w:type="dxa"/>
            <w:tcBorders>
              <w:top w:val="nil"/>
              <w:left w:val="nil"/>
              <w:bottom w:val="nil"/>
              <w:right w:val="nil"/>
            </w:tcBorders>
          </w:tcPr>
          <w:p w:rsidR="00E97FA7" w:rsidRDefault="00EB752A">
            <w:pPr>
              <w:tabs>
                <w:tab w:val="center" w:pos="1416"/>
                <w:tab w:val="center" w:pos="2125"/>
              </w:tabs>
              <w:spacing w:after="0" w:line="259" w:lineRule="auto"/>
              <w:ind w:left="0" w:right="0" w:firstLine="0"/>
              <w:jc w:val="left"/>
            </w:pPr>
            <w:r>
              <w:rPr>
                <w:b/>
              </w:rPr>
              <w:t xml:space="preserve">se sídlem:  </w:t>
            </w:r>
            <w:r>
              <w:rPr>
                <w:b/>
              </w:rPr>
              <w:tab/>
              <w:t xml:space="preserve"> </w:t>
            </w:r>
            <w:r>
              <w:rPr>
                <w:b/>
              </w:rPr>
              <w:tab/>
              <w:t xml:space="preserve"> </w:t>
            </w:r>
          </w:p>
        </w:tc>
        <w:tc>
          <w:tcPr>
            <w:tcW w:w="6297" w:type="dxa"/>
            <w:tcBorders>
              <w:top w:val="nil"/>
              <w:left w:val="nil"/>
              <w:bottom w:val="nil"/>
              <w:right w:val="nil"/>
            </w:tcBorders>
          </w:tcPr>
          <w:p w:rsidR="00E97FA7" w:rsidRDefault="00EB752A">
            <w:pPr>
              <w:spacing w:after="0" w:line="259" w:lineRule="auto"/>
              <w:ind w:left="0" w:right="0" w:firstLine="0"/>
              <w:jc w:val="left"/>
            </w:pPr>
            <w:r>
              <w:t xml:space="preserve">Loretánské nám. 5, 118 00, Praha 1 </w:t>
            </w:r>
          </w:p>
        </w:tc>
      </w:tr>
      <w:tr w:rsidR="00E97FA7">
        <w:trPr>
          <w:trHeight w:val="276"/>
        </w:trPr>
        <w:tc>
          <w:tcPr>
            <w:tcW w:w="2833" w:type="dxa"/>
            <w:tcBorders>
              <w:top w:val="nil"/>
              <w:left w:val="nil"/>
              <w:bottom w:val="nil"/>
              <w:right w:val="nil"/>
            </w:tcBorders>
          </w:tcPr>
          <w:p w:rsidR="00E97FA7" w:rsidRDefault="00EB752A">
            <w:pPr>
              <w:spacing w:after="0" w:line="259" w:lineRule="auto"/>
              <w:ind w:left="0" w:right="0" w:firstLine="0"/>
              <w:jc w:val="left"/>
            </w:pPr>
            <w:r>
              <w:rPr>
                <w:b/>
              </w:rPr>
              <w:t xml:space="preserve">zastoupená:  </w:t>
            </w:r>
          </w:p>
        </w:tc>
        <w:tc>
          <w:tcPr>
            <w:tcW w:w="6297" w:type="dxa"/>
            <w:tcBorders>
              <w:top w:val="nil"/>
              <w:left w:val="nil"/>
              <w:bottom w:val="nil"/>
              <w:right w:val="nil"/>
            </w:tcBorders>
          </w:tcPr>
          <w:p w:rsidR="00E97FA7" w:rsidRDefault="00E97FA7">
            <w:pPr>
              <w:spacing w:after="0" w:line="259" w:lineRule="auto"/>
              <w:ind w:left="48" w:right="0" w:firstLine="0"/>
            </w:pPr>
          </w:p>
        </w:tc>
      </w:tr>
      <w:tr w:rsidR="00E97FA7">
        <w:trPr>
          <w:trHeight w:val="276"/>
        </w:trPr>
        <w:tc>
          <w:tcPr>
            <w:tcW w:w="2833" w:type="dxa"/>
            <w:tcBorders>
              <w:top w:val="nil"/>
              <w:left w:val="nil"/>
              <w:bottom w:val="nil"/>
              <w:right w:val="nil"/>
            </w:tcBorders>
          </w:tcPr>
          <w:p w:rsidR="00E97FA7" w:rsidRDefault="00EB752A">
            <w:pPr>
              <w:tabs>
                <w:tab w:val="center" w:pos="1416"/>
                <w:tab w:val="center" w:pos="2125"/>
              </w:tabs>
              <w:spacing w:after="0" w:line="259" w:lineRule="auto"/>
              <w:ind w:left="0" w:right="0" w:firstLine="0"/>
              <w:jc w:val="left"/>
            </w:pPr>
            <w:r>
              <w:rPr>
                <w:b/>
              </w:rPr>
              <w:t xml:space="preserve">IČO:   </w:t>
            </w:r>
            <w:r>
              <w:rPr>
                <w:b/>
              </w:rPr>
              <w:tab/>
              <w:t xml:space="preserve"> </w:t>
            </w:r>
            <w:r>
              <w:rPr>
                <w:b/>
              </w:rPr>
              <w:tab/>
              <w:t xml:space="preserve"> </w:t>
            </w:r>
          </w:p>
        </w:tc>
        <w:tc>
          <w:tcPr>
            <w:tcW w:w="6297" w:type="dxa"/>
            <w:tcBorders>
              <w:top w:val="nil"/>
              <w:left w:val="nil"/>
              <w:bottom w:val="nil"/>
              <w:right w:val="nil"/>
            </w:tcBorders>
          </w:tcPr>
          <w:p w:rsidR="00E97FA7" w:rsidRDefault="00EB752A">
            <w:pPr>
              <w:spacing w:after="0" w:line="259" w:lineRule="auto"/>
              <w:ind w:left="0" w:right="0" w:firstLine="0"/>
              <w:jc w:val="left"/>
            </w:pPr>
            <w:r>
              <w:t xml:space="preserve">45769851 </w:t>
            </w:r>
          </w:p>
        </w:tc>
      </w:tr>
      <w:tr w:rsidR="00E97FA7">
        <w:trPr>
          <w:trHeight w:val="276"/>
        </w:trPr>
        <w:tc>
          <w:tcPr>
            <w:tcW w:w="2833" w:type="dxa"/>
            <w:tcBorders>
              <w:top w:val="nil"/>
              <w:left w:val="nil"/>
              <w:bottom w:val="nil"/>
              <w:right w:val="nil"/>
            </w:tcBorders>
          </w:tcPr>
          <w:p w:rsidR="00E97FA7" w:rsidRDefault="00EB752A">
            <w:pPr>
              <w:tabs>
                <w:tab w:val="center" w:pos="1416"/>
                <w:tab w:val="center" w:pos="2125"/>
              </w:tabs>
              <w:spacing w:after="0" w:line="259" w:lineRule="auto"/>
              <w:ind w:left="0" w:right="0" w:firstLine="0"/>
              <w:jc w:val="left"/>
            </w:pPr>
            <w:r>
              <w:rPr>
                <w:b/>
              </w:rPr>
              <w:t xml:space="preserve">DIČ:   </w:t>
            </w:r>
            <w:r>
              <w:rPr>
                <w:b/>
              </w:rPr>
              <w:tab/>
              <w:t xml:space="preserve"> </w:t>
            </w:r>
            <w:r>
              <w:rPr>
                <w:b/>
              </w:rPr>
              <w:tab/>
              <w:t xml:space="preserve"> </w:t>
            </w:r>
          </w:p>
        </w:tc>
        <w:tc>
          <w:tcPr>
            <w:tcW w:w="6297" w:type="dxa"/>
            <w:tcBorders>
              <w:top w:val="nil"/>
              <w:left w:val="nil"/>
              <w:bottom w:val="nil"/>
              <w:right w:val="nil"/>
            </w:tcBorders>
          </w:tcPr>
          <w:p w:rsidR="00E97FA7" w:rsidRDefault="00EB752A">
            <w:pPr>
              <w:spacing w:after="0" w:line="259" w:lineRule="auto"/>
              <w:ind w:left="0" w:right="0" w:firstLine="0"/>
              <w:jc w:val="left"/>
            </w:pPr>
            <w:r>
              <w:t>CZ45769851</w:t>
            </w:r>
            <w:r>
              <w:rPr>
                <w:b/>
              </w:rPr>
              <w:t xml:space="preserve"> </w:t>
            </w:r>
          </w:p>
        </w:tc>
      </w:tr>
      <w:tr w:rsidR="00E97FA7">
        <w:trPr>
          <w:trHeight w:val="247"/>
        </w:trPr>
        <w:tc>
          <w:tcPr>
            <w:tcW w:w="2833" w:type="dxa"/>
            <w:tcBorders>
              <w:top w:val="nil"/>
              <w:left w:val="nil"/>
              <w:bottom w:val="nil"/>
              <w:right w:val="nil"/>
            </w:tcBorders>
          </w:tcPr>
          <w:p w:rsidR="00E97FA7" w:rsidRDefault="00EB752A">
            <w:pPr>
              <w:spacing w:after="0" w:line="259" w:lineRule="auto"/>
              <w:ind w:left="0" w:right="0" w:firstLine="0"/>
              <w:jc w:val="left"/>
            </w:pPr>
            <w:r>
              <w:rPr>
                <w:b/>
              </w:rPr>
              <w:t xml:space="preserve">bankovní spojení:    </w:t>
            </w:r>
          </w:p>
        </w:tc>
        <w:tc>
          <w:tcPr>
            <w:tcW w:w="6297" w:type="dxa"/>
            <w:tcBorders>
              <w:top w:val="nil"/>
              <w:left w:val="nil"/>
              <w:bottom w:val="nil"/>
              <w:right w:val="nil"/>
            </w:tcBorders>
          </w:tcPr>
          <w:p w:rsidR="00E97FA7" w:rsidRDefault="00EB752A">
            <w:pPr>
              <w:tabs>
                <w:tab w:val="center" w:pos="4957"/>
              </w:tabs>
              <w:spacing w:after="0" w:line="259" w:lineRule="auto"/>
              <w:ind w:left="0" w:right="0" w:firstLine="0"/>
              <w:jc w:val="left"/>
            </w:pPr>
            <w:r>
              <w:t xml:space="preserve">ČNB Praha, účet č.: 000000-0017228001/0710 </w:t>
            </w:r>
            <w:r>
              <w:tab/>
              <w:t xml:space="preserve"> </w:t>
            </w:r>
          </w:p>
        </w:tc>
      </w:tr>
    </w:tbl>
    <w:p w:rsidR="00E97FA7" w:rsidRDefault="00EB752A">
      <w:pPr>
        <w:spacing w:after="0" w:line="259" w:lineRule="auto"/>
        <w:ind w:left="77" w:right="0" w:firstLine="0"/>
        <w:jc w:val="left"/>
      </w:pPr>
      <w:r>
        <w:t xml:space="preserve"> </w:t>
      </w:r>
    </w:p>
    <w:p w:rsidR="00E97FA7" w:rsidRDefault="00EB752A">
      <w:pPr>
        <w:spacing w:after="10"/>
        <w:ind w:left="72" w:right="148"/>
      </w:pPr>
      <w:r>
        <w:t>(dále jen „</w:t>
      </w:r>
      <w:r>
        <w:rPr>
          <w:b/>
        </w:rPr>
        <w:t>Objednatel</w:t>
      </w:r>
      <w:r>
        <w:t xml:space="preserve">“) </w:t>
      </w:r>
    </w:p>
    <w:p w:rsidR="00E97FA7" w:rsidRDefault="00EB752A">
      <w:pPr>
        <w:spacing w:after="24" w:line="410" w:lineRule="auto"/>
        <w:ind w:left="72" w:right="9058"/>
        <w:jc w:val="left"/>
      </w:pPr>
      <w:r>
        <w:t xml:space="preserve"> a  </w:t>
      </w:r>
    </w:p>
    <w:p w:rsidR="00E97FA7" w:rsidRDefault="00EB752A">
      <w:pPr>
        <w:spacing w:after="12" w:line="250" w:lineRule="auto"/>
        <w:ind w:left="74" w:right="0"/>
        <w:jc w:val="left"/>
      </w:pPr>
      <w:r>
        <w:rPr>
          <w:b/>
        </w:rPr>
        <w:t xml:space="preserve">Zátiší Catering Group a.s. </w:t>
      </w:r>
    </w:p>
    <w:p w:rsidR="00E97FA7" w:rsidRDefault="00EB752A">
      <w:pPr>
        <w:tabs>
          <w:tab w:val="center" w:pos="1493"/>
          <w:tab w:val="center" w:pos="2201"/>
          <w:tab w:val="center" w:pos="4849"/>
        </w:tabs>
        <w:spacing w:after="24"/>
        <w:ind w:left="0" w:right="0" w:firstLine="0"/>
        <w:jc w:val="left"/>
      </w:pPr>
      <w:r>
        <w:rPr>
          <w:b/>
        </w:rPr>
        <w:t xml:space="preserve">se sídlem:  </w:t>
      </w:r>
      <w:r>
        <w:rPr>
          <w:b/>
        </w:rPr>
        <w:tab/>
        <w:t xml:space="preserve"> </w:t>
      </w:r>
      <w:r>
        <w:rPr>
          <w:b/>
        </w:rPr>
        <w:tab/>
        <w:t xml:space="preserve"> </w:t>
      </w:r>
      <w:r>
        <w:rPr>
          <w:b/>
        </w:rPr>
        <w:tab/>
      </w:r>
      <w:r>
        <w:t>Novotného lávka 200/5, 110 00, Praha 1</w:t>
      </w:r>
      <w:r>
        <w:rPr>
          <w:b/>
        </w:rPr>
        <w:t xml:space="preserve"> </w:t>
      </w:r>
    </w:p>
    <w:p w:rsidR="00E97FA7" w:rsidRDefault="00EB752A">
      <w:pPr>
        <w:tabs>
          <w:tab w:val="center" w:pos="1493"/>
          <w:tab w:val="center" w:pos="2201"/>
          <w:tab w:val="center" w:pos="3389"/>
        </w:tabs>
        <w:spacing w:after="24"/>
        <w:ind w:left="0" w:right="0" w:firstLine="0"/>
        <w:jc w:val="left"/>
      </w:pPr>
      <w:r>
        <w:rPr>
          <w:b/>
        </w:rPr>
        <w:t xml:space="preserve">IČO:  </w:t>
      </w:r>
      <w:r>
        <w:rPr>
          <w:b/>
        </w:rPr>
        <w:tab/>
        <w:t xml:space="preserve"> </w:t>
      </w:r>
      <w:r>
        <w:rPr>
          <w:b/>
        </w:rPr>
        <w:tab/>
        <w:t xml:space="preserve"> </w:t>
      </w:r>
      <w:r>
        <w:rPr>
          <w:b/>
        </w:rPr>
        <w:tab/>
      </w:r>
      <w:r>
        <w:t>15269574</w:t>
      </w:r>
      <w:r>
        <w:rPr>
          <w:b/>
        </w:rPr>
        <w:t xml:space="preserve"> </w:t>
      </w:r>
    </w:p>
    <w:p w:rsidR="00E97FA7" w:rsidRDefault="00EB752A">
      <w:pPr>
        <w:tabs>
          <w:tab w:val="center" w:pos="1493"/>
          <w:tab w:val="center" w:pos="2201"/>
          <w:tab w:val="center" w:pos="3543"/>
        </w:tabs>
        <w:spacing w:after="24"/>
        <w:ind w:left="0" w:right="0" w:firstLine="0"/>
        <w:jc w:val="left"/>
      </w:pPr>
      <w:r>
        <w:rPr>
          <w:b/>
        </w:rPr>
        <w:t xml:space="preserve">DIČ:  </w:t>
      </w:r>
      <w:r>
        <w:rPr>
          <w:b/>
        </w:rPr>
        <w:tab/>
        <w:t xml:space="preserve"> </w:t>
      </w:r>
      <w:r>
        <w:rPr>
          <w:b/>
        </w:rPr>
        <w:tab/>
        <w:t xml:space="preserve"> </w:t>
      </w:r>
      <w:r>
        <w:rPr>
          <w:b/>
        </w:rPr>
        <w:tab/>
      </w:r>
      <w:r>
        <w:t>CZ15269574</w:t>
      </w:r>
      <w:r>
        <w:rPr>
          <w:b/>
        </w:rPr>
        <w:t xml:space="preserve"> </w:t>
      </w:r>
    </w:p>
    <w:p w:rsidR="00EB752A" w:rsidRDefault="00EB752A">
      <w:pPr>
        <w:spacing w:after="0"/>
        <w:ind w:left="72" w:right="2104"/>
        <w:rPr>
          <w:b/>
        </w:rPr>
      </w:pPr>
      <w:r>
        <w:rPr>
          <w:b/>
        </w:rPr>
        <w:t xml:space="preserve">zastoupená:   </w:t>
      </w:r>
    </w:p>
    <w:p w:rsidR="00E97FA7" w:rsidRDefault="00EB752A">
      <w:pPr>
        <w:spacing w:after="0"/>
        <w:ind w:left="72" w:right="2104"/>
      </w:pPr>
      <w:r>
        <w:rPr>
          <w:b/>
        </w:rPr>
        <w:t xml:space="preserve">bankovní spojení:  </w:t>
      </w:r>
      <w:proofErr w:type="spellStart"/>
      <w:r>
        <w:t>UniCredit</w:t>
      </w:r>
      <w:proofErr w:type="spellEnd"/>
      <w:r>
        <w:t xml:space="preserve"> Bank, a.s., účet 817410004/2700</w:t>
      </w:r>
      <w:r>
        <w:rPr>
          <w:b/>
        </w:rPr>
        <w:t xml:space="preserve"> </w:t>
      </w:r>
    </w:p>
    <w:p w:rsidR="00E97FA7" w:rsidRDefault="00EB752A">
      <w:pPr>
        <w:spacing w:after="0"/>
        <w:ind w:left="72" w:right="148"/>
      </w:pPr>
      <w:r>
        <w:t xml:space="preserve">Obchodní společnost zapsaná v obchodním rejstříku vedeném Městským soudem v Praze, pod </w:t>
      </w:r>
      <w:proofErr w:type="spellStart"/>
      <w:r>
        <w:t>sp</w:t>
      </w:r>
      <w:proofErr w:type="spellEnd"/>
      <w:r>
        <w:t xml:space="preserve">. </w:t>
      </w:r>
      <w:proofErr w:type="spellStart"/>
      <w:r>
        <w:t>Zn</w:t>
      </w:r>
      <w:proofErr w:type="spellEnd"/>
      <w:r>
        <w:t xml:space="preserve"> B 574 </w:t>
      </w:r>
    </w:p>
    <w:p w:rsidR="00E97FA7" w:rsidRDefault="00EB752A">
      <w:pPr>
        <w:spacing w:after="161" w:line="259" w:lineRule="auto"/>
        <w:ind w:left="77" w:right="0" w:firstLine="0"/>
        <w:jc w:val="left"/>
      </w:pPr>
      <w:r>
        <w:t xml:space="preserve"> </w:t>
      </w:r>
    </w:p>
    <w:p w:rsidR="00E97FA7" w:rsidRDefault="00EB752A">
      <w:pPr>
        <w:spacing w:after="200"/>
        <w:ind w:left="72" w:right="148"/>
      </w:pPr>
      <w:r>
        <w:t>(dále jen „</w:t>
      </w:r>
      <w:r>
        <w:rPr>
          <w:b/>
        </w:rPr>
        <w:t>Poskytovatel</w:t>
      </w:r>
      <w:r>
        <w:t xml:space="preserve">“) </w:t>
      </w:r>
    </w:p>
    <w:p w:rsidR="00E97FA7" w:rsidRDefault="00EB752A">
      <w:pPr>
        <w:spacing w:after="225" w:line="250" w:lineRule="auto"/>
        <w:ind w:left="74" w:right="0"/>
        <w:jc w:val="left"/>
      </w:pPr>
      <w:r>
        <w:t>(společně též „</w:t>
      </w:r>
      <w:r>
        <w:rPr>
          <w:b/>
        </w:rPr>
        <w:t>Smluvní strana</w:t>
      </w:r>
      <w:r>
        <w:t>“ nebo „</w:t>
      </w:r>
      <w:r>
        <w:rPr>
          <w:b/>
        </w:rPr>
        <w:t>Smluvní strany</w:t>
      </w:r>
      <w:r>
        <w:t xml:space="preserve">“) </w:t>
      </w:r>
      <w:r>
        <w:tab/>
      </w:r>
      <w:r>
        <w:rPr>
          <w:b/>
        </w:rPr>
        <w:t xml:space="preserve"> Preambule </w:t>
      </w:r>
    </w:p>
    <w:p w:rsidR="00E97FA7" w:rsidRDefault="00EB752A">
      <w:pPr>
        <w:spacing w:after="350"/>
        <w:ind w:left="72" w:right="148"/>
      </w:pPr>
      <w:r>
        <w:t>Tato Smlouva je uzavírána s  Poskytovatelem na základě výsledku výběrového řízení veřejné zakázky s názvem „Zajištění cateringových služeb na Pražském hradě</w:t>
      </w:r>
      <w:r>
        <w:rPr>
          <w:b/>
        </w:rPr>
        <w:t>“</w:t>
      </w:r>
      <w:r>
        <w:t>, ve které byla nabídka Poskytovatele vybrána jako nejvhodnější. Pokud je v této Smlouvě odkazováno na zadávací podmínky, zadávací dokumentaci či nabídku Poskytovatele, míní se tím dokumenty související s výběrovým řízením této veřejné zakázky.</w:t>
      </w:r>
      <w:r>
        <w:rPr>
          <w:b/>
          <w:i/>
        </w:rPr>
        <w:t xml:space="preserve"> </w:t>
      </w:r>
    </w:p>
    <w:p w:rsidR="00E97FA7" w:rsidRDefault="00EB752A">
      <w:pPr>
        <w:spacing w:after="0" w:line="259" w:lineRule="auto"/>
        <w:ind w:left="10" w:right="83"/>
        <w:jc w:val="center"/>
      </w:pPr>
      <w:r>
        <w:rPr>
          <w:b/>
        </w:rPr>
        <w:t xml:space="preserve">Článek I. </w:t>
      </w:r>
    </w:p>
    <w:p w:rsidR="00E97FA7" w:rsidRDefault="00EB752A">
      <w:pPr>
        <w:spacing w:after="224" w:line="259" w:lineRule="auto"/>
        <w:ind w:left="10" w:right="78"/>
        <w:jc w:val="center"/>
      </w:pPr>
      <w:r>
        <w:rPr>
          <w:b/>
        </w:rPr>
        <w:t xml:space="preserve">Předmět Smlouvy </w:t>
      </w:r>
    </w:p>
    <w:p w:rsidR="00E97FA7" w:rsidRDefault="00EB752A">
      <w:pPr>
        <w:numPr>
          <w:ilvl w:val="0"/>
          <w:numId w:val="1"/>
        </w:numPr>
        <w:ind w:right="148" w:hanging="425"/>
      </w:pPr>
      <w:r>
        <w:lastRenderedPageBreak/>
        <w:t xml:space="preserve">Předmětem této Smlouvy je stanovení práv a povinností Smluvních stran při zajištění cateringu během slavnostní večeř </w:t>
      </w:r>
      <w:proofErr w:type="gramStart"/>
      <w:r>
        <w:t>Pražském</w:t>
      </w:r>
      <w:proofErr w:type="gramEnd"/>
      <w:r>
        <w:t xml:space="preserve"> hradě specifikace uvedené v odstavci 3 tohoto článku.  </w:t>
      </w:r>
    </w:p>
    <w:p w:rsidR="00E97FA7" w:rsidRDefault="00EB752A">
      <w:pPr>
        <w:numPr>
          <w:ilvl w:val="0"/>
          <w:numId w:val="1"/>
        </w:numPr>
        <w:ind w:right="148" w:hanging="425"/>
      </w:pPr>
      <w:r>
        <w:t xml:space="preserve">Předmětem Smlouvy je mimo jiné také oprávnění Objednatele zaslat Poskytovateli Objednávku v souladu s postupem uvedeným v čl. 2 Smlouvy k zajištění cateringu v rámci společenského podniku.  </w:t>
      </w:r>
    </w:p>
    <w:p w:rsidR="00E97FA7" w:rsidRDefault="00EB752A">
      <w:pPr>
        <w:numPr>
          <w:ilvl w:val="0"/>
          <w:numId w:val="1"/>
        </w:numPr>
        <w:ind w:right="148" w:hanging="425"/>
      </w:pPr>
      <w:r>
        <w:t xml:space="preserve">Předmětem plnění je: </w:t>
      </w:r>
    </w:p>
    <w:p w:rsidR="00E97FA7" w:rsidRDefault="00EB752A">
      <w:pPr>
        <w:numPr>
          <w:ilvl w:val="1"/>
          <w:numId w:val="1"/>
        </w:numPr>
        <w:ind w:right="148" w:hanging="360"/>
      </w:pPr>
      <w:r>
        <w:t xml:space="preserve">zajištění cateringu a souvisejících služeb v rámci společenského podniku konaného na Pražském hradě, přičemž toto zajištění obsahuje nejméně: </w:t>
      </w:r>
    </w:p>
    <w:p w:rsidR="00E97FA7" w:rsidRDefault="00EB752A">
      <w:pPr>
        <w:numPr>
          <w:ilvl w:val="2"/>
          <w:numId w:val="1"/>
        </w:numPr>
        <w:ind w:right="148" w:hanging="360"/>
      </w:pPr>
      <w:r>
        <w:t>„</w:t>
      </w:r>
      <w:proofErr w:type="spellStart"/>
      <w:r>
        <w:t>welcome</w:t>
      </w:r>
      <w:proofErr w:type="spellEnd"/>
      <w:r>
        <w:t xml:space="preserve"> drink“ s </w:t>
      </w:r>
      <w:proofErr w:type="spellStart"/>
      <w:r>
        <w:t>kanapkami</w:t>
      </w:r>
      <w:proofErr w:type="spellEnd"/>
      <w:r>
        <w:t xml:space="preserve"> </w:t>
      </w:r>
    </w:p>
    <w:p w:rsidR="00E97FA7" w:rsidRDefault="00EB752A">
      <w:pPr>
        <w:numPr>
          <w:ilvl w:val="2"/>
          <w:numId w:val="1"/>
        </w:numPr>
        <w:ind w:right="148" w:hanging="360"/>
      </w:pPr>
      <w:r>
        <w:t xml:space="preserve">studený a teplý předkrm </w:t>
      </w:r>
    </w:p>
    <w:p w:rsidR="00E97FA7" w:rsidRDefault="00EB752A">
      <w:pPr>
        <w:numPr>
          <w:ilvl w:val="2"/>
          <w:numId w:val="1"/>
        </w:numPr>
        <w:ind w:right="148" w:hanging="360"/>
      </w:pPr>
      <w:r>
        <w:t xml:space="preserve">hlavní chod </w:t>
      </w:r>
    </w:p>
    <w:p w:rsidR="00E97FA7" w:rsidRDefault="00EB752A">
      <w:pPr>
        <w:numPr>
          <w:ilvl w:val="2"/>
          <w:numId w:val="1"/>
        </w:numPr>
        <w:ind w:right="148" w:hanging="360"/>
      </w:pPr>
      <w:r>
        <w:t xml:space="preserve">sladký dezert  </w:t>
      </w:r>
    </w:p>
    <w:p w:rsidR="00E97FA7" w:rsidRDefault="00EB752A">
      <w:pPr>
        <w:numPr>
          <w:ilvl w:val="2"/>
          <w:numId w:val="1"/>
        </w:numPr>
        <w:ind w:right="148" w:hanging="360"/>
      </w:pPr>
      <w:r>
        <w:t xml:space="preserve">alkoholické a nealkoholické nápoje </w:t>
      </w:r>
    </w:p>
    <w:p w:rsidR="00E97FA7" w:rsidRDefault="00EB752A">
      <w:pPr>
        <w:numPr>
          <w:ilvl w:val="1"/>
          <w:numId w:val="1"/>
        </w:numPr>
        <w:ind w:right="148" w:hanging="360"/>
      </w:pPr>
      <w:r>
        <w:t xml:space="preserve">zajištění dostatečného počtu obslužného personálu; </w:t>
      </w:r>
    </w:p>
    <w:p w:rsidR="00E97FA7" w:rsidRDefault="00EB752A">
      <w:pPr>
        <w:numPr>
          <w:ilvl w:val="1"/>
          <w:numId w:val="1"/>
        </w:numPr>
        <w:ind w:right="148" w:hanging="360"/>
      </w:pPr>
      <w:r>
        <w:t xml:space="preserve">inventář a mobiliář; </w:t>
      </w:r>
    </w:p>
    <w:p w:rsidR="00E97FA7" w:rsidRDefault="00EB752A">
      <w:pPr>
        <w:numPr>
          <w:ilvl w:val="1"/>
          <w:numId w:val="1"/>
        </w:numPr>
        <w:ind w:right="148" w:hanging="360"/>
      </w:pPr>
      <w:r>
        <w:t xml:space="preserve">zajištění kulatých květinových parterů z čerstvých řezaných květin v gala aranžmá; </w:t>
      </w:r>
    </w:p>
    <w:p w:rsidR="00E97FA7" w:rsidRDefault="00EB752A">
      <w:pPr>
        <w:numPr>
          <w:ilvl w:val="1"/>
          <w:numId w:val="1"/>
        </w:numPr>
        <w:ind w:right="148" w:hanging="360"/>
      </w:pPr>
      <w:r>
        <w:t xml:space="preserve">zajištění dostatečného množství prostředků pro dezinfekci rukou; </w:t>
      </w:r>
    </w:p>
    <w:p w:rsidR="00E97FA7" w:rsidRDefault="00EB752A">
      <w:pPr>
        <w:numPr>
          <w:ilvl w:val="1"/>
          <w:numId w:val="1"/>
        </w:numPr>
        <w:ind w:right="148" w:hanging="360"/>
      </w:pPr>
      <w:r>
        <w:t xml:space="preserve">příprava cateringu včetně dovozu do místa plnění; </w:t>
      </w:r>
    </w:p>
    <w:p w:rsidR="00E97FA7" w:rsidRDefault="00EB752A">
      <w:pPr>
        <w:numPr>
          <w:ilvl w:val="1"/>
          <w:numId w:val="1"/>
        </w:numPr>
        <w:ind w:right="148" w:hanging="360"/>
      </w:pPr>
      <w:r>
        <w:t xml:space="preserve">dovoz/odvoz a montáž/demontáž technického vybavení; </w:t>
      </w:r>
    </w:p>
    <w:p w:rsidR="00E97FA7" w:rsidRDefault="00EB752A">
      <w:pPr>
        <w:numPr>
          <w:ilvl w:val="1"/>
          <w:numId w:val="1"/>
        </w:numPr>
        <w:ind w:right="148" w:hanging="360"/>
      </w:pPr>
      <w:r>
        <w:t xml:space="preserve">zajištění nádob na sběr a třídění odpadu. </w:t>
      </w:r>
    </w:p>
    <w:p w:rsidR="00E97FA7" w:rsidRDefault="00EB752A">
      <w:pPr>
        <w:spacing w:after="350"/>
        <w:ind w:left="512" w:right="148"/>
      </w:pPr>
      <w:r>
        <w:t xml:space="preserve">Bližší specifikace předmětu plnění je obsažena v příloze č. 1 Smlouvy – Specifikace předmětu plnění. </w:t>
      </w:r>
    </w:p>
    <w:p w:rsidR="00E97FA7" w:rsidRDefault="00EB752A">
      <w:pPr>
        <w:spacing w:after="0" w:line="259" w:lineRule="auto"/>
        <w:ind w:left="0" w:right="19" w:firstLine="0"/>
        <w:jc w:val="center"/>
      </w:pPr>
      <w:r>
        <w:rPr>
          <w:b/>
        </w:rPr>
        <w:t xml:space="preserve"> </w:t>
      </w:r>
    </w:p>
    <w:p w:rsidR="00E97FA7" w:rsidRDefault="00EB752A">
      <w:pPr>
        <w:spacing w:after="0" w:line="259" w:lineRule="auto"/>
        <w:ind w:left="0" w:right="19" w:firstLine="0"/>
        <w:jc w:val="center"/>
      </w:pPr>
      <w:r>
        <w:rPr>
          <w:b/>
        </w:rPr>
        <w:t xml:space="preserve"> </w:t>
      </w:r>
    </w:p>
    <w:p w:rsidR="00E97FA7" w:rsidRDefault="00EB752A">
      <w:pPr>
        <w:spacing w:after="0" w:line="259" w:lineRule="auto"/>
        <w:ind w:left="10" w:right="81"/>
        <w:jc w:val="center"/>
      </w:pPr>
      <w:r>
        <w:rPr>
          <w:b/>
        </w:rPr>
        <w:t xml:space="preserve">Článek II. </w:t>
      </w:r>
    </w:p>
    <w:p w:rsidR="00E97FA7" w:rsidRDefault="00EB752A">
      <w:pPr>
        <w:spacing w:after="224" w:line="259" w:lineRule="auto"/>
        <w:ind w:left="10" w:right="82"/>
        <w:jc w:val="center"/>
      </w:pPr>
      <w:r>
        <w:rPr>
          <w:b/>
        </w:rPr>
        <w:t xml:space="preserve">Místo, doba a způsob plnění </w:t>
      </w:r>
    </w:p>
    <w:p w:rsidR="00E97FA7" w:rsidRDefault="00EB752A">
      <w:pPr>
        <w:numPr>
          <w:ilvl w:val="0"/>
          <w:numId w:val="2"/>
        </w:numPr>
        <w:ind w:right="148" w:hanging="437"/>
      </w:pPr>
      <w:r>
        <w:t xml:space="preserve">Místem konání společenského podniku je Pražský hrad.  </w:t>
      </w:r>
    </w:p>
    <w:p w:rsidR="00E97FA7" w:rsidRDefault="00EB752A">
      <w:pPr>
        <w:numPr>
          <w:ilvl w:val="0"/>
          <w:numId w:val="2"/>
        </w:numPr>
        <w:ind w:right="148" w:hanging="437"/>
      </w:pPr>
      <w:r>
        <w:t xml:space="preserve">Společenský podnik proběhne </w:t>
      </w:r>
    </w:p>
    <w:p w:rsidR="00E97FA7" w:rsidRDefault="00EB752A">
      <w:pPr>
        <w:numPr>
          <w:ilvl w:val="0"/>
          <w:numId w:val="2"/>
        </w:numPr>
        <w:ind w:right="148" w:hanging="437"/>
      </w:pPr>
      <w:r>
        <w:t xml:space="preserve">Nejméně 1 měsíc před plánovaným termínem bude Poskytovateli doručena objednávka, která musí obsahovat minimálně tyto náležitosti: </w:t>
      </w:r>
    </w:p>
    <w:p w:rsidR="00E97FA7" w:rsidRDefault="00EB752A">
      <w:pPr>
        <w:numPr>
          <w:ilvl w:val="1"/>
          <w:numId w:val="2"/>
        </w:numPr>
        <w:ind w:right="148" w:hanging="360"/>
      </w:pPr>
      <w:r>
        <w:t xml:space="preserve">identifikační údaje Objednatele a Poskytovatele; </w:t>
      </w:r>
    </w:p>
    <w:p w:rsidR="00E97FA7" w:rsidRDefault="00EB752A">
      <w:pPr>
        <w:numPr>
          <w:ilvl w:val="1"/>
          <w:numId w:val="2"/>
        </w:numPr>
        <w:ind w:right="148" w:hanging="360"/>
      </w:pPr>
      <w:r>
        <w:t xml:space="preserve">datum, čas a místo konání společenského podniku </w:t>
      </w:r>
    </w:p>
    <w:p w:rsidR="00E97FA7" w:rsidRDefault="00EB752A">
      <w:pPr>
        <w:numPr>
          <w:ilvl w:val="1"/>
          <w:numId w:val="2"/>
        </w:numPr>
        <w:ind w:right="148" w:hanging="360"/>
      </w:pPr>
      <w:r>
        <w:t xml:space="preserve">předpokládaný počet účastníků </w:t>
      </w:r>
    </w:p>
    <w:p w:rsidR="00E97FA7" w:rsidRDefault="00EB752A">
      <w:pPr>
        <w:numPr>
          <w:ilvl w:val="1"/>
          <w:numId w:val="2"/>
        </w:numPr>
        <w:ind w:right="148" w:hanging="360"/>
      </w:pPr>
      <w:r>
        <w:t xml:space="preserve">požadavky na speciální </w:t>
      </w:r>
      <w:proofErr w:type="spellStart"/>
      <w:r>
        <w:t>dietologickou</w:t>
      </w:r>
      <w:proofErr w:type="spellEnd"/>
      <w:r>
        <w:t xml:space="preserve"> úpravu a jiná stravovací omezení; </w:t>
      </w:r>
    </w:p>
    <w:p w:rsidR="00E97FA7" w:rsidRDefault="00EB752A">
      <w:pPr>
        <w:numPr>
          <w:ilvl w:val="1"/>
          <w:numId w:val="2"/>
        </w:numPr>
        <w:ind w:right="148" w:hanging="360"/>
      </w:pPr>
      <w:r>
        <w:t xml:space="preserve">seznam podávaných pokrmů </w:t>
      </w:r>
    </w:p>
    <w:p w:rsidR="00E97FA7" w:rsidRDefault="00EB752A">
      <w:pPr>
        <w:numPr>
          <w:ilvl w:val="1"/>
          <w:numId w:val="2"/>
        </w:numPr>
        <w:ind w:right="148" w:hanging="360"/>
      </w:pPr>
      <w:r>
        <w:lastRenderedPageBreak/>
        <w:t xml:space="preserve">cenu objednaných služeb; </w:t>
      </w:r>
    </w:p>
    <w:p w:rsidR="00E97FA7" w:rsidRDefault="00EB752A">
      <w:pPr>
        <w:numPr>
          <w:ilvl w:val="1"/>
          <w:numId w:val="2"/>
        </w:numPr>
        <w:ind w:right="148" w:hanging="360"/>
      </w:pPr>
      <w:r>
        <w:t xml:space="preserve">jméno a podpis oprávněné osoby. </w:t>
      </w:r>
    </w:p>
    <w:p w:rsidR="00E97FA7" w:rsidRDefault="00EB752A">
      <w:pPr>
        <w:numPr>
          <w:ilvl w:val="0"/>
          <w:numId w:val="2"/>
        </w:numPr>
        <w:ind w:right="148" w:hanging="437"/>
      </w:pPr>
      <w:r>
        <w:t xml:space="preserve">Poskytovatel je povinen potvrdit přijetí objednávky nejpozději následující pracovní den, který následuje po dni doručení objednávky.  </w:t>
      </w:r>
    </w:p>
    <w:p w:rsidR="00E97FA7" w:rsidRDefault="00EB752A">
      <w:pPr>
        <w:numPr>
          <w:ilvl w:val="0"/>
          <w:numId w:val="2"/>
        </w:numPr>
        <w:ind w:right="148" w:hanging="437"/>
      </w:pPr>
      <w:r>
        <w:t xml:space="preserve">Poskytovatel je povinen nejpozději 10 dnů před termínem společenského podniku dodat poskytovateli jmenný seznam osob, které budou přítomny během akce na Pražském hradě. Objednatel provede ve spolupráci s BIS ČR bezpečnostní lustraci všech osob, které se budou podílet na realizaci akce na Pražském hradě. V případě, že některá z osob neprojde bezpečnostní lustrací, zajistí Poskytovatel náhradní osobu. </w:t>
      </w:r>
    </w:p>
    <w:p w:rsidR="00E97FA7" w:rsidRDefault="00EB752A">
      <w:pPr>
        <w:numPr>
          <w:ilvl w:val="0"/>
          <w:numId w:val="2"/>
        </w:numPr>
        <w:ind w:right="148" w:hanging="437"/>
      </w:pPr>
      <w:r>
        <w:t xml:space="preserve">Poskytovatel se zavazuje zajistit, aby veškeré služby zajišťovaly a poskytovaly osoby k tomu způsobilé a proškolené, které mají plnou způsobilost nakládat s potravinami a nápoji a splňují veškeré náležitosti stanovené právními předpisy pro poskytování tohoto druhu služeb. </w:t>
      </w:r>
    </w:p>
    <w:p w:rsidR="00E97FA7" w:rsidRDefault="00EB752A">
      <w:pPr>
        <w:numPr>
          <w:ilvl w:val="0"/>
          <w:numId w:val="2"/>
        </w:numPr>
        <w:spacing w:after="350"/>
        <w:ind w:right="148" w:hanging="437"/>
      </w:pPr>
      <w:r>
        <w:t xml:space="preserve">Poskytovatel je povinen bezodkladně po skončení společenského podniku vyklidit (tj. odstranit veškeré své věci) konkrétní prostor v místě konání, kde byl předmět plnění poskytován, a ostatní prostory, k nimž mu byl Objednatelem umožněn přístup, odstranit veškeré zbytky podávaného občerstvení, odstranit odpad vzniklý při poskytování služeb a předat prostor Objednateli ve smluveném stavu. </w:t>
      </w:r>
    </w:p>
    <w:p w:rsidR="00E97FA7" w:rsidRDefault="00EB752A">
      <w:pPr>
        <w:spacing w:after="0" w:line="259" w:lineRule="auto"/>
        <w:ind w:left="10" w:right="78"/>
        <w:jc w:val="center"/>
      </w:pPr>
      <w:r>
        <w:rPr>
          <w:b/>
        </w:rPr>
        <w:t xml:space="preserve">Článek III. </w:t>
      </w:r>
    </w:p>
    <w:p w:rsidR="00E97FA7" w:rsidRDefault="00EB752A">
      <w:pPr>
        <w:spacing w:after="224" w:line="259" w:lineRule="auto"/>
        <w:ind w:left="10" w:right="80"/>
        <w:jc w:val="center"/>
      </w:pPr>
      <w:r>
        <w:rPr>
          <w:b/>
        </w:rPr>
        <w:t xml:space="preserve">Práva a povinnosti Smluvních stran </w:t>
      </w:r>
    </w:p>
    <w:p w:rsidR="00E97FA7" w:rsidRDefault="00EB752A">
      <w:pPr>
        <w:numPr>
          <w:ilvl w:val="0"/>
          <w:numId w:val="3"/>
        </w:numPr>
        <w:ind w:right="148" w:hanging="427"/>
      </w:pPr>
      <w:r>
        <w:t xml:space="preserve">Poskytovatel a Objednatel jsou povinni si poskytovat součinnost a vzájemně se informovat o všech okolnostech důležitých pro řádné a včasné plnění Smlouvy. </w:t>
      </w:r>
    </w:p>
    <w:p w:rsidR="00E97FA7" w:rsidRDefault="00EB752A">
      <w:pPr>
        <w:numPr>
          <w:ilvl w:val="0"/>
          <w:numId w:val="3"/>
        </w:numPr>
        <w:ind w:right="148" w:hanging="427"/>
      </w:pPr>
      <w:r>
        <w:t xml:space="preserve">Objednatel se zavazuje za řádně a včas poskytnutý předmět plnění zaplatit Poskytovateli cenu za předmět plnění dle čl. 4 Smlouvy. </w:t>
      </w:r>
    </w:p>
    <w:p w:rsidR="00E97FA7" w:rsidRDefault="00EB752A">
      <w:pPr>
        <w:numPr>
          <w:ilvl w:val="0"/>
          <w:numId w:val="3"/>
        </w:numPr>
        <w:ind w:right="148" w:hanging="427"/>
      </w:pPr>
      <w:r>
        <w:t xml:space="preserve">Poskytovatel je povinen poskytovat Předmět plnění dle této Smlouvy na své náklady a na své nebezpečí. </w:t>
      </w:r>
    </w:p>
    <w:p w:rsidR="00E97FA7" w:rsidRDefault="00EB752A">
      <w:pPr>
        <w:numPr>
          <w:ilvl w:val="0"/>
          <w:numId w:val="3"/>
        </w:numPr>
        <w:ind w:right="148" w:hanging="427"/>
      </w:pPr>
      <w:r>
        <w:t xml:space="preserve">Poskytovatel se zavazuje poskytovat předmět plnění řádně a včas, s potřebnou odbornou péčí, podle pokynů Objednatele a v souladu se zájmy Objednatele, jakož i právními předpisy.  </w:t>
      </w:r>
    </w:p>
    <w:p w:rsidR="00E97FA7" w:rsidRDefault="00EB752A">
      <w:pPr>
        <w:numPr>
          <w:ilvl w:val="0"/>
          <w:numId w:val="3"/>
        </w:numPr>
        <w:ind w:right="148" w:hanging="427"/>
      </w:pPr>
      <w:r>
        <w:t xml:space="preserve">Poskytovatel se zavazuje sdělovat Objednateli bez zbytečného odkladu všechny skutečnosti, které by mohly ovlivnit či změnit pokyny či zájmy Objednatele. Zjistí-li Poskytovatel, že pokyny Objednatele jsou nevhodné či neúčelné pro poskytování Předmětu plnění, je povinen na to Objednatele upozornit.  </w:t>
      </w:r>
    </w:p>
    <w:p w:rsidR="00E97FA7" w:rsidRDefault="00EB752A">
      <w:pPr>
        <w:numPr>
          <w:ilvl w:val="0"/>
          <w:numId w:val="3"/>
        </w:numPr>
        <w:ind w:right="148" w:hanging="427"/>
      </w:pPr>
      <w:r>
        <w:t xml:space="preserve">Poskytovatel se zavazuje poskytovat Předmět plnění v souladu s touto Smlouvou (vč. všech příloh) a Objednávkami (vč. všech eventuálních příloh), jakož i dokumenty zadávacího řízení. V případě rozporu vyjmenovaných podkladů mají přednost ustanovení této Smlouvy (vč. příloh).  </w:t>
      </w:r>
    </w:p>
    <w:p w:rsidR="00E97FA7" w:rsidRDefault="00EB752A">
      <w:pPr>
        <w:numPr>
          <w:ilvl w:val="0"/>
          <w:numId w:val="3"/>
        </w:numPr>
        <w:ind w:right="148" w:hanging="427"/>
      </w:pPr>
      <w:r>
        <w:t xml:space="preserve">Poskytovatel je povinen mít po celou dobu trvání této Smlouvy uzavřené pojištění odpovědnosti za škodu způsobenou jeho činností či nečinností v důsledku plnění Smlouvy s tím, že pojistná smlouva musí zahrnovat odpovědnost Poskytovatele za škodu způsobenou Objednateli nebo třetí osobě až do výše sjednané pojistné částky. Dokument prokazující sjednání pojištění je přílohou č. 4 Smlouvy, přičemž smluvní strany se dohodly, </w:t>
      </w:r>
      <w:r>
        <w:lastRenderedPageBreak/>
        <w:t xml:space="preserve">že pouze jeden stejnopis Smlouvy, ponechávaný Objednateli, bude obsahovat úřední opis uvedeného dokumentu, ostatní stejnopisy budou obsahovat prostou kopii. Objednatel je oprávněn kdykoliv během účinnosti Smlouvy požádat Poskytovatele o doložení dokumentu, prokazujícího trvání pojištění k aktuálnímu datu a Poskytovatel je povinen vyhovět takovému požadavku ve lhůtě 5 pracovních dní ode dne doručení žádosti. </w:t>
      </w:r>
    </w:p>
    <w:p w:rsidR="00E97FA7" w:rsidRDefault="00EB752A">
      <w:pPr>
        <w:numPr>
          <w:ilvl w:val="0"/>
          <w:numId w:val="3"/>
        </w:numPr>
        <w:ind w:right="148" w:hanging="427"/>
      </w:pPr>
      <w:r>
        <w:t xml:space="preserve">Objednatel si vyhrazuje právo na zpětvzetí Objednávky z objektivních důvodů vyšší moci dle čl. IX této Smlouvy, které nemohl v době odeslání Objednávky předvídat. V případě, že Objednatel zruší Objednávku z důvodu výskytu vyšší moci dle čl. IX této Smlouvy více než 3 pracovní dny před plánovaným dnem poskytnutí Dílčího plnění, nemá Poskytovatel nárok na jakékoliv plnění ze strany Objednatele. V případě, že Objednatel zruší Objednávku z důvodu vyšší moci dle čl. IX této Smlouvy méně než 3 pracovní dny před plánovaným dnem poskytnutí Dílčího plnění, má Poskytovatel právo na náhradu účelně vynaložených nákladů při přípravě k poskytnutí Dílčího plnění. </w:t>
      </w:r>
    </w:p>
    <w:p w:rsidR="00E97FA7" w:rsidRDefault="00EB752A">
      <w:pPr>
        <w:numPr>
          <w:ilvl w:val="0"/>
          <w:numId w:val="3"/>
        </w:numPr>
        <w:ind w:right="148" w:hanging="427"/>
      </w:pPr>
      <w:r>
        <w:t xml:space="preserve">Objednatel požaduje ve lhůtě 15 dnů před zahájením plnění veřejné zakázky dodat od poskytovatele osobní údaje veškerého personálu, který se bude podílet na přípravě akce. Všichni členové personálu musí projít z bezpečnostních důvodů lustrací BIS s ohledem na bezpečnost konání akce nejvyšší politické důležitosti.  </w:t>
      </w:r>
    </w:p>
    <w:p w:rsidR="00E97FA7" w:rsidRDefault="00EB752A">
      <w:pPr>
        <w:numPr>
          <w:ilvl w:val="0"/>
          <w:numId w:val="3"/>
        </w:numPr>
        <w:ind w:right="148" w:hanging="427"/>
      </w:pPr>
      <w:r>
        <w:t xml:space="preserve">Objednatel požaduje schopnost obsluhujícího personálu základní konverzace v angličtině a jednotné oblečení obsluhujícího personálu: </w:t>
      </w:r>
    </w:p>
    <w:p w:rsidR="00E97FA7" w:rsidRDefault="00EB752A">
      <w:pPr>
        <w:spacing w:after="8" w:line="342" w:lineRule="auto"/>
        <w:ind w:left="807" w:right="3485"/>
      </w:pPr>
      <w:r>
        <w:t xml:space="preserve">muži – černé kalhoty a bílá košile s motýlkem ženy- černá sukně nebo kalhoty, bílá halenka </w:t>
      </w:r>
    </w:p>
    <w:p w:rsidR="00E97FA7" w:rsidRDefault="00EB752A">
      <w:pPr>
        <w:numPr>
          <w:ilvl w:val="0"/>
          <w:numId w:val="3"/>
        </w:numPr>
        <w:spacing w:after="144"/>
        <w:ind w:right="148" w:hanging="427"/>
      </w:pPr>
      <w:r>
        <w:t xml:space="preserve">Poskytovatel je povinen zajistit, aby se na provádění prací dle této Smlouvy podílela osoba odpovědná za realizaci, vedení a komunikaci během plnění zakázky. </w:t>
      </w:r>
    </w:p>
    <w:p w:rsidR="00E97FA7" w:rsidRDefault="00EB752A">
      <w:pPr>
        <w:tabs>
          <w:tab w:val="center" w:pos="1311"/>
          <w:tab w:val="center" w:pos="5322"/>
        </w:tabs>
        <w:spacing w:after="0" w:line="259" w:lineRule="auto"/>
        <w:ind w:left="0" w:right="0" w:firstLine="0"/>
        <w:jc w:val="left"/>
      </w:pPr>
      <w:r>
        <w:rPr>
          <w:rFonts w:ascii="Calibri" w:eastAsia="Calibri" w:hAnsi="Calibri" w:cs="Calibri"/>
          <w:sz w:val="22"/>
        </w:rPr>
        <w:tab/>
      </w:r>
      <w:r>
        <w:t xml:space="preserve">Manažer zakázky: </w:t>
      </w:r>
      <w:r>
        <w:tab/>
      </w:r>
      <w:r>
        <w:rPr>
          <w:i/>
        </w:rPr>
        <w:t xml:space="preserve"> </w:t>
      </w:r>
    </w:p>
    <w:p w:rsidR="00E97FA7" w:rsidRDefault="00EB752A">
      <w:pPr>
        <w:spacing w:after="336" w:line="259" w:lineRule="auto"/>
        <w:ind w:left="797" w:right="0" w:firstLine="0"/>
        <w:jc w:val="left"/>
      </w:pPr>
      <w:r>
        <w:t xml:space="preserve"> </w:t>
      </w:r>
    </w:p>
    <w:p w:rsidR="00E97FA7" w:rsidRDefault="00EB752A">
      <w:pPr>
        <w:spacing w:after="0" w:line="259" w:lineRule="auto"/>
        <w:ind w:left="10" w:right="82"/>
        <w:jc w:val="center"/>
      </w:pPr>
      <w:r>
        <w:rPr>
          <w:b/>
        </w:rPr>
        <w:t xml:space="preserve">Článek IV. </w:t>
      </w:r>
    </w:p>
    <w:p w:rsidR="00E97FA7" w:rsidRDefault="00EB752A">
      <w:pPr>
        <w:spacing w:after="224" w:line="259" w:lineRule="auto"/>
        <w:ind w:left="10" w:right="82"/>
        <w:jc w:val="center"/>
      </w:pPr>
      <w:r>
        <w:rPr>
          <w:b/>
        </w:rPr>
        <w:t xml:space="preserve">Cena a platební podmínky </w:t>
      </w:r>
    </w:p>
    <w:p w:rsidR="00E97FA7" w:rsidRDefault="00EB752A">
      <w:pPr>
        <w:numPr>
          <w:ilvl w:val="0"/>
          <w:numId w:val="4"/>
        </w:numPr>
        <w:ind w:right="148" w:hanging="427"/>
      </w:pPr>
      <w:r>
        <w:t xml:space="preserve">Smluvní strany sjednávají za řádné poskytování cateringových služeb realizovaných na základě objednávky v rámci této Smlouvy cenu ve výši </w:t>
      </w:r>
      <w:r>
        <w:rPr>
          <w:b/>
        </w:rPr>
        <w:t>789.802,00 Kč vč. DPH</w:t>
      </w:r>
      <w:r>
        <w:t xml:space="preserve"> (698.800,00 Kč bez DPH), která je cenou maximální a je uvedena v Příloze č. 2 </w:t>
      </w:r>
      <w:proofErr w:type="gramStart"/>
      <w:r>
        <w:t>této</w:t>
      </w:r>
      <w:proofErr w:type="gramEnd"/>
      <w:r>
        <w:t xml:space="preserve"> smlouvy. </w:t>
      </w:r>
    </w:p>
    <w:p w:rsidR="00E97FA7" w:rsidRDefault="00EB752A">
      <w:pPr>
        <w:numPr>
          <w:ilvl w:val="0"/>
          <w:numId w:val="4"/>
        </w:numPr>
        <w:ind w:right="148" w:hanging="427"/>
      </w:pPr>
      <w:r>
        <w:t xml:space="preserve">Cena za Předmět plnění bude uhrazena na základě faktury vystavené Poskytovatelem nejpozději do 21 dní ode dne, kdy byl předmět plnění objednávky uskutečněn. </w:t>
      </w:r>
    </w:p>
    <w:p w:rsidR="00E97FA7" w:rsidRDefault="00EB752A">
      <w:pPr>
        <w:numPr>
          <w:ilvl w:val="0"/>
          <w:numId w:val="4"/>
        </w:numPr>
        <w:ind w:right="148" w:hanging="427"/>
      </w:pPr>
      <w:r>
        <w:t xml:space="preserve">Faktura musí obsahovat číslo této Smlouvy, číslo objednávky a náležitosti řádného daňového dokladu podle příslušných právních předpisů, zejména pak zákona o dani </w:t>
      </w:r>
    </w:p>
    <w:p w:rsidR="00E97FA7" w:rsidRDefault="00EB752A">
      <w:pPr>
        <w:ind w:left="447" w:right="148"/>
      </w:pPr>
      <w:r>
        <w:t xml:space="preserve">z přidané hodnoty v platném znění a náležitosti obchodní listiny dle občanského zákoníku. Dále musí faktura obsahovat přesnou identifikaci předmětu plnění podle konkrétní objednávky. V případě, že faktura nebude mít odpovídající náležitosti nebo nebude vystavena v souladu s touto Smlouvou, je Objednatel oprávněn zaslat ji zpět k doplnění dodavateli, aniž se dostane do prodlení se splatností, lhůta splatnosti počíná běžet znovu od opětovného doručení náležitě doplněné či opravené faktury Objednateli. </w:t>
      </w:r>
    </w:p>
    <w:p w:rsidR="00E97FA7" w:rsidRDefault="00EB752A">
      <w:pPr>
        <w:spacing w:after="350"/>
        <w:ind w:left="512" w:right="148"/>
      </w:pPr>
      <w:r>
        <w:lastRenderedPageBreak/>
        <w:t xml:space="preserve">Splatnost faktury je 21 dnů od data jejího prokazatelného doručení Objednateli na adresu uvedenou v této Smlouvě. </w:t>
      </w:r>
    </w:p>
    <w:p w:rsidR="00E97FA7" w:rsidRDefault="00EB752A">
      <w:pPr>
        <w:spacing w:after="0" w:line="259" w:lineRule="auto"/>
        <w:ind w:left="10" w:right="80"/>
        <w:jc w:val="center"/>
      </w:pPr>
      <w:r>
        <w:rPr>
          <w:b/>
        </w:rPr>
        <w:t xml:space="preserve">Článek V. </w:t>
      </w:r>
    </w:p>
    <w:p w:rsidR="00E97FA7" w:rsidRDefault="00EB752A">
      <w:pPr>
        <w:spacing w:after="225" w:line="259" w:lineRule="auto"/>
        <w:ind w:left="10" w:right="81"/>
        <w:jc w:val="center"/>
      </w:pPr>
      <w:r>
        <w:rPr>
          <w:b/>
        </w:rPr>
        <w:t xml:space="preserve">Úrok z prodlení a smluvní pokuty </w:t>
      </w:r>
    </w:p>
    <w:p w:rsidR="00E97FA7" w:rsidRDefault="00EB752A">
      <w:pPr>
        <w:numPr>
          <w:ilvl w:val="0"/>
          <w:numId w:val="5"/>
        </w:numPr>
        <w:ind w:right="148" w:hanging="425"/>
      </w:pPr>
      <w:r>
        <w:t xml:space="preserve">Je-li Objednatel v prodlení s úhradou plateb dle článku IV. této smlouvy, je Poskytovatel oprávněn požadovat na Objednateli úrok z prodlení z neuhrazené dlužné částky podle konkrétní faktury za každý den prodlení ve výši stanovené nařízením vlády, kterým se stanoví výše úroků z prodlení. </w:t>
      </w:r>
    </w:p>
    <w:p w:rsidR="00E97FA7" w:rsidRDefault="00EB752A">
      <w:pPr>
        <w:numPr>
          <w:ilvl w:val="0"/>
          <w:numId w:val="5"/>
        </w:numPr>
        <w:spacing w:after="350"/>
        <w:ind w:right="148" w:hanging="425"/>
      </w:pPr>
      <w:r>
        <w:t xml:space="preserve">V případě, že Poskytovatel odmítne poskytnout plnění v souladu s touto Smlouvou, nebo odmítne potvrdit objednávku dle čl. II odst. 4 </w:t>
      </w:r>
      <w:proofErr w:type="gramStart"/>
      <w:r>
        <w:t>této</w:t>
      </w:r>
      <w:proofErr w:type="gramEnd"/>
      <w:r>
        <w:t xml:space="preserve"> Smlouvy, má Objednatel právo požadovat úhradu smluvní pokuty ve výši 5.000.000,- Kč, tímto ustanovením o smluvní pokutě není dotčen nárok na úhradu případně vzniklé škody.  </w:t>
      </w:r>
    </w:p>
    <w:p w:rsidR="00E97FA7" w:rsidRDefault="00EB752A">
      <w:pPr>
        <w:spacing w:after="0" w:line="259" w:lineRule="auto"/>
        <w:ind w:left="10" w:right="82"/>
        <w:jc w:val="center"/>
      </w:pPr>
      <w:r>
        <w:rPr>
          <w:b/>
        </w:rPr>
        <w:t xml:space="preserve">Článek VI. </w:t>
      </w:r>
    </w:p>
    <w:p w:rsidR="00E97FA7" w:rsidRDefault="00EB752A">
      <w:pPr>
        <w:spacing w:after="224" w:line="259" w:lineRule="auto"/>
        <w:ind w:left="10" w:right="80"/>
        <w:jc w:val="center"/>
      </w:pPr>
      <w:r>
        <w:rPr>
          <w:b/>
        </w:rPr>
        <w:t xml:space="preserve">Náhrada škody </w:t>
      </w:r>
    </w:p>
    <w:p w:rsidR="00E97FA7" w:rsidRDefault="00EB752A">
      <w:pPr>
        <w:numPr>
          <w:ilvl w:val="0"/>
          <w:numId w:val="6"/>
        </w:numPr>
        <w:ind w:right="148" w:hanging="427"/>
      </w:pPr>
      <w:r>
        <w:t xml:space="preserve">Smluvní strany sjednávají, že náhrada škody se bude řídit právními předpisy, není-li v této Smlouvě ujednáno jinak. </w:t>
      </w:r>
    </w:p>
    <w:p w:rsidR="00E97FA7" w:rsidRDefault="00EB752A">
      <w:pPr>
        <w:numPr>
          <w:ilvl w:val="0"/>
          <w:numId w:val="6"/>
        </w:numPr>
        <w:ind w:right="148" w:hanging="427"/>
      </w:pPr>
      <w:r>
        <w:t xml:space="preserve">Objednatel odpovídá za každé zaviněné porušení smluvní povinnosti. </w:t>
      </w:r>
    </w:p>
    <w:p w:rsidR="00E97FA7" w:rsidRDefault="00EB752A">
      <w:pPr>
        <w:numPr>
          <w:ilvl w:val="0"/>
          <w:numId w:val="6"/>
        </w:numPr>
        <w:ind w:right="148" w:hanging="427"/>
      </w:pPr>
      <w:r>
        <w:t xml:space="preserve">Poskytovatel odpovídá mimo jiné za veškerou škodu, která vznikne v důsledku vadného poskytování Předmětu plnění nebo v důsledku porušení jiné právní povinnosti Poskytovatele. </w:t>
      </w:r>
    </w:p>
    <w:p w:rsidR="00E97FA7" w:rsidRDefault="00EB752A">
      <w:pPr>
        <w:numPr>
          <w:ilvl w:val="0"/>
          <w:numId w:val="6"/>
        </w:numPr>
        <w:ind w:right="148" w:hanging="427"/>
      </w:pPr>
      <w:r>
        <w:t xml:space="preserve">Škodou vzniklou porušením právní povinnosti Poskytovatele je i taková škoda, která vznikne Objednateli oprávněným odstoupením Objednatele od Smlouvy nebo od objednávky nebo v jeho důsledku. Takovou škodou jsou mimo jiné náklady vzniklé Objednateli v souvislosti se zajištěním náhradního plnění. </w:t>
      </w:r>
    </w:p>
    <w:p w:rsidR="00E97FA7" w:rsidRDefault="00EB752A">
      <w:pPr>
        <w:numPr>
          <w:ilvl w:val="0"/>
          <w:numId w:val="6"/>
        </w:numPr>
        <w:ind w:right="148" w:hanging="427"/>
      </w:pPr>
      <w:r>
        <w:t xml:space="preserve">Škodu hradí škůdce v penězích, nežádá-li poškozený uvedení do předešlého stavu. </w:t>
      </w:r>
    </w:p>
    <w:p w:rsidR="00E97FA7" w:rsidRDefault="00EB752A">
      <w:pPr>
        <w:numPr>
          <w:ilvl w:val="0"/>
          <w:numId w:val="6"/>
        </w:numPr>
        <w:spacing w:after="141"/>
        <w:ind w:right="148" w:hanging="427"/>
      </w:pPr>
      <w:r>
        <w:t xml:space="preserve">Náhrada škody je splatná ve lhůtě 7 dnů od doručení písemné výzvy oprávněné Smluvní strany Smluvní straně povinné z náhrady škody. </w:t>
      </w:r>
    </w:p>
    <w:p w:rsidR="00E97FA7" w:rsidRDefault="00EB752A">
      <w:pPr>
        <w:spacing w:after="0" w:line="259" w:lineRule="auto"/>
        <w:ind w:left="77" w:right="0" w:firstLine="0"/>
        <w:jc w:val="left"/>
      </w:pPr>
      <w:r>
        <w:t xml:space="preserve"> </w:t>
      </w:r>
      <w:r>
        <w:tab/>
      </w:r>
      <w:r>
        <w:rPr>
          <w:b/>
        </w:rPr>
        <w:t xml:space="preserve"> </w:t>
      </w:r>
    </w:p>
    <w:p w:rsidR="00E97FA7" w:rsidRDefault="00EB752A">
      <w:pPr>
        <w:spacing w:after="0" w:line="259" w:lineRule="auto"/>
        <w:ind w:left="10" w:right="80"/>
        <w:jc w:val="center"/>
      </w:pPr>
      <w:r>
        <w:rPr>
          <w:b/>
        </w:rPr>
        <w:t xml:space="preserve">Článek VII. </w:t>
      </w:r>
    </w:p>
    <w:p w:rsidR="00E97FA7" w:rsidRDefault="00EB752A">
      <w:pPr>
        <w:spacing w:after="224" w:line="259" w:lineRule="auto"/>
        <w:ind w:left="10" w:right="81"/>
        <w:jc w:val="center"/>
      </w:pPr>
      <w:r>
        <w:rPr>
          <w:b/>
        </w:rPr>
        <w:t xml:space="preserve">Odpovědnost za vady </w:t>
      </w:r>
    </w:p>
    <w:p w:rsidR="00E97FA7" w:rsidRDefault="00EB752A">
      <w:pPr>
        <w:numPr>
          <w:ilvl w:val="0"/>
          <w:numId w:val="7"/>
        </w:numPr>
        <w:ind w:right="148" w:hanging="427"/>
      </w:pPr>
      <w:r>
        <w:t xml:space="preserve">Poskytovatel je povinen poskytovat předmět plnění v souladu s požadavky definovanými v objednávce a v souladu s touto Smlouvou. Objednatel je povinen za řádně poskytnutý předmět plnění zaplatit cenu za předmět plnění dle čl. 3 </w:t>
      </w:r>
      <w:proofErr w:type="gramStart"/>
      <w:r>
        <w:t>této</w:t>
      </w:r>
      <w:proofErr w:type="gramEnd"/>
      <w:r>
        <w:t xml:space="preserve"> Smlouvy. Při nedodržení těchto povinností se jedná o vadné plnění. </w:t>
      </w:r>
    </w:p>
    <w:p w:rsidR="00E97FA7" w:rsidRDefault="00EB752A">
      <w:pPr>
        <w:numPr>
          <w:ilvl w:val="0"/>
          <w:numId w:val="7"/>
        </w:numPr>
        <w:ind w:right="148" w:hanging="427"/>
      </w:pPr>
      <w:r>
        <w:t xml:space="preserve">Zjistí-li Objednatel nedostatky poskytnutého předmětu plnění týkající se množství, druhu, způsobu a kvality provedení předmětu plnění, provede o těchto nedostatcích v průběhu konání společenské akce zápis se soupisem výhrad, který předloží nejpozději bezprostředně po ukončení předmětné akce Poskytovateli k podpisu. Nesouhlasí-li Poskytovatel s uvedenými výhradami, je povinen je písemně v zápise rozporovat. Nerozporuje-li Poskytovatel výhrady uvedené Objednatelem v zápise, má se za to, že s výhradami </w:t>
      </w:r>
      <w:r>
        <w:lastRenderedPageBreak/>
        <w:t xml:space="preserve">souhlasí. Objednatel i Poskytovatel jsou povinni stvrdit obsah zápisu svým jménem a podpisem, přičemž zároveň sjednají a uvedou v zápise způsob a termín provedení nápravy vadného plnění. V případě, kdy vadné plnění lze napravit více způsoby, sjedná se způsob dle volby Objednatele. </w:t>
      </w:r>
    </w:p>
    <w:p w:rsidR="00E97FA7" w:rsidRDefault="00EB752A">
      <w:pPr>
        <w:numPr>
          <w:ilvl w:val="0"/>
          <w:numId w:val="7"/>
        </w:numPr>
        <w:spacing w:after="350"/>
        <w:ind w:right="148" w:hanging="427"/>
      </w:pPr>
      <w:r>
        <w:t xml:space="preserve">Pokud Poskytovatel výhrady dle odst. 2 tohoto článku neodstraní v termínu uvedeném v zápisu, je Objednatel oprávněn uplatnit práva stanovená zákonem nebo podle své volby odstranit vytýkané nedostatky nebo zajistit Předmět plnění sám nebo prostřednictvím třetích osob a požadovat po Poskytovateli úhradu nákladů účelně vynaložených v souvislosti s takovým odstraňováním. Uplatněním práva podle tohoto článku není dotčeno právo Objednatele na odstoupení od Smlouvy nebo objednávky, smluvní pokutu a náhradu škody. </w:t>
      </w:r>
    </w:p>
    <w:p w:rsidR="00E97FA7" w:rsidRDefault="00EB752A">
      <w:pPr>
        <w:spacing w:after="0" w:line="259" w:lineRule="auto"/>
        <w:ind w:left="10" w:right="83"/>
        <w:jc w:val="center"/>
      </w:pPr>
      <w:r>
        <w:rPr>
          <w:b/>
        </w:rPr>
        <w:t xml:space="preserve">Článek VIII. </w:t>
      </w:r>
    </w:p>
    <w:p w:rsidR="00E97FA7" w:rsidRDefault="00EB752A">
      <w:pPr>
        <w:spacing w:after="224" w:line="259" w:lineRule="auto"/>
        <w:ind w:left="10" w:right="77"/>
        <w:jc w:val="center"/>
      </w:pPr>
      <w:r>
        <w:rPr>
          <w:b/>
        </w:rPr>
        <w:t xml:space="preserve">Doba trvání a ukončení smlouvy </w:t>
      </w:r>
    </w:p>
    <w:p w:rsidR="00E97FA7" w:rsidRDefault="00EB752A">
      <w:pPr>
        <w:numPr>
          <w:ilvl w:val="0"/>
          <w:numId w:val="8"/>
        </w:numPr>
        <w:ind w:right="148" w:hanging="427"/>
      </w:pPr>
      <w:r>
        <w:t xml:space="preserve">Tato Smlouva se uzavírá na dobu určitou s účinností ode dne jejího podpisu Smluvními stranami do </w:t>
      </w:r>
      <w:proofErr w:type="gramStart"/>
      <w:r>
        <w:t>30.5.2024</w:t>
      </w:r>
      <w:proofErr w:type="gramEnd"/>
      <w:r>
        <w:t xml:space="preserve"> </w:t>
      </w:r>
    </w:p>
    <w:p w:rsidR="00E97FA7" w:rsidRDefault="00EB752A">
      <w:pPr>
        <w:numPr>
          <w:ilvl w:val="0"/>
          <w:numId w:val="8"/>
        </w:numPr>
        <w:ind w:right="148" w:hanging="427"/>
      </w:pPr>
      <w:r>
        <w:t xml:space="preserve">Tato Smlouva může být končena před uplynutím doby uvedené v odst. 1 tohoto článku písemnou dohodou smluvních stran, podepsanou osobami oprávněnými k jednání za smluvní strany, přičemž účinky ukončení Smlouvy nastanou k okamžiku stanovenému v takové dohodě. Nebude-li takový okamžik stanoven, pak tyto účinky nastanou ke dni podpisu smlouvy smluvními stranami. </w:t>
      </w:r>
    </w:p>
    <w:p w:rsidR="00E97FA7" w:rsidRDefault="00EB752A">
      <w:pPr>
        <w:numPr>
          <w:ilvl w:val="0"/>
          <w:numId w:val="8"/>
        </w:numPr>
        <w:spacing w:after="229"/>
        <w:ind w:right="148" w:hanging="427"/>
      </w:pPr>
      <w:r>
        <w:t xml:space="preserve">Objednatel je oprávněn Smlouvu vypovědět bez udání důvodu. Výpovědní doba činí 1 měsíc a začíná běžet prvním dnem měsíce následujícího po měsíci, ve kterém bylo písemné vyhotovení výpovědi prokazatelně doručeno Poskytovateli.  </w:t>
      </w:r>
    </w:p>
    <w:p w:rsidR="00E97FA7" w:rsidRDefault="00EB752A">
      <w:pPr>
        <w:spacing w:after="0" w:line="259" w:lineRule="auto"/>
        <w:ind w:left="10" w:right="82"/>
        <w:jc w:val="center"/>
      </w:pPr>
      <w:r>
        <w:rPr>
          <w:b/>
        </w:rPr>
        <w:t xml:space="preserve">Článek IX. </w:t>
      </w:r>
    </w:p>
    <w:p w:rsidR="00E97FA7" w:rsidRDefault="00EB752A">
      <w:pPr>
        <w:spacing w:after="224" w:line="259" w:lineRule="auto"/>
        <w:ind w:left="10" w:right="81"/>
        <w:jc w:val="center"/>
      </w:pPr>
      <w:r>
        <w:rPr>
          <w:b/>
        </w:rPr>
        <w:t xml:space="preserve">Vyšší moc  </w:t>
      </w:r>
    </w:p>
    <w:p w:rsidR="00E97FA7" w:rsidRDefault="00EB752A">
      <w:pPr>
        <w:numPr>
          <w:ilvl w:val="0"/>
          <w:numId w:val="9"/>
        </w:numPr>
        <w:ind w:right="148" w:hanging="427"/>
      </w:pPr>
      <w: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r>
        <w:rPr>
          <w:b/>
        </w:rPr>
        <w:t xml:space="preserve"> </w:t>
      </w:r>
    </w:p>
    <w:p w:rsidR="00E97FA7" w:rsidRDefault="00EB752A">
      <w:pPr>
        <w:numPr>
          <w:ilvl w:val="0"/>
          <w:numId w:val="9"/>
        </w:numPr>
        <w:ind w:right="148" w:hanging="427"/>
      </w:pPr>
      <w: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a platnost a účinnost odpovídajících </w:t>
      </w:r>
      <w:proofErr w:type="spellStart"/>
      <w:r>
        <w:t>protipandemických</w:t>
      </w:r>
      <w:proofErr w:type="spellEnd"/>
      <w:r>
        <w:t xml:space="preserve"> opatření proti epidemii </w:t>
      </w:r>
      <w:proofErr w:type="spellStart"/>
      <w:r>
        <w:t>koronaviru</w:t>
      </w:r>
      <w:proofErr w:type="spellEnd"/>
      <w:r>
        <w:t xml:space="preserve"> SARS – COV 2 (COVID-19). </w:t>
      </w:r>
      <w:r>
        <w:rPr>
          <w:b/>
        </w:rPr>
        <w:t xml:space="preserve"> </w:t>
      </w:r>
    </w:p>
    <w:p w:rsidR="00E97FA7" w:rsidRDefault="00EB752A">
      <w:pPr>
        <w:numPr>
          <w:ilvl w:val="0"/>
          <w:numId w:val="9"/>
        </w:numPr>
        <w:ind w:right="148" w:hanging="427"/>
      </w:pPr>
      <w:r>
        <w:t xml:space="preserve">Výslovně se stanovuje, že vyšší mocí není stávka zaměstnanců pronajímatele nebo jeho poddodavatelů, nebo zaměstnanců nájemce ani hospodářské poměry smluvních stran.  </w:t>
      </w:r>
      <w:r>
        <w:rPr>
          <w:b/>
        </w:rPr>
        <w:t xml:space="preserve"> </w:t>
      </w:r>
    </w:p>
    <w:p w:rsidR="00E97FA7" w:rsidRDefault="00EB752A">
      <w:pPr>
        <w:numPr>
          <w:ilvl w:val="0"/>
          <w:numId w:val="9"/>
        </w:numPr>
        <w:ind w:right="148" w:hanging="427"/>
      </w:pPr>
      <w:r>
        <w:t xml:space="preserve">V případě, že nastane vyšší moc, neuplatní se sankce dle čl. V této Smlouvy. </w:t>
      </w:r>
      <w:r>
        <w:rPr>
          <w:b/>
        </w:rPr>
        <w:t xml:space="preserve"> </w:t>
      </w:r>
    </w:p>
    <w:p w:rsidR="00E97FA7" w:rsidRDefault="00EB752A">
      <w:pPr>
        <w:numPr>
          <w:ilvl w:val="0"/>
          <w:numId w:val="9"/>
        </w:numPr>
        <w:spacing w:after="229"/>
        <w:ind w:right="148" w:hanging="427"/>
      </w:pPr>
      <w:r>
        <w:t xml:space="preserve">V případě, že některá smluvní strana nebude schopna plnit své závazky ze Smlouvy v důsledku vyšší moci, bude povinna neprodleně a písemně o této skutečnosti vyrozumět druhou smluvní stranu. Obdobně poté, co účinky vyšší moci pominou, bude smluvní strana, </w:t>
      </w:r>
      <w:r>
        <w:lastRenderedPageBreak/>
        <w:t>jež byla vyšší mocí dotčena, povinna neprodleně a písemně vyrozumět druhou smluvní stranu o této skutečnosti.</w:t>
      </w:r>
      <w:r>
        <w:rPr>
          <w:b/>
        </w:rPr>
        <w:t xml:space="preserve"> </w:t>
      </w:r>
    </w:p>
    <w:p w:rsidR="00E97FA7" w:rsidRDefault="00EB752A">
      <w:pPr>
        <w:spacing w:after="0" w:line="259" w:lineRule="auto"/>
        <w:ind w:left="10" w:right="80"/>
        <w:jc w:val="center"/>
      </w:pPr>
      <w:r>
        <w:rPr>
          <w:b/>
        </w:rPr>
        <w:t xml:space="preserve">Článek X. </w:t>
      </w:r>
    </w:p>
    <w:p w:rsidR="00E97FA7" w:rsidRDefault="00EB752A">
      <w:pPr>
        <w:spacing w:after="224" w:line="259" w:lineRule="auto"/>
        <w:ind w:left="10" w:right="81"/>
        <w:jc w:val="center"/>
      </w:pPr>
      <w:r>
        <w:rPr>
          <w:b/>
        </w:rPr>
        <w:t xml:space="preserve">Závěrečná ustanovení </w:t>
      </w:r>
    </w:p>
    <w:p w:rsidR="00E97FA7" w:rsidRDefault="00EB752A">
      <w:pPr>
        <w:numPr>
          <w:ilvl w:val="0"/>
          <w:numId w:val="10"/>
        </w:numPr>
        <w:spacing w:after="118"/>
        <w:ind w:right="148" w:hanging="427"/>
      </w:pPr>
      <w:r>
        <w:t xml:space="preserve">Tuto Smlouvu lze měnit nebo doplňovat pouze formou vzestupně číslovaných písemných dodatků, podepsaných oprávněnými zástupci smluvních stran na jedné listině. </w:t>
      </w:r>
    </w:p>
    <w:p w:rsidR="00E97FA7" w:rsidRDefault="00EB752A">
      <w:pPr>
        <w:numPr>
          <w:ilvl w:val="0"/>
          <w:numId w:val="10"/>
        </w:numPr>
        <w:ind w:right="148" w:hanging="427"/>
      </w:pPr>
      <w:r>
        <w:t xml:space="preserve">Poskytovatel bere na vědomí, že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E97FA7" w:rsidRDefault="00EB752A">
      <w:pPr>
        <w:numPr>
          <w:ilvl w:val="0"/>
          <w:numId w:val="10"/>
        </w:numPr>
        <w:ind w:right="148" w:hanging="427"/>
      </w:pPr>
      <w:r>
        <w:t xml:space="preserve">Není-li touto Smlouvou ujednáno jinak, řídí se tato Smlouva příslušnými platnými a účinnými ustanoveními občanského zákoníku. Případné spory se budou řešit před českými soudy podle platného českého právního řádu. </w:t>
      </w:r>
    </w:p>
    <w:p w:rsidR="00E97FA7" w:rsidRDefault="00EB752A">
      <w:pPr>
        <w:numPr>
          <w:ilvl w:val="0"/>
          <w:numId w:val="10"/>
        </w:numPr>
        <w:ind w:right="148" w:hanging="427"/>
      </w:pPr>
      <w:r>
        <w:t xml:space="preserve">Doručování podle této Smlouvy probíhá doručením na adresu sídla druhé smluvní strany nebo datovou schránkou, běžná komunikace pak e-mailem, a to vždy v českém jazyce. </w:t>
      </w:r>
    </w:p>
    <w:p w:rsidR="00E97FA7" w:rsidRDefault="00EB752A">
      <w:pPr>
        <w:numPr>
          <w:ilvl w:val="0"/>
          <w:numId w:val="10"/>
        </w:numPr>
        <w:ind w:right="148" w:hanging="427"/>
      </w:pPr>
      <w:r>
        <w:t xml:space="preserve">Pro vzájemnou komunikaci Smluvní strany určují tyto kontaktní osoby: </w:t>
      </w:r>
    </w:p>
    <w:p w:rsidR="00E97FA7" w:rsidRDefault="00EB752A">
      <w:pPr>
        <w:numPr>
          <w:ilvl w:val="1"/>
          <w:numId w:val="10"/>
        </w:numPr>
        <w:spacing w:after="113"/>
        <w:ind w:right="0" w:hanging="360"/>
        <w:jc w:val="left"/>
      </w:pPr>
      <w:r>
        <w:t xml:space="preserve">Objednatel:   </w:t>
      </w:r>
      <w:r>
        <w:tab/>
        <w:t xml:space="preserve"> </w:t>
      </w:r>
    </w:p>
    <w:p w:rsidR="00E97FA7" w:rsidRDefault="00EB752A">
      <w:pPr>
        <w:numPr>
          <w:ilvl w:val="1"/>
          <w:numId w:val="10"/>
        </w:numPr>
        <w:spacing w:after="96" w:line="259" w:lineRule="auto"/>
        <w:ind w:right="0" w:hanging="360"/>
        <w:jc w:val="left"/>
      </w:pPr>
      <w:r>
        <w:rPr>
          <w:i/>
        </w:rPr>
        <w:t xml:space="preserve">Poskytovatel:  </w:t>
      </w:r>
    </w:p>
    <w:p w:rsidR="00E97FA7" w:rsidRDefault="00EB752A">
      <w:pPr>
        <w:numPr>
          <w:ilvl w:val="0"/>
          <w:numId w:val="10"/>
        </w:numPr>
        <w:ind w:right="148" w:hanging="427"/>
      </w:pPr>
      <w:r>
        <w:t xml:space="preserve">Žádná ze smluvních stran není oprávněna bez souhlasu druhé smluvní strany postoupit Smlouvy nebo objednávku, jednotlivý závazek ze Smlouvy nebo z objednávky ani pohledávky vzniklé v souvislosti s touto Smlouvou nebo objednávkou na třetí osoby, ani učinit jakékoliv právní jednání, v jehož důsledku by došlo k převodu či přechodu práv či povinností vyplývajících z této Smlouvy nebo objednávky. </w:t>
      </w:r>
    </w:p>
    <w:p w:rsidR="00E97FA7" w:rsidRDefault="00EB752A">
      <w:pPr>
        <w:numPr>
          <w:ilvl w:val="0"/>
          <w:numId w:val="10"/>
        </w:numPr>
        <w:ind w:right="148" w:hanging="427"/>
      </w:pPr>
      <w:r>
        <w:t xml:space="preserve">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 </w:t>
      </w:r>
    </w:p>
    <w:p w:rsidR="00E97FA7" w:rsidRDefault="00EB752A">
      <w:pPr>
        <w:numPr>
          <w:ilvl w:val="0"/>
          <w:numId w:val="10"/>
        </w:numPr>
        <w:ind w:right="148" w:hanging="427"/>
      </w:pPr>
      <w:r>
        <w:t xml:space="preserve">Tato Smlouvy je platná a účinná dnem jejího podpisu oběma smluvními stranami. Smluvní strany potvrzují, že si tuto Smlouvy před jejím podpisem přečetly, porozuměly jejímu obsahu a uzavírají ji svobodně, nebo za nápadně nevýhodných podmínek. Na důkaz toho připojují oprávnění zástupci obou smluvních stran své níže uvedené podpisy. </w:t>
      </w:r>
    </w:p>
    <w:p w:rsidR="00E97FA7" w:rsidRDefault="00EB752A">
      <w:pPr>
        <w:numPr>
          <w:ilvl w:val="0"/>
          <w:numId w:val="10"/>
        </w:numPr>
        <w:ind w:right="148" w:hanging="427"/>
      </w:pPr>
      <w:r>
        <w:t xml:space="preserve">Poskytovatel souhlasí s tím, aby obsah této Smlouvy či údaje v ní obsažené byly zveřejněny na internetových stránkách Objednatele a na jeho profilu zadavatele. </w:t>
      </w:r>
    </w:p>
    <w:p w:rsidR="00E97FA7" w:rsidRDefault="00EB752A">
      <w:pPr>
        <w:numPr>
          <w:ilvl w:val="0"/>
          <w:numId w:val="10"/>
        </w:numPr>
        <w:ind w:right="148" w:hanging="427"/>
      </w:pPr>
      <w:r>
        <w:t xml:space="preserve">Tato Smlouvy je vyhotovena v pěti stejnopisech s platností originálu, z nichž 3 obdrží Objednatel, 2 obdrží Poskytovatel. </w:t>
      </w:r>
    </w:p>
    <w:p w:rsidR="00E97FA7" w:rsidRDefault="00EB752A">
      <w:pPr>
        <w:numPr>
          <w:ilvl w:val="0"/>
          <w:numId w:val="10"/>
        </w:numPr>
        <w:ind w:right="148" w:hanging="427"/>
      </w:pPr>
      <w: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mluvní strany k této Smlouvě své podpisy.  </w:t>
      </w:r>
    </w:p>
    <w:p w:rsidR="00E97FA7" w:rsidRDefault="00EB752A">
      <w:pPr>
        <w:numPr>
          <w:ilvl w:val="0"/>
          <w:numId w:val="10"/>
        </w:numPr>
        <w:ind w:right="148" w:hanging="427"/>
      </w:pPr>
      <w:r>
        <w:t xml:space="preserve">Nedílnou součástí této Smlouvy jsou následující přílohy:  </w:t>
      </w:r>
    </w:p>
    <w:p w:rsidR="00E97FA7" w:rsidRDefault="00EB752A">
      <w:pPr>
        <w:ind w:left="588" w:right="148"/>
      </w:pPr>
      <w:r>
        <w:t xml:space="preserve">Příloha č. 1 – Specifikace předmětu plnění </w:t>
      </w:r>
    </w:p>
    <w:p w:rsidR="00E97FA7" w:rsidRDefault="00EB752A">
      <w:pPr>
        <w:ind w:left="588" w:right="148"/>
      </w:pPr>
      <w:r>
        <w:lastRenderedPageBreak/>
        <w:t xml:space="preserve">Příloha č. 2 – Kalkulace nabídkové ceny </w:t>
      </w:r>
    </w:p>
    <w:p w:rsidR="00E97FA7" w:rsidRDefault="00EB752A">
      <w:pPr>
        <w:ind w:left="588" w:right="148"/>
      </w:pPr>
      <w:r>
        <w:t xml:space="preserve">Příloha č. 3 – Vzor objednávky </w:t>
      </w:r>
    </w:p>
    <w:p w:rsidR="00E97FA7" w:rsidRDefault="00EB752A">
      <w:pPr>
        <w:ind w:left="591" w:right="148"/>
      </w:pPr>
      <w:r>
        <w:t xml:space="preserve">Příloha č. 4 - Pojistný certifikát </w:t>
      </w:r>
    </w:p>
    <w:p w:rsidR="00E97FA7" w:rsidRDefault="00EB752A">
      <w:pPr>
        <w:spacing w:after="0" w:line="259" w:lineRule="auto"/>
        <w:ind w:left="190" w:right="0" w:firstLine="0"/>
        <w:jc w:val="left"/>
      </w:pPr>
      <w:r>
        <w:t xml:space="preserve"> </w:t>
      </w:r>
    </w:p>
    <w:tbl>
      <w:tblPr>
        <w:tblStyle w:val="TableGrid"/>
        <w:tblW w:w="9628" w:type="dxa"/>
        <w:tblInd w:w="-223" w:type="dxa"/>
        <w:tblLook w:val="04A0" w:firstRow="1" w:lastRow="0" w:firstColumn="1" w:lastColumn="0" w:noHBand="0" w:noVBand="1"/>
      </w:tblPr>
      <w:tblGrid>
        <w:gridCol w:w="4688"/>
        <w:gridCol w:w="415"/>
        <w:gridCol w:w="264"/>
        <w:gridCol w:w="4261"/>
      </w:tblGrid>
      <w:tr w:rsidR="00E97FA7">
        <w:trPr>
          <w:trHeight w:val="347"/>
        </w:trPr>
        <w:tc>
          <w:tcPr>
            <w:tcW w:w="4688" w:type="dxa"/>
            <w:tcBorders>
              <w:top w:val="nil"/>
              <w:left w:val="nil"/>
              <w:bottom w:val="nil"/>
              <w:right w:val="nil"/>
            </w:tcBorders>
          </w:tcPr>
          <w:p w:rsidR="00E97FA7" w:rsidRDefault="00EB752A">
            <w:pPr>
              <w:spacing w:after="0" w:line="259" w:lineRule="auto"/>
              <w:ind w:left="300" w:right="0" w:firstLine="0"/>
              <w:jc w:val="left"/>
            </w:pPr>
            <w:r>
              <w:t xml:space="preserve">V Praze dne </w:t>
            </w:r>
            <w:proofErr w:type="gramStart"/>
            <w:r>
              <w:t>22.03.2024</w:t>
            </w:r>
            <w:proofErr w:type="gramEnd"/>
            <w:r>
              <w:t xml:space="preserve"> </w:t>
            </w:r>
          </w:p>
        </w:tc>
        <w:tc>
          <w:tcPr>
            <w:tcW w:w="415" w:type="dxa"/>
            <w:tcBorders>
              <w:top w:val="nil"/>
              <w:left w:val="nil"/>
              <w:bottom w:val="nil"/>
              <w:right w:val="nil"/>
            </w:tcBorders>
          </w:tcPr>
          <w:p w:rsidR="00E97FA7" w:rsidRDefault="00E97FA7">
            <w:pPr>
              <w:spacing w:after="160" w:line="259" w:lineRule="auto"/>
              <w:ind w:left="0" w:right="0" w:firstLine="0"/>
              <w:jc w:val="left"/>
            </w:pPr>
          </w:p>
        </w:tc>
        <w:tc>
          <w:tcPr>
            <w:tcW w:w="264" w:type="dxa"/>
            <w:tcBorders>
              <w:top w:val="nil"/>
              <w:left w:val="nil"/>
              <w:bottom w:val="nil"/>
              <w:right w:val="nil"/>
            </w:tcBorders>
          </w:tcPr>
          <w:p w:rsidR="00E97FA7" w:rsidRDefault="00E97FA7">
            <w:pPr>
              <w:spacing w:after="160" w:line="259" w:lineRule="auto"/>
              <w:ind w:left="0" w:right="0" w:firstLine="0"/>
              <w:jc w:val="left"/>
            </w:pPr>
          </w:p>
        </w:tc>
        <w:tc>
          <w:tcPr>
            <w:tcW w:w="4261" w:type="dxa"/>
            <w:tcBorders>
              <w:top w:val="nil"/>
              <w:left w:val="nil"/>
              <w:bottom w:val="nil"/>
              <w:right w:val="nil"/>
            </w:tcBorders>
          </w:tcPr>
          <w:p w:rsidR="00E97FA7" w:rsidRDefault="00EB752A">
            <w:pPr>
              <w:spacing w:after="0" w:line="259" w:lineRule="auto"/>
              <w:ind w:left="178" w:right="0" w:firstLine="0"/>
              <w:jc w:val="left"/>
            </w:pPr>
            <w:r>
              <w:t xml:space="preserve">V Praze dne  </w:t>
            </w:r>
            <w:proofErr w:type="gramStart"/>
            <w:r>
              <w:t>27.3.2024</w:t>
            </w:r>
            <w:proofErr w:type="gramEnd"/>
          </w:p>
        </w:tc>
      </w:tr>
      <w:tr w:rsidR="00E97FA7">
        <w:trPr>
          <w:trHeight w:val="1175"/>
        </w:trPr>
        <w:tc>
          <w:tcPr>
            <w:tcW w:w="4688" w:type="dxa"/>
            <w:tcBorders>
              <w:top w:val="nil"/>
              <w:left w:val="nil"/>
              <w:bottom w:val="nil"/>
              <w:right w:val="nil"/>
            </w:tcBorders>
          </w:tcPr>
          <w:p w:rsidR="00E97FA7" w:rsidRDefault="00EB752A">
            <w:pPr>
              <w:spacing w:after="175" w:line="259" w:lineRule="auto"/>
              <w:ind w:left="144" w:right="0" w:firstLine="0"/>
              <w:jc w:val="left"/>
            </w:pPr>
            <w:r>
              <w:t xml:space="preserve">za Zátiší Catering Group a.s. </w:t>
            </w:r>
          </w:p>
          <w:p w:rsidR="00E97FA7" w:rsidRDefault="00EB752A">
            <w:pPr>
              <w:tabs>
                <w:tab w:val="center" w:pos="2124"/>
              </w:tabs>
              <w:spacing w:after="0" w:line="259" w:lineRule="auto"/>
              <w:ind w:left="0" w:right="0" w:firstLine="0"/>
              <w:jc w:val="left"/>
            </w:pPr>
            <w:r>
              <w:rPr>
                <w:i/>
              </w:rPr>
              <w:tab/>
              <w:t xml:space="preserve"> </w:t>
            </w:r>
          </w:p>
        </w:tc>
        <w:tc>
          <w:tcPr>
            <w:tcW w:w="415" w:type="dxa"/>
            <w:tcBorders>
              <w:top w:val="nil"/>
              <w:left w:val="nil"/>
              <w:bottom w:val="nil"/>
              <w:right w:val="nil"/>
            </w:tcBorders>
          </w:tcPr>
          <w:p w:rsidR="00E97FA7" w:rsidRDefault="00EB752A">
            <w:pPr>
              <w:spacing w:after="0" w:line="259" w:lineRule="auto"/>
              <w:ind w:left="151" w:right="0" w:firstLine="0"/>
              <w:jc w:val="left"/>
            </w:pPr>
            <w:r>
              <w:t xml:space="preserve"> </w:t>
            </w:r>
          </w:p>
        </w:tc>
        <w:tc>
          <w:tcPr>
            <w:tcW w:w="264" w:type="dxa"/>
            <w:tcBorders>
              <w:top w:val="nil"/>
              <w:left w:val="nil"/>
              <w:bottom w:val="nil"/>
              <w:right w:val="nil"/>
            </w:tcBorders>
          </w:tcPr>
          <w:p w:rsidR="00E97FA7" w:rsidRDefault="00EB752A">
            <w:pPr>
              <w:spacing w:after="175" w:line="259" w:lineRule="auto"/>
              <w:ind w:left="0" w:right="0" w:firstLine="0"/>
              <w:jc w:val="left"/>
            </w:pPr>
            <w:r>
              <w:t xml:space="preserve"> </w:t>
            </w:r>
          </w:p>
          <w:p w:rsidR="00E97FA7" w:rsidRDefault="00EB752A">
            <w:pPr>
              <w:spacing w:after="0" w:line="259" w:lineRule="auto"/>
              <w:ind w:left="0" w:right="0" w:firstLine="0"/>
              <w:jc w:val="left"/>
            </w:pPr>
            <w:r>
              <w:t xml:space="preserve"> </w:t>
            </w:r>
          </w:p>
        </w:tc>
        <w:tc>
          <w:tcPr>
            <w:tcW w:w="4261" w:type="dxa"/>
            <w:tcBorders>
              <w:top w:val="nil"/>
              <w:left w:val="nil"/>
              <w:bottom w:val="nil"/>
              <w:right w:val="nil"/>
            </w:tcBorders>
            <w:vAlign w:val="bottom"/>
          </w:tcPr>
          <w:p w:rsidR="00E97FA7" w:rsidRDefault="00EB752A">
            <w:pPr>
              <w:spacing w:after="0" w:line="259" w:lineRule="auto"/>
              <w:ind w:left="0" w:right="0" w:firstLine="0"/>
              <w:jc w:val="left"/>
            </w:pPr>
            <w:r>
              <w:t xml:space="preserve">za Českou republiku </w:t>
            </w:r>
          </w:p>
          <w:p w:rsidR="00E97FA7" w:rsidRDefault="00EB752A" w:rsidP="00EB752A">
            <w:pPr>
              <w:spacing w:after="0" w:line="238" w:lineRule="auto"/>
              <w:ind w:left="0" w:right="769" w:firstLine="0"/>
              <w:jc w:val="left"/>
            </w:pPr>
            <w:r>
              <w:t xml:space="preserve">Ministerstvo zahraničních věcí </w:t>
            </w:r>
          </w:p>
        </w:tc>
      </w:tr>
    </w:tbl>
    <w:p w:rsidR="00E97FA7" w:rsidRDefault="00EB752A">
      <w:pPr>
        <w:spacing w:after="182" w:line="259" w:lineRule="auto"/>
        <w:ind w:left="77" w:right="0" w:firstLine="0"/>
        <w:jc w:val="left"/>
      </w:pPr>
      <w:r>
        <w:rPr>
          <w:rFonts w:ascii="Verdana" w:eastAsia="Verdana" w:hAnsi="Verdana" w:cs="Verdana"/>
          <w:sz w:val="20"/>
        </w:rPr>
        <w:t xml:space="preserve"> </w:t>
      </w:r>
    </w:p>
    <w:p w:rsidR="00E97FA7" w:rsidRDefault="00EB752A">
      <w:pPr>
        <w:spacing w:after="180" w:line="259" w:lineRule="auto"/>
        <w:ind w:left="77" w:right="0" w:firstLine="0"/>
        <w:jc w:val="left"/>
      </w:pPr>
      <w:r>
        <w:rPr>
          <w:rFonts w:ascii="Verdana" w:eastAsia="Verdana" w:hAnsi="Verdana" w:cs="Verdana"/>
          <w:sz w:val="20"/>
        </w:rPr>
        <w:t xml:space="preserve"> </w:t>
      </w:r>
    </w:p>
    <w:p w:rsidR="00E97FA7" w:rsidRDefault="00EB752A">
      <w:pPr>
        <w:spacing w:after="182" w:line="259" w:lineRule="auto"/>
        <w:ind w:left="77" w:right="0" w:firstLine="0"/>
        <w:jc w:val="left"/>
      </w:pPr>
      <w:r>
        <w:rPr>
          <w:rFonts w:ascii="Verdana" w:eastAsia="Verdana" w:hAnsi="Verdana" w:cs="Verdana"/>
          <w:sz w:val="20"/>
        </w:rPr>
        <w:t xml:space="preserve"> </w:t>
      </w:r>
    </w:p>
    <w:p w:rsidR="00E97FA7" w:rsidRDefault="00EB752A">
      <w:pPr>
        <w:spacing w:after="182" w:line="259" w:lineRule="auto"/>
        <w:ind w:left="77" w:right="0" w:firstLine="0"/>
        <w:jc w:val="left"/>
      </w:pPr>
      <w:r>
        <w:rPr>
          <w:rFonts w:ascii="Verdana" w:eastAsia="Verdana" w:hAnsi="Verdana" w:cs="Verdana"/>
          <w:sz w:val="20"/>
        </w:rPr>
        <w:t xml:space="preserve"> </w:t>
      </w:r>
    </w:p>
    <w:p w:rsidR="00E97FA7" w:rsidRDefault="00EB752A">
      <w:pPr>
        <w:spacing w:after="180" w:line="259" w:lineRule="auto"/>
        <w:ind w:left="77" w:right="0" w:firstLine="0"/>
        <w:jc w:val="left"/>
      </w:pPr>
      <w:r>
        <w:rPr>
          <w:rFonts w:ascii="Verdana" w:eastAsia="Verdana" w:hAnsi="Verdana" w:cs="Verdana"/>
          <w:sz w:val="20"/>
        </w:rPr>
        <w:t xml:space="preserve"> </w:t>
      </w:r>
    </w:p>
    <w:p w:rsidR="00E97FA7" w:rsidRDefault="00EB752A">
      <w:pPr>
        <w:spacing w:after="182" w:line="259" w:lineRule="auto"/>
        <w:ind w:left="77" w:right="0" w:firstLine="0"/>
        <w:jc w:val="left"/>
      </w:pPr>
      <w:r>
        <w:rPr>
          <w:rFonts w:ascii="Verdana" w:eastAsia="Verdana" w:hAnsi="Verdana" w:cs="Verdana"/>
          <w:sz w:val="20"/>
        </w:rPr>
        <w:t xml:space="preserve"> </w:t>
      </w:r>
    </w:p>
    <w:p w:rsidR="00E97FA7" w:rsidRDefault="00EB752A">
      <w:pPr>
        <w:spacing w:after="180" w:line="259" w:lineRule="auto"/>
        <w:ind w:left="77" w:right="0" w:firstLine="0"/>
        <w:jc w:val="left"/>
      </w:pPr>
      <w:r>
        <w:rPr>
          <w:rFonts w:ascii="Verdana" w:eastAsia="Verdana" w:hAnsi="Verdana" w:cs="Verdana"/>
          <w:sz w:val="20"/>
        </w:rPr>
        <w:t xml:space="preserve"> </w:t>
      </w:r>
    </w:p>
    <w:p w:rsidR="00E97FA7" w:rsidRDefault="00EB752A">
      <w:pPr>
        <w:spacing w:after="182" w:line="259" w:lineRule="auto"/>
        <w:ind w:left="77" w:right="0" w:firstLine="0"/>
        <w:jc w:val="left"/>
      </w:pPr>
      <w:r>
        <w:rPr>
          <w:rFonts w:ascii="Verdana" w:eastAsia="Verdana" w:hAnsi="Verdana" w:cs="Verdana"/>
          <w:sz w:val="20"/>
        </w:rPr>
        <w:t xml:space="preserve"> </w:t>
      </w:r>
    </w:p>
    <w:p w:rsidR="00E97FA7" w:rsidRDefault="00EB752A">
      <w:pPr>
        <w:spacing w:after="182" w:line="259" w:lineRule="auto"/>
        <w:ind w:left="77" w:right="0" w:firstLine="0"/>
        <w:jc w:val="left"/>
      </w:pPr>
      <w:r>
        <w:rPr>
          <w:rFonts w:ascii="Verdana" w:eastAsia="Verdana" w:hAnsi="Verdana" w:cs="Verdana"/>
          <w:sz w:val="20"/>
        </w:rPr>
        <w:t xml:space="preserve"> </w:t>
      </w:r>
    </w:p>
    <w:p w:rsidR="00E97FA7" w:rsidRDefault="00EB752A">
      <w:pPr>
        <w:spacing w:after="180" w:line="259" w:lineRule="auto"/>
        <w:ind w:left="77" w:right="0" w:firstLine="0"/>
        <w:jc w:val="left"/>
      </w:pPr>
      <w:r>
        <w:rPr>
          <w:rFonts w:ascii="Verdana" w:eastAsia="Verdana" w:hAnsi="Verdana" w:cs="Verdana"/>
          <w:sz w:val="20"/>
        </w:rPr>
        <w:t xml:space="preserve"> </w:t>
      </w:r>
    </w:p>
    <w:p w:rsidR="00E97FA7" w:rsidRDefault="00EB752A">
      <w:pPr>
        <w:spacing w:after="182" w:line="259" w:lineRule="auto"/>
        <w:ind w:left="77" w:right="0" w:firstLine="0"/>
        <w:jc w:val="left"/>
      </w:pPr>
      <w:r>
        <w:rPr>
          <w:rFonts w:ascii="Verdana" w:eastAsia="Verdana" w:hAnsi="Verdana" w:cs="Verdana"/>
          <w:sz w:val="20"/>
        </w:rPr>
        <w:t xml:space="preserve"> </w:t>
      </w:r>
    </w:p>
    <w:p w:rsidR="00E97FA7" w:rsidRDefault="00EB752A">
      <w:pPr>
        <w:spacing w:after="182" w:line="259" w:lineRule="auto"/>
        <w:ind w:left="77" w:right="0" w:firstLine="0"/>
        <w:jc w:val="left"/>
      </w:pPr>
      <w:r>
        <w:rPr>
          <w:rFonts w:ascii="Verdana" w:eastAsia="Verdana" w:hAnsi="Verdana" w:cs="Verdana"/>
          <w:sz w:val="20"/>
        </w:rPr>
        <w:t xml:space="preserve"> </w:t>
      </w:r>
    </w:p>
    <w:p w:rsidR="00E97FA7" w:rsidRDefault="00EB752A">
      <w:pPr>
        <w:spacing w:after="0" w:line="259" w:lineRule="auto"/>
        <w:ind w:left="77" w:right="0" w:firstLine="0"/>
        <w:jc w:val="left"/>
      </w:pPr>
      <w:r>
        <w:rPr>
          <w:rFonts w:ascii="Verdana" w:eastAsia="Verdana" w:hAnsi="Verdana" w:cs="Verdana"/>
          <w:sz w:val="20"/>
        </w:rPr>
        <w:t xml:space="preserve"> </w:t>
      </w:r>
    </w:p>
    <w:p w:rsidR="00E97FA7" w:rsidRDefault="00EB752A">
      <w:pPr>
        <w:spacing w:after="182" w:line="259" w:lineRule="auto"/>
        <w:ind w:left="77" w:right="0" w:firstLine="0"/>
        <w:jc w:val="left"/>
      </w:pPr>
      <w:r>
        <w:rPr>
          <w:rFonts w:ascii="Verdana" w:eastAsia="Verdana" w:hAnsi="Verdana" w:cs="Verdana"/>
          <w:sz w:val="20"/>
        </w:rPr>
        <w:t xml:space="preserve"> </w:t>
      </w:r>
    </w:p>
    <w:p w:rsidR="00E97FA7" w:rsidRDefault="00EB752A">
      <w:pPr>
        <w:spacing w:after="281" w:line="259" w:lineRule="auto"/>
        <w:ind w:left="77" w:right="0" w:firstLine="0"/>
        <w:jc w:val="left"/>
        <w:rPr>
          <w:rFonts w:ascii="Verdana" w:eastAsia="Verdana" w:hAnsi="Verdana" w:cs="Verdana"/>
          <w:sz w:val="20"/>
        </w:rPr>
      </w:pPr>
      <w:r>
        <w:rPr>
          <w:rFonts w:ascii="Verdana" w:eastAsia="Verdana" w:hAnsi="Verdana" w:cs="Verdana"/>
          <w:sz w:val="20"/>
        </w:rPr>
        <w:t xml:space="preserve"> </w:t>
      </w:r>
    </w:p>
    <w:sectPr w:rsidR="00E97FA7">
      <w:pgSz w:w="11899" w:h="16841"/>
      <w:pgMar w:top="1417" w:right="1258" w:bottom="142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4C99"/>
    <w:multiLevelType w:val="hybridMultilevel"/>
    <w:tmpl w:val="A520390E"/>
    <w:lvl w:ilvl="0" w:tplc="1980BAB2">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66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E0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4F5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655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88B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874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CF8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45E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3D467F"/>
    <w:multiLevelType w:val="hybridMultilevel"/>
    <w:tmpl w:val="6BECB5C0"/>
    <w:lvl w:ilvl="0" w:tplc="06B474A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0DC90">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057B0">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69E2A">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2DC04">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814D2">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61CF0">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2CCCBA">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61D00">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175F49"/>
    <w:multiLevelType w:val="hybridMultilevel"/>
    <w:tmpl w:val="6D109C2A"/>
    <w:lvl w:ilvl="0" w:tplc="8BF47DCE">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849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404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DCBF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E34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28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440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835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656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275686"/>
    <w:multiLevelType w:val="hybridMultilevel"/>
    <w:tmpl w:val="5A9C986E"/>
    <w:lvl w:ilvl="0" w:tplc="4E8A855C">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6AE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8A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CC5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6A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859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C1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CDB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CBE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34AD0"/>
    <w:multiLevelType w:val="hybridMultilevel"/>
    <w:tmpl w:val="ABE286DA"/>
    <w:lvl w:ilvl="0" w:tplc="E802351A">
      <w:start w:val="1"/>
      <w:numFmt w:val="bullet"/>
      <w:lvlText w:val="-"/>
      <w:lvlJc w:val="left"/>
      <w:pPr>
        <w:ind w:left="77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B6521AE2">
      <w:start w:val="1"/>
      <w:numFmt w:val="bullet"/>
      <w:lvlText w:val="o"/>
      <w:lvlJc w:val="left"/>
      <w:pPr>
        <w:ind w:left="143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B73623BA">
      <w:start w:val="1"/>
      <w:numFmt w:val="bullet"/>
      <w:lvlText w:val="▪"/>
      <w:lvlJc w:val="left"/>
      <w:pPr>
        <w:ind w:left="21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EB1E81F8">
      <w:start w:val="1"/>
      <w:numFmt w:val="bullet"/>
      <w:lvlText w:val="•"/>
      <w:lvlJc w:val="left"/>
      <w:pPr>
        <w:ind w:left="287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71C4D7A0">
      <w:start w:val="1"/>
      <w:numFmt w:val="bullet"/>
      <w:lvlText w:val="o"/>
      <w:lvlJc w:val="left"/>
      <w:pPr>
        <w:ind w:left="359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CCF08E7A">
      <w:start w:val="1"/>
      <w:numFmt w:val="bullet"/>
      <w:lvlText w:val="▪"/>
      <w:lvlJc w:val="left"/>
      <w:pPr>
        <w:ind w:left="431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42F2B930">
      <w:start w:val="1"/>
      <w:numFmt w:val="bullet"/>
      <w:lvlText w:val="•"/>
      <w:lvlJc w:val="left"/>
      <w:pPr>
        <w:ind w:left="503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F3325764">
      <w:start w:val="1"/>
      <w:numFmt w:val="bullet"/>
      <w:lvlText w:val="o"/>
      <w:lvlJc w:val="left"/>
      <w:pPr>
        <w:ind w:left="57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146CC298">
      <w:start w:val="1"/>
      <w:numFmt w:val="bullet"/>
      <w:lvlText w:val="▪"/>
      <w:lvlJc w:val="left"/>
      <w:pPr>
        <w:ind w:left="647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2CC247CE"/>
    <w:multiLevelType w:val="hybridMultilevel"/>
    <w:tmpl w:val="F47CED8A"/>
    <w:lvl w:ilvl="0" w:tplc="556C87AE">
      <w:start w:val="1"/>
      <w:numFmt w:val="lowerLetter"/>
      <w:lvlText w:val="%1)"/>
      <w:lvlJc w:val="left"/>
      <w:pPr>
        <w:ind w:left="78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2F46772">
      <w:start w:val="1"/>
      <w:numFmt w:val="lowerLetter"/>
      <w:lvlText w:val="%2"/>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EEEEAF7E">
      <w:start w:val="1"/>
      <w:numFmt w:val="lowerRoman"/>
      <w:lvlText w:val="%3"/>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23B65126">
      <w:start w:val="1"/>
      <w:numFmt w:val="decimal"/>
      <w:lvlText w:val="%4"/>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F50580C">
      <w:start w:val="1"/>
      <w:numFmt w:val="lowerLetter"/>
      <w:lvlText w:val="%5"/>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366AE7FE">
      <w:start w:val="1"/>
      <w:numFmt w:val="lowerRoman"/>
      <w:lvlText w:val="%6"/>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B4DA7FE4">
      <w:start w:val="1"/>
      <w:numFmt w:val="decimal"/>
      <w:lvlText w:val="%7"/>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EFC51B2">
      <w:start w:val="1"/>
      <w:numFmt w:val="lowerLetter"/>
      <w:lvlText w:val="%8"/>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6A1E8CB4">
      <w:start w:val="1"/>
      <w:numFmt w:val="lowerRoman"/>
      <w:lvlText w:val="%9"/>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6" w15:restartNumberingAfterBreak="0">
    <w:nsid w:val="2D2A62A0"/>
    <w:multiLevelType w:val="hybridMultilevel"/>
    <w:tmpl w:val="A1DE60E0"/>
    <w:lvl w:ilvl="0" w:tplc="E67EEEEC">
      <w:start w:val="1"/>
      <w:numFmt w:val="bullet"/>
      <w:lvlText w:val="-"/>
      <w:lvlJc w:val="left"/>
      <w:pPr>
        <w:ind w:left="78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7A5446FE">
      <w:start w:val="1"/>
      <w:numFmt w:val="bullet"/>
      <w:lvlText w:val="o"/>
      <w:lvlJc w:val="left"/>
      <w:pPr>
        <w:ind w:left="142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08A279F0">
      <w:start w:val="1"/>
      <w:numFmt w:val="bullet"/>
      <w:lvlText w:val="▪"/>
      <w:lvlJc w:val="left"/>
      <w:pPr>
        <w:ind w:left="214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8E2A83BA">
      <w:start w:val="1"/>
      <w:numFmt w:val="bullet"/>
      <w:lvlText w:val="•"/>
      <w:lvlJc w:val="left"/>
      <w:pPr>
        <w:ind w:left="286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2042F232">
      <w:start w:val="1"/>
      <w:numFmt w:val="bullet"/>
      <w:lvlText w:val="o"/>
      <w:lvlJc w:val="left"/>
      <w:pPr>
        <w:ind w:left="358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2E164F5A">
      <w:start w:val="1"/>
      <w:numFmt w:val="bullet"/>
      <w:lvlText w:val="▪"/>
      <w:lvlJc w:val="left"/>
      <w:pPr>
        <w:ind w:left="430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951E1054">
      <w:start w:val="1"/>
      <w:numFmt w:val="bullet"/>
      <w:lvlText w:val="•"/>
      <w:lvlJc w:val="left"/>
      <w:pPr>
        <w:ind w:left="502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A224E4FC">
      <w:start w:val="1"/>
      <w:numFmt w:val="bullet"/>
      <w:lvlText w:val="o"/>
      <w:lvlJc w:val="left"/>
      <w:pPr>
        <w:ind w:left="574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4F9A4780">
      <w:start w:val="1"/>
      <w:numFmt w:val="bullet"/>
      <w:lvlText w:val="▪"/>
      <w:lvlJc w:val="left"/>
      <w:pPr>
        <w:ind w:left="646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7" w15:restartNumberingAfterBreak="0">
    <w:nsid w:val="36215467"/>
    <w:multiLevelType w:val="hybridMultilevel"/>
    <w:tmpl w:val="5510CC60"/>
    <w:lvl w:ilvl="0" w:tplc="0D3295E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C60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CE6D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08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A3E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859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E14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C26C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A02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4D6170"/>
    <w:multiLevelType w:val="hybridMultilevel"/>
    <w:tmpl w:val="C726829E"/>
    <w:lvl w:ilvl="0" w:tplc="5080B884">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EE294">
      <w:start w:val="1"/>
      <w:numFmt w:val="bullet"/>
      <w:lvlText w:val="▪"/>
      <w:lvlJc w:val="left"/>
      <w:pPr>
        <w:ind w:left="9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84BE66">
      <w:start w:val="1"/>
      <w:numFmt w:val="bullet"/>
      <w:lvlText w:val="▪"/>
      <w:lvlJc w:val="left"/>
      <w:pPr>
        <w:ind w:left="1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DA7318">
      <w:start w:val="1"/>
      <w:numFmt w:val="bullet"/>
      <w:lvlText w:val="•"/>
      <w:lvlJc w:val="left"/>
      <w:pPr>
        <w:ind w:left="2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34A346">
      <w:start w:val="1"/>
      <w:numFmt w:val="bullet"/>
      <w:lvlText w:val="o"/>
      <w:lvlJc w:val="left"/>
      <w:pPr>
        <w:ind w:left="30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36C6BA">
      <w:start w:val="1"/>
      <w:numFmt w:val="bullet"/>
      <w:lvlText w:val="▪"/>
      <w:lvlJc w:val="left"/>
      <w:pPr>
        <w:ind w:left="38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584FA4">
      <w:start w:val="1"/>
      <w:numFmt w:val="bullet"/>
      <w:lvlText w:val="•"/>
      <w:lvlJc w:val="left"/>
      <w:pPr>
        <w:ind w:left="4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A46304">
      <w:start w:val="1"/>
      <w:numFmt w:val="bullet"/>
      <w:lvlText w:val="o"/>
      <w:lvlJc w:val="left"/>
      <w:pPr>
        <w:ind w:left="5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242BAE">
      <w:start w:val="1"/>
      <w:numFmt w:val="bullet"/>
      <w:lvlText w:val="▪"/>
      <w:lvlJc w:val="left"/>
      <w:pPr>
        <w:ind w:left="5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0D30FD"/>
    <w:multiLevelType w:val="hybridMultilevel"/>
    <w:tmpl w:val="4E8EF3F0"/>
    <w:lvl w:ilvl="0" w:tplc="E4CC0964">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65440">
      <w:start w:val="1"/>
      <w:numFmt w:val="lowerLetter"/>
      <w:lvlText w:val="%2)"/>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02D58">
      <w:start w:val="1"/>
      <w:numFmt w:val="bullet"/>
      <w:lvlText w:val="▪"/>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7CD662">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F42858">
      <w:start w:val="1"/>
      <w:numFmt w:val="bullet"/>
      <w:lvlText w:val="o"/>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0A15D4">
      <w:start w:val="1"/>
      <w:numFmt w:val="bullet"/>
      <w:lvlText w:val="▪"/>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705378">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DA7C1E">
      <w:start w:val="1"/>
      <w:numFmt w:val="bullet"/>
      <w:lvlText w:val="o"/>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9AF092">
      <w:start w:val="1"/>
      <w:numFmt w:val="bullet"/>
      <w:lvlText w:val="▪"/>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C5119D"/>
    <w:multiLevelType w:val="hybridMultilevel"/>
    <w:tmpl w:val="B906993C"/>
    <w:lvl w:ilvl="0" w:tplc="F8B6EA2A">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6AF2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254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C27B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A22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CCD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A83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0E7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E46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5F316D"/>
    <w:multiLevelType w:val="hybridMultilevel"/>
    <w:tmpl w:val="D7E85944"/>
    <w:lvl w:ilvl="0" w:tplc="09765F2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436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024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823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457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004C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0E0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EFB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2024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6F2F56"/>
    <w:multiLevelType w:val="hybridMultilevel"/>
    <w:tmpl w:val="3F9A6EF4"/>
    <w:lvl w:ilvl="0" w:tplc="E5ACA612">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E9784">
      <w:start w:val="1"/>
      <w:numFmt w:val="lowerLetter"/>
      <w:lvlText w:val="%2)"/>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C222C">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E3934">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83004">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093E0">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C5D90">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8D504">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8173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8"/>
  </w:num>
  <w:num w:numId="3">
    <w:abstractNumId w:val="1"/>
  </w:num>
  <w:num w:numId="4">
    <w:abstractNumId w:val="11"/>
  </w:num>
  <w:num w:numId="5">
    <w:abstractNumId w:val="7"/>
  </w:num>
  <w:num w:numId="6">
    <w:abstractNumId w:val="3"/>
  </w:num>
  <w:num w:numId="7">
    <w:abstractNumId w:val="10"/>
  </w:num>
  <w:num w:numId="8">
    <w:abstractNumId w:val="2"/>
  </w:num>
  <w:num w:numId="9">
    <w:abstractNumId w:val="0"/>
  </w:num>
  <w:num w:numId="10">
    <w:abstractNumId w:val="12"/>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A7"/>
    <w:rsid w:val="00E97FA7"/>
    <w:rsid w:val="00EB752A"/>
    <w:rsid w:val="00F82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2E9DF-6663-455A-8EDA-1E230741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9" w:line="249" w:lineRule="auto"/>
      <w:ind w:left="87" w:right="159"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line="383" w:lineRule="auto"/>
      <w:ind w:left="2818" w:firstLine="5048"/>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spacing w:after="42"/>
      <w:ind w:right="87"/>
      <w:jc w:val="center"/>
      <w:outlineLvl w:val="1"/>
    </w:pPr>
    <w:rPr>
      <w:rFonts w:ascii="Arial" w:eastAsia="Arial" w:hAnsi="Arial" w:cs="Arial"/>
      <w:b/>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8"/>
      <w:u w:val="single" w:color="000000"/>
    </w:rPr>
  </w:style>
  <w:style w:type="character" w:customStyle="1" w:styleId="Nadpis1Char">
    <w:name w:val="Nadpis 1 Char"/>
    <w:link w:val="Nadpi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2627</Words>
  <Characters>14980</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KADLECOVÁ Ivana</cp:lastModifiedBy>
  <cp:revision>2</cp:revision>
  <dcterms:created xsi:type="dcterms:W3CDTF">2024-03-27T10:18:00Z</dcterms:created>
  <dcterms:modified xsi:type="dcterms:W3CDTF">2024-03-27T10:18:00Z</dcterms:modified>
</cp:coreProperties>
</file>