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3B73" w14:textId="77777777" w:rsidR="00897918" w:rsidRDefault="00D441BE">
      <w:pPr>
        <w:spacing w:after="127" w:line="259" w:lineRule="auto"/>
        <w:ind w:left="0" w:right="0" w:firstLine="0"/>
        <w:jc w:val="center"/>
      </w:pPr>
      <w:r>
        <w:rPr>
          <w:sz w:val="22"/>
        </w:rPr>
        <w:t xml:space="preserve">Specifikace předmětu plnění veřejné zakázky </w:t>
      </w:r>
    </w:p>
    <w:p w14:paraId="67C865BE" w14:textId="77777777" w:rsidR="00897918" w:rsidRDefault="00D441BE">
      <w:pPr>
        <w:spacing w:after="152" w:line="259" w:lineRule="auto"/>
        <w:ind w:left="0" w:firstLine="0"/>
        <w:jc w:val="center"/>
      </w:pPr>
      <w:r>
        <w:t xml:space="preserve">(dále také jen „Specifikace“) </w:t>
      </w:r>
    </w:p>
    <w:p w14:paraId="0DF4285B" w14:textId="77777777" w:rsidR="00897918" w:rsidRDefault="00D441BE">
      <w:pPr>
        <w:spacing w:after="149" w:line="259" w:lineRule="auto"/>
        <w:ind w:left="0" w:right="0" w:firstLine="0"/>
        <w:jc w:val="left"/>
      </w:pPr>
      <w:r>
        <w:t xml:space="preserve"> </w:t>
      </w:r>
    </w:p>
    <w:p w14:paraId="6ABCE7F9" w14:textId="77777777" w:rsidR="00897918" w:rsidRDefault="00D441BE">
      <w:pPr>
        <w:spacing w:after="138"/>
        <w:ind w:right="0"/>
      </w:pPr>
      <w:r>
        <w:t xml:space="preserve">Předmět plnění veřejné zakázky je: </w:t>
      </w:r>
    </w:p>
    <w:p w14:paraId="6C1C2F25" w14:textId="77777777" w:rsidR="00897918" w:rsidRDefault="00D441BE">
      <w:pPr>
        <w:spacing w:after="101" w:line="316" w:lineRule="auto"/>
        <w:ind w:left="360" w:right="2682" w:firstLine="0"/>
        <w:jc w:val="left"/>
      </w:pPr>
      <w:r>
        <w:t xml:space="preserve">i. </w:t>
      </w:r>
      <w:r>
        <w:tab/>
        <w:t xml:space="preserve">Návrh komunikační strategie a tvorba kreativního konceptu, </w:t>
      </w:r>
      <w:proofErr w:type="spellStart"/>
      <w:r>
        <w:t>ii</w:t>
      </w:r>
      <w:proofErr w:type="spellEnd"/>
      <w:r>
        <w:t xml:space="preserve">. </w:t>
      </w:r>
      <w:r>
        <w:tab/>
        <w:t xml:space="preserve">Tvorba videa pro sociální sítě, </w:t>
      </w:r>
      <w:proofErr w:type="spellStart"/>
      <w:r>
        <w:t>iii</w:t>
      </w:r>
      <w:proofErr w:type="spellEnd"/>
      <w:r>
        <w:t xml:space="preserve">. </w:t>
      </w:r>
      <w:r>
        <w:tab/>
        <w:t xml:space="preserve">Tvorba TV spotu, </w:t>
      </w:r>
      <w:proofErr w:type="spellStart"/>
      <w:r>
        <w:t>iv</w:t>
      </w:r>
      <w:proofErr w:type="spellEnd"/>
      <w:r>
        <w:t xml:space="preserve">. </w:t>
      </w:r>
      <w:r>
        <w:tab/>
        <w:t xml:space="preserve">Nativní PR a řízení publicity digitalizace na sociálních sítích, </w:t>
      </w:r>
    </w:p>
    <w:p w14:paraId="104989AB" w14:textId="77777777" w:rsidR="00897918" w:rsidRDefault="00D441BE">
      <w:pPr>
        <w:spacing w:after="114"/>
        <w:ind w:right="0"/>
      </w:pPr>
      <w:r>
        <w:t>a to vše ve vztahu k propagaci digitalizace v rámci MPSV a Kli</w:t>
      </w:r>
      <w:r>
        <w:t xml:space="preserve">entské zóny Jenda (samostatně dále také jen „dílčí části kampaně“, společně dále také jen „kampaň“), přičemž všechny výše uvedené činnosti musejí být navzájem provázané. </w:t>
      </w:r>
    </w:p>
    <w:p w14:paraId="703315E6" w14:textId="77777777" w:rsidR="00897918" w:rsidRDefault="00D441BE">
      <w:pPr>
        <w:spacing w:after="116"/>
        <w:ind w:right="0"/>
      </w:pPr>
      <w:r>
        <w:t xml:space="preserve">Zadavatel výslovně uvádí, že předmět plnění veřejné zakázky bude kompletně zpracován </w:t>
      </w:r>
      <w:r>
        <w:t xml:space="preserve">v českém jazyce, přičemž i veškerá komunikace bude vedena v české jazyce. </w:t>
      </w:r>
    </w:p>
    <w:p w14:paraId="72DBFBE8" w14:textId="77777777" w:rsidR="00897918" w:rsidRDefault="00D441BE">
      <w:pPr>
        <w:spacing w:after="152" w:line="259" w:lineRule="auto"/>
        <w:ind w:left="0" w:right="0" w:firstLine="0"/>
        <w:jc w:val="left"/>
      </w:pPr>
      <w:r>
        <w:t xml:space="preserve"> </w:t>
      </w:r>
    </w:p>
    <w:p w14:paraId="7C5BEE16" w14:textId="77777777" w:rsidR="00897918" w:rsidRDefault="00D441BE">
      <w:pPr>
        <w:pStyle w:val="Nadpis1"/>
        <w:ind w:left="-5"/>
      </w:pPr>
      <w:r>
        <w:t xml:space="preserve">Návrh komunikační strategie a tvorba kreativního konceptu </w:t>
      </w:r>
    </w:p>
    <w:p w14:paraId="6DC9B71A" w14:textId="77777777" w:rsidR="00897918" w:rsidRDefault="00D441BE">
      <w:pPr>
        <w:spacing w:after="121"/>
        <w:ind w:right="0"/>
      </w:pPr>
      <w:r>
        <w:t xml:space="preserve">Obsah komunikační strategie: </w:t>
      </w:r>
    </w:p>
    <w:p w14:paraId="6E825D0C" w14:textId="77777777" w:rsidR="00897918" w:rsidRDefault="00D441BE">
      <w:pPr>
        <w:numPr>
          <w:ilvl w:val="0"/>
          <w:numId w:val="1"/>
        </w:numPr>
        <w:ind w:right="0" w:hanging="360"/>
      </w:pPr>
      <w:r>
        <w:t>Analýza cílového publika: Dodavatel se zavazuje identifikovat hlavní segmenty cílového pub</w:t>
      </w:r>
      <w:r>
        <w:t xml:space="preserve">lika, analyzovat jejich potřeby, preference, chování a způsoby komunikace. </w:t>
      </w:r>
    </w:p>
    <w:p w14:paraId="1A389843" w14:textId="77777777" w:rsidR="00897918" w:rsidRDefault="00D441BE">
      <w:pPr>
        <w:numPr>
          <w:ilvl w:val="0"/>
          <w:numId w:val="1"/>
        </w:numPr>
        <w:ind w:right="0" w:hanging="360"/>
      </w:pPr>
      <w:r>
        <w:t xml:space="preserve">Cíle kampaně: Dodavatel se zavazuje stanovit konkrétní a měřitelné cíle kampaně, které musí být v souladu s celkovými cíli digitalizace a strategie MPSV. </w:t>
      </w:r>
    </w:p>
    <w:p w14:paraId="08360268" w14:textId="77777777" w:rsidR="00897918" w:rsidRDefault="00D441BE">
      <w:pPr>
        <w:numPr>
          <w:ilvl w:val="0"/>
          <w:numId w:val="1"/>
        </w:numPr>
        <w:ind w:right="0" w:hanging="360"/>
      </w:pPr>
      <w:r>
        <w:t>Zpráva a komunikační záměr: Dodavatel se zavazuje definovat hlavní sdělení, které chce kampaně komuni</w:t>
      </w:r>
      <w:r>
        <w:t xml:space="preserve">kovat, a dále formulovat komunikační záměr, který zajišťuje konzistentní a relevantní sdělení. </w:t>
      </w:r>
    </w:p>
    <w:p w14:paraId="1B070EE0" w14:textId="77777777" w:rsidR="00897918" w:rsidRDefault="00D441BE">
      <w:pPr>
        <w:numPr>
          <w:ilvl w:val="0"/>
          <w:numId w:val="1"/>
        </w:numPr>
        <w:ind w:right="0" w:hanging="360"/>
      </w:pPr>
      <w:r>
        <w:t>Kanály komunikace: Dodavatel se zavazuje identifikovat vhodné komunikační kanály pro dosažení cílového publika a jejich co nejefektivnější kombinaci, včetně onl</w:t>
      </w:r>
      <w:r>
        <w:t xml:space="preserve">ine a </w:t>
      </w:r>
      <w:proofErr w:type="spellStart"/>
      <w:r>
        <w:t>offline</w:t>
      </w:r>
      <w:proofErr w:type="spellEnd"/>
      <w:r>
        <w:t xml:space="preserve"> kanálů. </w:t>
      </w:r>
    </w:p>
    <w:p w14:paraId="78D2589A" w14:textId="77777777" w:rsidR="00897918" w:rsidRDefault="00D441BE">
      <w:pPr>
        <w:numPr>
          <w:ilvl w:val="0"/>
          <w:numId w:val="1"/>
        </w:numPr>
        <w:ind w:right="0" w:hanging="360"/>
      </w:pPr>
      <w:r>
        <w:t xml:space="preserve">Kreativní koncept: Dodavatel se zavazuje vytvořit kreativní koncept a vizuální identitu kampaně, který osloví cílovou skupinu a zaujme ji. </w:t>
      </w:r>
    </w:p>
    <w:p w14:paraId="389DF2BF" w14:textId="77777777" w:rsidR="00897918" w:rsidRDefault="00D441BE">
      <w:pPr>
        <w:numPr>
          <w:ilvl w:val="0"/>
          <w:numId w:val="1"/>
        </w:numPr>
        <w:ind w:right="0" w:hanging="360"/>
      </w:pPr>
      <w:r>
        <w:t>Plán mediálního pokrytí: Dodavatel se zavazuje naplánovat mediálního pokrytí pro distribuci k</w:t>
      </w:r>
      <w:r>
        <w:t xml:space="preserve">ampaně, včetně placené reklamy, PR, sociálních médií, online i </w:t>
      </w:r>
      <w:proofErr w:type="spellStart"/>
      <w:r>
        <w:t>offline</w:t>
      </w:r>
      <w:proofErr w:type="spellEnd"/>
      <w:r>
        <w:t xml:space="preserve"> médií. </w:t>
      </w:r>
    </w:p>
    <w:p w14:paraId="1E766B52" w14:textId="77777777" w:rsidR="00897918" w:rsidRDefault="00D441BE">
      <w:pPr>
        <w:numPr>
          <w:ilvl w:val="0"/>
          <w:numId w:val="1"/>
        </w:numPr>
        <w:ind w:right="0" w:hanging="360"/>
      </w:pPr>
      <w:r>
        <w:t xml:space="preserve">Rozpočet a zdroje: Dodavatel se zavazuje stanovit rozpočet pro provedení kampaně a alokovat zdroje na jednotlivé aktivity a náklady. </w:t>
      </w:r>
    </w:p>
    <w:p w14:paraId="3FFFEBC6" w14:textId="77777777" w:rsidR="00897918" w:rsidRDefault="00D441BE">
      <w:pPr>
        <w:numPr>
          <w:ilvl w:val="0"/>
          <w:numId w:val="1"/>
        </w:numPr>
        <w:ind w:right="0" w:hanging="360"/>
      </w:pPr>
      <w:r>
        <w:t>Plán měření a vyhodnocení: Dodavatel se zav</w:t>
      </w:r>
      <w:r>
        <w:t xml:space="preserve">azuje definovat ukazatele úspěchu kampaně a plán měření výkonu, který umožní vyhodnotit dosažené výsledky a přizpůsobit strategii podle potřeby. </w:t>
      </w:r>
    </w:p>
    <w:p w14:paraId="5804F39A" w14:textId="77777777" w:rsidR="00897918" w:rsidRDefault="00D441BE">
      <w:pPr>
        <w:numPr>
          <w:ilvl w:val="0"/>
          <w:numId w:val="1"/>
        </w:numPr>
        <w:ind w:right="0" w:hanging="360"/>
      </w:pPr>
      <w:r>
        <w:t>Časový harmonogram: Dodavatel se zavazuje vytvořit časový harmonogram s přesnými termíny pro jednotlivé fáze a</w:t>
      </w:r>
      <w:r>
        <w:t xml:space="preserve"> aktivity kampaně dle této Specifikace, tj. ode dne nabytí účinnosti objednávky do konce prosince 2024. </w:t>
      </w:r>
    </w:p>
    <w:p w14:paraId="510251A2" w14:textId="77777777" w:rsidR="00897918" w:rsidRDefault="00D441BE">
      <w:pPr>
        <w:numPr>
          <w:ilvl w:val="0"/>
          <w:numId w:val="1"/>
        </w:numPr>
        <w:spacing w:after="114"/>
        <w:ind w:right="0" w:hanging="360"/>
      </w:pPr>
      <w:r>
        <w:t>Řízení rizik: Dodavatel se zavazuje identifikovat potenciální rizika a připravit plán pro jejich řízení a minimalizaci jejich dopadů na průběh kampaně.</w:t>
      </w:r>
      <w:r>
        <w:t xml:space="preserve"> </w:t>
      </w:r>
    </w:p>
    <w:p w14:paraId="610282E6" w14:textId="77777777" w:rsidR="00897918" w:rsidRDefault="00D441BE">
      <w:pPr>
        <w:spacing w:after="32" w:line="259" w:lineRule="auto"/>
        <w:ind w:left="0" w:right="0" w:firstLine="0"/>
        <w:jc w:val="left"/>
      </w:pPr>
      <w:r>
        <w:rPr>
          <w:color w:val="0D0D0D"/>
        </w:rPr>
        <w:t xml:space="preserve"> </w:t>
      </w:r>
    </w:p>
    <w:p w14:paraId="3864A399" w14:textId="77777777" w:rsidR="00897918" w:rsidRDefault="00D441BE">
      <w:pPr>
        <w:spacing w:after="118"/>
        <w:ind w:right="0"/>
      </w:pPr>
      <w:r>
        <w:t xml:space="preserve">Obsah kreativního konceptu: </w:t>
      </w:r>
    </w:p>
    <w:p w14:paraId="07E4E998" w14:textId="77777777" w:rsidR="00897918" w:rsidRDefault="00D441BE">
      <w:pPr>
        <w:numPr>
          <w:ilvl w:val="0"/>
          <w:numId w:val="2"/>
        </w:numPr>
        <w:ind w:right="0" w:hanging="360"/>
      </w:pPr>
      <w:r>
        <w:t xml:space="preserve">Základní myšlenka: Dodavatel se zavazuje definovat hlavní myšlenku, která bude přenášena veškerými komunikačními kanály. Tato myšlenka musí být jednoduchá, zapamatovatelná a musí respektovat hlavní cíle kampaně. </w:t>
      </w:r>
    </w:p>
    <w:p w14:paraId="73E22ADB" w14:textId="77777777" w:rsidR="00897918" w:rsidRDefault="00D441BE">
      <w:pPr>
        <w:numPr>
          <w:ilvl w:val="0"/>
          <w:numId w:val="2"/>
        </w:numPr>
        <w:ind w:right="0" w:hanging="360"/>
      </w:pPr>
      <w:r>
        <w:lastRenderedPageBreak/>
        <w:t>Cílová sku</w:t>
      </w:r>
      <w:r>
        <w:t xml:space="preserve">pina: Dodavatel se zavazuje identifikovat cílovou skupinu, která má být oslovena, včetně analýzy jejích preferencí, zájmů a chování. Koncept musí být zaměřen tak, aby oslovil konkrétní segmenty publika. </w:t>
      </w:r>
    </w:p>
    <w:p w14:paraId="46930E11" w14:textId="77777777" w:rsidR="00897918" w:rsidRDefault="00D441BE">
      <w:pPr>
        <w:numPr>
          <w:ilvl w:val="0"/>
          <w:numId w:val="2"/>
        </w:numPr>
        <w:ind w:right="0" w:hanging="360"/>
      </w:pPr>
      <w:r>
        <w:t>Kreativní prvky: Dodavatel se zavazuje vytvoření uni</w:t>
      </w:r>
      <w:r>
        <w:t xml:space="preserve">kátní a atraktivní prvky, které představují vizuální a textovou stránku kampaně. To může zahrnovat slogan, grafický design, barevnou paletu, typografii atd. </w:t>
      </w:r>
    </w:p>
    <w:p w14:paraId="128F7B6B" w14:textId="77777777" w:rsidR="00897918" w:rsidRDefault="00D441BE">
      <w:pPr>
        <w:numPr>
          <w:ilvl w:val="0"/>
          <w:numId w:val="2"/>
        </w:numPr>
        <w:ind w:right="0" w:hanging="360"/>
      </w:pPr>
      <w:r>
        <w:t xml:space="preserve">Způsob vyprávění: Dodavatel </w:t>
      </w:r>
      <w:proofErr w:type="gramStart"/>
      <w:r>
        <w:t>určí</w:t>
      </w:r>
      <w:proofErr w:type="gramEnd"/>
      <w:r>
        <w:t xml:space="preserve"> styl vyprávění, který bude použit v kampani. To může být příběhov</w:t>
      </w:r>
      <w:r>
        <w:t xml:space="preserve">ý přístup, humor, emocionální apel nebo jakýkoliv jiný přístup, který je vhodný pro danou cílovou skupinu. </w:t>
      </w:r>
    </w:p>
    <w:p w14:paraId="257E7829" w14:textId="77777777" w:rsidR="00897918" w:rsidRDefault="00D441BE">
      <w:pPr>
        <w:numPr>
          <w:ilvl w:val="0"/>
          <w:numId w:val="2"/>
        </w:numPr>
        <w:ind w:right="0" w:hanging="360"/>
      </w:pPr>
      <w:r>
        <w:t>Integrované kanály: Dodavatel se zavazuje zhotovit plán, jakým způsobem bude kreativní koncept aplikován do různých komunikačních kanálů, včetně soc</w:t>
      </w:r>
      <w:r>
        <w:t xml:space="preserve">iálních médií, televize, </w:t>
      </w:r>
      <w:proofErr w:type="spellStart"/>
      <w:r>
        <w:t>outdoor</w:t>
      </w:r>
      <w:proofErr w:type="spellEnd"/>
      <w:r>
        <w:t xml:space="preserve"> reklamy, online reklamy atd. </w:t>
      </w:r>
    </w:p>
    <w:p w14:paraId="7FD490E3" w14:textId="77777777" w:rsidR="00897918" w:rsidRDefault="00D441BE">
      <w:pPr>
        <w:numPr>
          <w:ilvl w:val="0"/>
          <w:numId w:val="2"/>
        </w:numPr>
        <w:spacing w:after="114"/>
        <w:ind w:right="0" w:hanging="360"/>
      </w:pPr>
      <w:r>
        <w:t xml:space="preserve">Měřitelné cíle: Dodavatel se zavazuje stanovit konkrétní cíle, kterých má kampaň dosáhnout, a rovněž metody, jakými budou tyto cíle měřeny a vyhodnocovány. </w:t>
      </w:r>
    </w:p>
    <w:p w14:paraId="18C7460F" w14:textId="77777777" w:rsidR="00897918" w:rsidRDefault="00D441BE">
      <w:pPr>
        <w:spacing w:after="116"/>
        <w:ind w:right="0"/>
      </w:pPr>
      <w:r>
        <w:t>Zadavatel si vyhrazuje, že následují</w:t>
      </w:r>
      <w:r>
        <w:t xml:space="preserve">cí dílčí aktivity či výstupy budou podléhat schválení ze strany zadavatele: </w:t>
      </w:r>
    </w:p>
    <w:p w14:paraId="2FD76F03" w14:textId="77777777" w:rsidR="00897918" w:rsidRDefault="00D441BE">
      <w:pPr>
        <w:numPr>
          <w:ilvl w:val="0"/>
          <w:numId w:val="3"/>
        </w:numPr>
        <w:ind w:right="0" w:hanging="360"/>
      </w:pPr>
      <w:r>
        <w:t xml:space="preserve">Komunikační strategie </w:t>
      </w:r>
    </w:p>
    <w:p w14:paraId="76CA9D74" w14:textId="77777777" w:rsidR="00897918" w:rsidRDefault="00D441BE">
      <w:pPr>
        <w:numPr>
          <w:ilvl w:val="1"/>
          <w:numId w:val="3"/>
        </w:numPr>
        <w:ind w:right="0" w:hanging="360"/>
      </w:pPr>
      <w:r>
        <w:t xml:space="preserve">cíle kampaně </w:t>
      </w:r>
    </w:p>
    <w:p w14:paraId="56076366" w14:textId="77777777" w:rsidR="00897918" w:rsidRDefault="00D441BE">
      <w:pPr>
        <w:numPr>
          <w:ilvl w:val="1"/>
          <w:numId w:val="3"/>
        </w:numPr>
        <w:ind w:right="0" w:hanging="360"/>
      </w:pPr>
      <w:r>
        <w:t xml:space="preserve">hlavní sdělení a komunikační záměr </w:t>
      </w:r>
    </w:p>
    <w:p w14:paraId="747D2E6C" w14:textId="77777777" w:rsidR="00897918" w:rsidRDefault="00D441BE">
      <w:pPr>
        <w:numPr>
          <w:ilvl w:val="0"/>
          <w:numId w:val="3"/>
        </w:numPr>
        <w:ind w:right="0" w:hanging="360"/>
      </w:pPr>
      <w:r>
        <w:t xml:space="preserve">Kreativní koncept </w:t>
      </w:r>
    </w:p>
    <w:p w14:paraId="016AD46F" w14:textId="77777777" w:rsidR="00897918" w:rsidRDefault="00D441BE">
      <w:pPr>
        <w:numPr>
          <w:ilvl w:val="1"/>
          <w:numId w:val="3"/>
        </w:numPr>
        <w:ind w:right="0" w:hanging="360"/>
      </w:pPr>
      <w:r>
        <w:t xml:space="preserve">základní myšlenka </w:t>
      </w:r>
    </w:p>
    <w:p w14:paraId="7A6448B7" w14:textId="77777777" w:rsidR="00897918" w:rsidRDefault="00D441BE">
      <w:pPr>
        <w:numPr>
          <w:ilvl w:val="1"/>
          <w:numId w:val="3"/>
        </w:numPr>
        <w:spacing w:after="121"/>
        <w:ind w:right="0" w:hanging="360"/>
      </w:pPr>
      <w:r>
        <w:t xml:space="preserve">kreativní prvky. </w:t>
      </w:r>
    </w:p>
    <w:p w14:paraId="74467CA1" w14:textId="77777777" w:rsidR="00897918" w:rsidRDefault="00D441BE">
      <w:pPr>
        <w:spacing w:after="116"/>
        <w:ind w:right="0"/>
      </w:pPr>
      <w:r>
        <w:t>Bez písemného schválení ze strany zadavatele není dodavatel oprávněn pokračovat v navazujících činnostech. V případě, že zadavatel dílčí aktivitu či výstup neschválí, dodavatel se zavazuje zapracovat připomínky zadavatele, nebudou-li v rozporu s touto Spec</w:t>
      </w:r>
      <w:r>
        <w:t xml:space="preserve">ifikací. </w:t>
      </w:r>
    </w:p>
    <w:p w14:paraId="4F28244C" w14:textId="77777777" w:rsidR="00897918" w:rsidRDefault="00D441BE">
      <w:pPr>
        <w:spacing w:after="152" w:line="259" w:lineRule="auto"/>
        <w:ind w:left="0" w:right="0" w:firstLine="0"/>
        <w:jc w:val="left"/>
      </w:pPr>
      <w:r>
        <w:t xml:space="preserve"> </w:t>
      </w:r>
    </w:p>
    <w:p w14:paraId="52056288" w14:textId="77777777" w:rsidR="00897918" w:rsidRDefault="00D441BE">
      <w:pPr>
        <w:pStyle w:val="Nadpis1"/>
        <w:ind w:left="-5"/>
      </w:pPr>
      <w:r>
        <w:t xml:space="preserve">Video pro sociální sítě </w:t>
      </w:r>
    </w:p>
    <w:p w14:paraId="33A1DCF7" w14:textId="77777777" w:rsidR="00897918" w:rsidRDefault="00D441BE">
      <w:pPr>
        <w:spacing w:after="114"/>
        <w:ind w:right="0"/>
      </w:pPr>
      <w:r>
        <w:t xml:space="preserve">Dodavatel se zavazuje zhotovit krátké, atraktivní a snadno </w:t>
      </w:r>
      <w:proofErr w:type="spellStart"/>
      <w:r>
        <w:t>sdílitelné</w:t>
      </w:r>
      <w:proofErr w:type="spellEnd"/>
      <w:r>
        <w:t xml:space="preserve"> video, které oslovuje cílovou skupinu a co nejefektivněji sděluje hlavní zprávy kampaně. Klíčové prvky, které musí být ve videu zahrnuty: </w:t>
      </w:r>
    </w:p>
    <w:p w14:paraId="63A6B63C" w14:textId="77777777" w:rsidR="00897918" w:rsidRDefault="00D441BE">
      <w:pPr>
        <w:numPr>
          <w:ilvl w:val="0"/>
          <w:numId w:val="4"/>
        </w:numPr>
        <w:ind w:right="0" w:hanging="360"/>
      </w:pPr>
      <w:r>
        <w:t xml:space="preserve">Zachycení </w:t>
      </w:r>
      <w:r>
        <w:t xml:space="preserve">pozornosti: Video musí okamžitě zaujmout diváky a přitáhnout jejich pozornost v prvních vteřinách. </w:t>
      </w:r>
    </w:p>
    <w:p w14:paraId="0DAA1915" w14:textId="77777777" w:rsidR="00897918" w:rsidRDefault="00D441BE">
      <w:pPr>
        <w:numPr>
          <w:ilvl w:val="0"/>
          <w:numId w:val="4"/>
        </w:numPr>
        <w:ind w:right="0" w:hanging="360"/>
      </w:pPr>
      <w:r>
        <w:t>Jasná zpráva: Video musí jasně komunikovat hlavní zprávy a cíle kampaně. Důležité je, aby diváci pochopili, o co ve videu jde, a co od nich kampaně očekává.</w:t>
      </w:r>
      <w:r>
        <w:t xml:space="preserve"> </w:t>
      </w:r>
    </w:p>
    <w:p w14:paraId="5190E2B7" w14:textId="77777777" w:rsidR="00897918" w:rsidRDefault="00D441BE">
      <w:pPr>
        <w:numPr>
          <w:ilvl w:val="0"/>
          <w:numId w:val="4"/>
        </w:numPr>
        <w:ind w:right="0" w:hanging="360"/>
      </w:pPr>
      <w:r>
        <w:t xml:space="preserve">Emoce a zapojení: Efektivní video musí vyvolávat emoce a zapojení diváků. </w:t>
      </w:r>
    </w:p>
    <w:p w14:paraId="3E566723" w14:textId="77777777" w:rsidR="00897918" w:rsidRDefault="00D441BE">
      <w:pPr>
        <w:numPr>
          <w:ilvl w:val="0"/>
          <w:numId w:val="4"/>
        </w:numPr>
        <w:ind w:right="0" w:hanging="360"/>
      </w:pPr>
      <w:r>
        <w:t>Stručnost a srozumitelnost: Video musí být krátké a srozumitelné. S ohledem na krátkou pozornost diváků na sociálních sítích je důležité sdělit hlavní sdělení co nejstručněji a ne</w:t>
      </w:r>
      <w:r>
        <w:t xml:space="preserve">jjasněji. </w:t>
      </w:r>
    </w:p>
    <w:p w14:paraId="13BF8FB2" w14:textId="77777777" w:rsidR="00897918" w:rsidRDefault="00D441BE">
      <w:pPr>
        <w:numPr>
          <w:ilvl w:val="0"/>
          <w:numId w:val="4"/>
        </w:numPr>
        <w:ind w:right="0" w:hanging="360"/>
      </w:pPr>
      <w:r>
        <w:t>Call-to-</w:t>
      </w:r>
      <w:proofErr w:type="spellStart"/>
      <w:r>
        <w:t>Action</w:t>
      </w:r>
      <w:proofErr w:type="spellEnd"/>
      <w:r>
        <w:t>: Video by mělo obsahovat jasný Call-to-</w:t>
      </w:r>
      <w:proofErr w:type="spellStart"/>
      <w:r>
        <w:t>Action</w:t>
      </w:r>
      <w:proofErr w:type="spellEnd"/>
      <w:r>
        <w:t xml:space="preserve">, který diváky vyzve k další interakci či krokům. </w:t>
      </w:r>
    </w:p>
    <w:p w14:paraId="36F85B4F" w14:textId="77777777" w:rsidR="00897918" w:rsidRDefault="00D441BE">
      <w:pPr>
        <w:numPr>
          <w:ilvl w:val="0"/>
          <w:numId w:val="4"/>
        </w:numPr>
        <w:spacing w:after="116"/>
        <w:ind w:right="0" w:hanging="360"/>
      </w:pPr>
      <w:r>
        <w:t>Vizuální a zvuková kvalita: Video musí celkově působit profesionálně a přitažlivě, přičemž zvukový záznam a hudba musí podporovat atmo</w:t>
      </w:r>
      <w:r>
        <w:t xml:space="preserve">sféru videa. </w:t>
      </w:r>
    </w:p>
    <w:p w14:paraId="70D3AFA7" w14:textId="77777777" w:rsidR="00897918" w:rsidRDefault="00D441BE">
      <w:pPr>
        <w:spacing w:after="122"/>
        <w:ind w:right="0"/>
      </w:pPr>
      <w:r>
        <w:t xml:space="preserve">Rozsah:  </w:t>
      </w:r>
    </w:p>
    <w:p w14:paraId="04067E3A" w14:textId="77777777" w:rsidR="00897918" w:rsidRDefault="00D441BE">
      <w:pPr>
        <w:numPr>
          <w:ilvl w:val="0"/>
          <w:numId w:val="5"/>
        </w:numPr>
        <w:ind w:right="0" w:hanging="355"/>
      </w:pPr>
      <w:r>
        <w:t xml:space="preserve">zhotovení 1 videa zaměřeného na téma digitalizace a Klientské zóny Jenda, jehož součástí budou mluvené komentáře v českém jazyce a titulky v českém jazyce, </w:t>
      </w:r>
    </w:p>
    <w:p w14:paraId="0825218F" w14:textId="77777777" w:rsidR="00897918" w:rsidRDefault="00D441BE">
      <w:pPr>
        <w:numPr>
          <w:ilvl w:val="0"/>
          <w:numId w:val="5"/>
        </w:numPr>
        <w:ind w:right="0" w:hanging="355"/>
      </w:pPr>
      <w:r>
        <w:t xml:space="preserve">délka spotu (max. 4 minuty), a </w:t>
      </w:r>
    </w:p>
    <w:p w14:paraId="13851E0E" w14:textId="77777777" w:rsidR="00897918" w:rsidRDefault="00D441BE">
      <w:pPr>
        <w:numPr>
          <w:ilvl w:val="0"/>
          <w:numId w:val="5"/>
        </w:numPr>
        <w:spacing w:after="112"/>
        <w:ind w:right="0" w:hanging="355"/>
      </w:pPr>
      <w:r>
        <w:t xml:space="preserve">obsah, konkrétní zaměření: Podávání online žádostí prostřednictví Klientské zóny Jenda, výhody KZ Jenda a digitalizace MPSV. </w:t>
      </w:r>
    </w:p>
    <w:p w14:paraId="74DEADEA" w14:textId="77777777" w:rsidR="00897918" w:rsidRDefault="00D441BE">
      <w:pPr>
        <w:spacing w:after="116"/>
        <w:ind w:right="0"/>
      </w:pPr>
      <w:r>
        <w:lastRenderedPageBreak/>
        <w:t xml:space="preserve">Technické parametry: </w:t>
      </w:r>
      <w:proofErr w:type="gramStart"/>
      <w:r>
        <w:t>Určí</w:t>
      </w:r>
      <w:proofErr w:type="gramEnd"/>
      <w:r>
        <w:t xml:space="preserve"> dodavatel s ohledem na komunikační strategii a kreativní koncept, který sám specifikuje. Technické param</w:t>
      </w:r>
      <w:r>
        <w:t xml:space="preserve">etry musí korespondovat s finálním využitím videa. </w:t>
      </w:r>
    </w:p>
    <w:p w14:paraId="1DC2D801" w14:textId="77777777" w:rsidR="00897918" w:rsidRDefault="00D441BE">
      <w:pPr>
        <w:spacing w:after="114"/>
        <w:ind w:right="0"/>
      </w:pPr>
      <w:r>
        <w:t xml:space="preserve">Zadavatel si vyhrazuje, že následující dílčí aktivity či výstupy budou podléhat schválení ze strany zadavatele: </w:t>
      </w:r>
    </w:p>
    <w:p w14:paraId="56E56AB7" w14:textId="77777777" w:rsidR="00897918" w:rsidRDefault="00D441BE">
      <w:pPr>
        <w:numPr>
          <w:ilvl w:val="0"/>
          <w:numId w:val="6"/>
        </w:numPr>
        <w:ind w:right="0" w:hanging="360"/>
      </w:pPr>
      <w:r>
        <w:t xml:space="preserve">scénář videa, </w:t>
      </w:r>
    </w:p>
    <w:p w14:paraId="3A3BCBD8" w14:textId="77777777" w:rsidR="00897918" w:rsidRDefault="00D441BE">
      <w:pPr>
        <w:numPr>
          <w:ilvl w:val="0"/>
          <w:numId w:val="6"/>
        </w:numPr>
        <w:spacing w:after="114"/>
        <w:ind w:right="0" w:hanging="360"/>
      </w:pPr>
      <w:r>
        <w:t>návrh videa (tj. účel videa, vizuální styl a design, tón a způsob vyprávění,</w:t>
      </w:r>
      <w:r>
        <w:t xml:space="preserve"> hudba a zvukové efekty). </w:t>
      </w:r>
    </w:p>
    <w:p w14:paraId="2307DD62" w14:textId="77777777" w:rsidR="00897918" w:rsidRDefault="00D441BE">
      <w:pPr>
        <w:spacing w:after="114"/>
        <w:ind w:right="0"/>
      </w:pPr>
      <w:r>
        <w:t>Bez písemného schválení ze strany zadavatele není dodavatel oprávněn pokračovat v navazujících činnostech. V případě, že zadavatel dílčí aktivitu či výstup neschválí, dodavatel se zavazuje zapracovat připomínky zadavatele, nebudo</w:t>
      </w:r>
      <w:r>
        <w:t>u-li v rozporu s touto Specifikací.</w:t>
      </w:r>
      <w:r>
        <w:t xml:space="preserve"> </w:t>
      </w:r>
    </w:p>
    <w:p w14:paraId="7FC4D01D" w14:textId="77777777" w:rsidR="00897918" w:rsidRDefault="00D441BE">
      <w:pPr>
        <w:spacing w:after="152" w:line="259" w:lineRule="auto"/>
        <w:ind w:left="0" w:right="0" w:firstLine="0"/>
        <w:jc w:val="left"/>
      </w:pPr>
      <w:r>
        <w:t xml:space="preserve"> </w:t>
      </w:r>
    </w:p>
    <w:p w14:paraId="3C70EEBB" w14:textId="77777777" w:rsidR="00897918" w:rsidRDefault="00D441BE">
      <w:pPr>
        <w:pStyle w:val="Nadpis1"/>
        <w:ind w:left="-5"/>
      </w:pPr>
      <w:r>
        <w:t xml:space="preserve">TV spot </w:t>
      </w:r>
    </w:p>
    <w:p w14:paraId="5383620F" w14:textId="77777777" w:rsidR="00897918" w:rsidRDefault="00D441BE">
      <w:pPr>
        <w:spacing w:after="116"/>
        <w:ind w:right="0"/>
      </w:pPr>
      <w:r>
        <w:t xml:space="preserve">Dodavatel se zavazuje zhotovit TV spot tak, aby co nejefektivněji oslovil cílovou skupinu a předal hlavní sdělení kampaně. Klíčové prvky, které musí TV spot obsahovat/reflektovat: </w:t>
      </w:r>
    </w:p>
    <w:p w14:paraId="7255C964" w14:textId="77777777" w:rsidR="00897918" w:rsidRDefault="00D441BE">
      <w:pPr>
        <w:numPr>
          <w:ilvl w:val="0"/>
          <w:numId w:val="7"/>
        </w:numPr>
        <w:ind w:right="0" w:hanging="360"/>
      </w:pPr>
      <w:r>
        <w:t>Zachycení pozornosti: Úvodn</w:t>
      </w:r>
      <w:r>
        <w:t xml:space="preserve">í sekundy TV spotu musí okamžitě zaujmout diváka a přimět ho k pozornosti.  </w:t>
      </w:r>
    </w:p>
    <w:p w14:paraId="601BE967" w14:textId="77777777" w:rsidR="00897918" w:rsidRDefault="00D441BE">
      <w:pPr>
        <w:numPr>
          <w:ilvl w:val="0"/>
          <w:numId w:val="7"/>
        </w:numPr>
        <w:ind w:right="0" w:hanging="360"/>
      </w:pPr>
      <w:r>
        <w:t xml:space="preserve">Hlavní sdělení: TV spot musí jasně předat hlavní myšlenku a sdělení kampaně. Toto sdělení musí být jednoduché, zapamatovatelné a přesvědčivé. </w:t>
      </w:r>
    </w:p>
    <w:p w14:paraId="29D5F9CC" w14:textId="77777777" w:rsidR="00897918" w:rsidRDefault="00D441BE">
      <w:pPr>
        <w:numPr>
          <w:ilvl w:val="0"/>
          <w:numId w:val="7"/>
        </w:numPr>
        <w:ind w:right="0" w:hanging="360"/>
      </w:pPr>
      <w:r>
        <w:t>Emoční náboj: TV spot musí být schop</w:t>
      </w:r>
      <w:r>
        <w:t xml:space="preserve">en vyvolat emoce u diváka, ať už jde o radost, smutek, nadšení nebo strach, v závislosti na cíli kampaně. </w:t>
      </w:r>
    </w:p>
    <w:p w14:paraId="10DCD7BC" w14:textId="77777777" w:rsidR="00897918" w:rsidRDefault="00D441BE">
      <w:pPr>
        <w:numPr>
          <w:ilvl w:val="0"/>
          <w:numId w:val="7"/>
        </w:numPr>
        <w:ind w:right="0" w:hanging="360"/>
      </w:pPr>
      <w:r>
        <w:t xml:space="preserve">Vizualizace a zvukové efekty: Vizuální a zvukové efekty, které </w:t>
      </w:r>
      <w:proofErr w:type="gramStart"/>
      <w:r>
        <w:t>zvýší</w:t>
      </w:r>
      <w:proofErr w:type="gramEnd"/>
      <w:r>
        <w:t xml:space="preserve"> účinek TV spotu a zapamatovatelnost sdělení. To zahrnuje použití atraktivních obrázků, kvalitní hudby a/nebo efektivního zvukového designu. </w:t>
      </w:r>
    </w:p>
    <w:p w14:paraId="034D0BDC" w14:textId="77777777" w:rsidR="00897918" w:rsidRDefault="00D441BE">
      <w:pPr>
        <w:numPr>
          <w:ilvl w:val="0"/>
          <w:numId w:val="7"/>
        </w:numPr>
        <w:ind w:right="0" w:hanging="360"/>
      </w:pPr>
      <w:r>
        <w:t>Jednoduchost a přehlednost: TV spot musí být s</w:t>
      </w:r>
      <w:r>
        <w:t xml:space="preserve">trukturovaný a přehledný, aby divák snadno chápal obsah a sdělení. </w:t>
      </w:r>
    </w:p>
    <w:p w14:paraId="3DCCB21E" w14:textId="77777777" w:rsidR="00897918" w:rsidRDefault="00D441BE">
      <w:pPr>
        <w:numPr>
          <w:ilvl w:val="0"/>
          <w:numId w:val="7"/>
        </w:numPr>
        <w:spacing w:after="116"/>
        <w:ind w:right="0" w:hanging="360"/>
      </w:pPr>
      <w:r>
        <w:t xml:space="preserve">Call to </w:t>
      </w:r>
      <w:proofErr w:type="spellStart"/>
      <w:r>
        <w:t>Action</w:t>
      </w:r>
      <w:proofErr w:type="spellEnd"/>
      <w:r>
        <w:t xml:space="preserve">: Na konci TV spotu musí být jasný "Call to </w:t>
      </w:r>
      <w:proofErr w:type="spellStart"/>
      <w:r>
        <w:t>Action</w:t>
      </w:r>
      <w:proofErr w:type="spellEnd"/>
      <w:r>
        <w:t xml:space="preserve">", který diváka motivuje k určité akci. </w:t>
      </w:r>
    </w:p>
    <w:p w14:paraId="70D9EF68" w14:textId="77777777" w:rsidR="00897918" w:rsidRDefault="00D441BE">
      <w:pPr>
        <w:spacing w:after="136"/>
        <w:ind w:right="0"/>
      </w:pPr>
      <w:r>
        <w:t xml:space="preserve">Rozsah:  </w:t>
      </w:r>
    </w:p>
    <w:p w14:paraId="73C256B3" w14:textId="77777777" w:rsidR="00897918" w:rsidRDefault="00D441BE">
      <w:pPr>
        <w:numPr>
          <w:ilvl w:val="0"/>
          <w:numId w:val="8"/>
        </w:numPr>
        <w:ind w:right="0" w:hanging="355"/>
      </w:pPr>
      <w:r>
        <w:t>zhotovení 1 TV spotu zaměřeného na téma digitalizace a Klientské zóny Jen</w:t>
      </w:r>
      <w:r>
        <w:t xml:space="preserve">da, jehož součástí budou mluvené komentáře v českém jazyce, </w:t>
      </w:r>
    </w:p>
    <w:p w14:paraId="0184FCDA" w14:textId="77777777" w:rsidR="00897918" w:rsidRDefault="00D441BE">
      <w:pPr>
        <w:numPr>
          <w:ilvl w:val="0"/>
          <w:numId w:val="8"/>
        </w:numPr>
        <w:ind w:right="0" w:hanging="355"/>
      </w:pPr>
      <w:r>
        <w:t xml:space="preserve">délka spotu (max. 4 minuty), a </w:t>
      </w:r>
    </w:p>
    <w:p w14:paraId="65E4F95B" w14:textId="77777777" w:rsidR="00897918" w:rsidRDefault="00D441BE">
      <w:pPr>
        <w:numPr>
          <w:ilvl w:val="0"/>
          <w:numId w:val="8"/>
        </w:numPr>
        <w:spacing w:after="112"/>
        <w:ind w:right="0" w:hanging="355"/>
      </w:pPr>
      <w:r>
        <w:t xml:space="preserve">obsah, konkrétní zaměření: Podávání online žádostí prostřednictví Klientské zóny Jenda, výhody KZ Jenda a digitalizace MPSV. </w:t>
      </w:r>
    </w:p>
    <w:p w14:paraId="1C3F00D0" w14:textId="77777777" w:rsidR="00897918" w:rsidRDefault="00D441BE">
      <w:pPr>
        <w:spacing w:after="116"/>
        <w:ind w:right="0"/>
      </w:pPr>
      <w:r>
        <w:t xml:space="preserve">Technické parametry: </w:t>
      </w:r>
      <w:proofErr w:type="gramStart"/>
      <w:r>
        <w:t>Určí</w:t>
      </w:r>
      <w:proofErr w:type="gramEnd"/>
      <w:r>
        <w:t xml:space="preserve"> dodavatel s</w:t>
      </w:r>
      <w:r>
        <w:t xml:space="preserve"> ohledem na komunikační strategii a kreativní koncept, který sám specifikuje. Technické parametry musí korespondovat s finálním využitím videa. </w:t>
      </w:r>
    </w:p>
    <w:p w14:paraId="380EE7F5" w14:textId="77777777" w:rsidR="00897918" w:rsidRDefault="00D441BE">
      <w:pPr>
        <w:spacing w:after="114"/>
        <w:ind w:right="0"/>
      </w:pPr>
      <w:r>
        <w:t>Zadavatel si vyhrazuje, že následující dílčí aktivity či výstupy budou podléhat schválení ze strany zadavatele:</w:t>
      </w:r>
      <w:r>
        <w:t xml:space="preserve"> </w:t>
      </w:r>
    </w:p>
    <w:p w14:paraId="2EE564EB" w14:textId="77777777" w:rsidR="00897918" w:rsidRDefault="00D441BE">
      <w:pPr>
        <w:numPr>
          <w:ilvl w:val="0"/>
          <w:numId w:val="9"/>
        </w:numPr>
        <w:ind w:right="0" w:hanging="360"/>
      </w:pPr>
      <w:r>
        <w:t xml:space="preserve">scénář videa, </w:t>
      </w:r>
    </w:p>
    <w:p w14:paraId="315D46B7" w14:textId="77777777" w:rsidR="00897918" w:rsidRDefault="00D441BE">
      <w:pPr>
        <w:numPr>
          <w:ilvl w:val="0"/>
          <w:numId w:val="9"/>
        </w:numPr>
        <w:ind w:right="0" w:hanging="360"/>
      </w:pPr>
      <w:r>
        <w:t xml:space="preserve">návrh videa (tj. účel videa, vizuální styl a design, tón a způsob vyprávění, hudba a zvukové efekty). </w:t>
      </w:r>
    </w:p>
    <w:p w14:paraId="626EAEEC" w14:textId="77777777" w:rsidR="00897918" w:rsidRDefault="00D441BE">
      <w:pPr>
        <w:spacing w:after="114"/>
        <w:ind w:right="0"/>
      </w:pPr>
      <w:r>
        <w:t>Bez písemného schválení ze strany zadavatele není dodavatel oprávněn pokračovat v navazujících činnostech. V případě, že zadavatel dílčí</w:t>
      </w:r>
      <w:r>
        <w:t xml:space="preserve"> aktivitu či výstup neschválí, dodavatel se zavazuje zapracovat připomínky zadavatele, nebudou-li v rozporu s touto Specifikací. </w:t>
      </w:r>
    </w:p>
    <w:p w14:paraId="4B3988C6" w14:textId="77777777" w:rsidR="00897918" w:rsidRDefault="00D441BE">
      <w:pPr>
        <w:spacing w:after="152" w:line="259" w:lineRule="auto"/>
        <w:ind w:left="0" w:right="0" w:firstLine="0"/>
        <w:jc w:val="left"/>
      </w:pPr>
      <w:r>
        <w:t xml:space="preserve"> </w:t>
      </w:r>
    </w:p>
    <w:p w14:paraId="7940E320" w14:textId="77777777" w:rsidR="00897918" w:rsidRDefault="00D441BE">
      <w:pPr>
        <w:pStyle w:val="Nadpis1"/>
        <w:ind w:left="-5"/>
      </w:pPr>
      <w:r>
        <w:t xml:space="preserve">Nativní PR a řízení publicity digitalizace na sociálních sítích </w:t>
      </w:r>
    </w:p>
    <w:p w14:paraId="4956429A" w14:textId="77777777" w:rsidR="00897918" w:rsidRDefault="00D441BE">
      <w:pPr>
        <w:spacing w:after="114"/>
        <w:ind w:right="0"/>
      </w:pPr>
      <w:r>
        <w:t>Obsahem nativního PR a řízení publicity na sociálních sítíc</w:t>
      </w:r>
      <w:r>
        <w:t xml:space="preserve">h ke kampani bude strategie a obsah, které podporují hlavní cíle kampaně a oslovují cílovou skupinu. Klíčové prvky, které se dodavatel zavazuje zahrnout: </w:t>
      </w:r>
    </w:p>
    <w:p w14:paraId="0D45F114" w14:textId="77777777" w:rsidR="00897918" w:rsidRDefault="00D441BE">
      <w:pPr>
        <w:numPr>
          <w:ilvl w:val="0"/>
          <w:numId w:val="10"/>
        </w:numPr>
        <w:ind w:right="0" w:hanging="360"/>
      </w:pPr>
      <w:r>
        <w:lastRenderedPageBreak/>
        <w:t xml:space="preserve">Identifikace cílové skupiny: Identifikovat cílovou skupinu pro kampaň a určit, na kterých sociálních sítích se nachází. To umožní efektivní cílení obsahu. </w:t>
      </w:r>
    </w:p>
    <w:p w14:paraId="4F3E4BA8" w14:textId="77777777" w:rsidR="00897918" w:rsidRDefault="00D441BE">
      <w:pPr>
        <w:numPr>
          <w:ilvl w:val="0"/>
          <w:numId w:val="10"/>
        </w:numPr>
        <w:ind w:right="0" w:hanging="360"/>
      </w:pPr>
      <w:r>
        <w:t>Strategie obsahu: Na základě poznatků o cílové skupině se dodavatel zavazuje vytvořit strategii obsa</w:t>
      </w:r>
      <w:r>
        <w:t xml:space="preserve">hu pro jednotlivé sociální sítě. Obsah musí být relevantní, zajímavý a relevantní pro cílovou skupinu. </w:t>
      </w:r>
    </w:p>
    <w:p w14:paraId="23E93922" w14:textId="77777777" w:rsidR="00897918" w:rsidRDefault="00D441BE">
      <w:pPr>
        <w:numPr>
          <w:ilvl w:val="0"/>
          <w:numId w:val="10"/>
        </w:numPr>
        <w:ind w:right="0" w:hanging="360"/>
      </w:pPr>
      <w:r>
        <w:t>Nativní reklama: V rámci nativního PR lze využít placenou propagaci obsahu na sociálních sítích, která je prezentována formou přirozených příspěvků. Tyt</w:t>
      </w:r>
      <w:r>
        <w:t xml:space="preserve">o reklamy musí být organicky začleněny do prostředí sociálních sítí a dalších médií a musí přinést přidanou hodnotu pro uživatele. </w:t>
      </w:r>
    </w:p>
    <w:p w14:paraId="4541A3AB" w14:textId="77777777" w:rsidR="00897918" w:rsidRDefault="00D441BE">
      <w:pPr>
        <w:numPr>
          <w:ilvl w:val="0"/>
          <w:numId w:val="10"/>
        </w:numPr>
        <w:ind w:right="0" w:hanging="360"/>
      </w:pPr>
      <w:r>
        <w:t xml:space="preserve">Správa komunikace: Dodavatel se zavazuje aktivně spravovat komunikaci na sociálních sítích, zahrnující odpovídání na otázky </w:t>
      </w:r>
      <w:r>
        <w:t xml:space="preserve">a komentáře uživatelů, řešení případných stížností a interakci s komunitou. </w:t>
      </w:r>
    </w:p>
    <w:p w14:paraId="0230BA8E" w14:textId="77777777" w:rsidR="00897918" w:rsidRDefault="00D441BE">
      <w:pPr>
        <w:numPr>
          <w:ilvl w:val="0"/>
          <w:numId w:val="10"/>
        </w:numPr>
        <w:ind w:right="0" w:hanging="360"/>
      </w:pPr>
      <w:r>
        <w:t>Monitoring a analýza: Dodavatel se zavazuje průběžně monitorovat výkon obsahu a reakce uživatelů na sociálních sítích a provádět analýzu úspěšnosti kampaně. To umožní identifikova</w:t>
      </w:r>
      <w:r>
        <w:t>t úspěšné prvky kampaně a přizpůsobit strategii v reálném čase. Výsledky monitoringu a analýzy bude dodavatel pravidelně zasílat zadavateli, a to vždy do 5. kalendářního dne po skončení každého měsíce po celou dobu trvání tohoto smluvního vztahu. Dodavatel</w:t>
      </w:r>
      <w:r>
        <w:t xml:space="preserve"> se zavazuje na výsledky monitoringu a analýzy adekvátním způsobem reagovat a na jejich základě, bude-li to žádoucí, upraví komunikační strategii takovým způsobem, aby odpovídala aktuálním výsledkům. </w:t>
      </w:r>
    </w:p>
    <w:p w14:paraId="22718E7D" w14:textId="77777777" w:rsidR="00897918" w:rsidRDefault="00D441BE">
      <w:pPr>
        <w:numPr>
          <w:ilvl w:val="0"/>
          <w:numId w:val="10"/>
        </w:numPr>
        <w:spacing w:after="114"/>
        <w:ind w:right="0" w:hanging="360"/>
      </w:pPr>
      <w:r>
        <w:t>Zahrnutí klíčových zpráv: Obsah a komunikace musí refle</w:t>
      </w:r>
      <w:r>
        <w:t xml:space="preserve">ktovat hlavní zprávy a sdělení kampaně, a to jak prostřednictvím organického obsahu, tak placených reklamních prostorů. </w:t>
      </w:r>
    </w:p>
    <w:p w14:paraId="79740E07" w14:textId="77777777" w:rsidR="00897918" w:rsidRDefault="00D441BE">
      <w:pPr>
        <w:spacing w:after="116"/>
        <w:ind w:right="0"/>
      </w:pPr>
      <w:r>
        <w:t xml:space="preserve">Zadavatel si vyhrazuje, že následující dílčí aktivity či výstupy budou podléhat schválení ze strany zadavatele: </w:t>
      </w:r>
    </w:p>
    <w:p w14:paraId="744B115C" w14:textId="77777777" w:rsidR="00897918" w:rsidRDefault="00D441BE">
      <w:pPr>
        <w:spacing w:after="118"/>
        <w:ind w:left="355" w:right="0"/>
      </w:pPr>
      <w:r>
        <w:t xml:space="preserve">a. nativní reklama. </w:t>
      </w:r>
    </w:p>
    <w:p w14:paraId="7EE5E922" w14:textId="77777777" w:rsidR="00897918" w:rsidRDefault="00D441BE">
      <w:pPr>
        <w:spacing w:after="114"/>
        <w:ind w:right="0"/>
      </w:pPr>
      <w:r>
        <w:t>B</w:t>
      </w:r>
      <w:r>
        <w:t>ez písemného schválení ze strany zadavatele není dodavatel oprávněn pokračovat v navazujících činnostech. V případě, že zadavatel dílčí aktivitu či výstup neschválí, dodavatel se zavazuje zapracovat připomínky zadavatele, nebudou-li v rozporu s touto Speci</w:t>
      </w:r>
      <w:r>
        <w:t xml:space="preserve">fikací. </w:t>
      </w:r>
    </w:p>
    <w:p w14:paraId="552DC126" w14:textId="77777777" w:rsidR="00897918" w:rsidRDefault="00D441BE">
      <w:pPr>
        <w:spacing w:after="152" w:line="259" w:lineRule="auto"/>
        <w:ind w:left="0" w:right="0" w:firstLine="0"/>
        <w:jc w:val="left"/>
      </w:pPr>
      <w:r>
        <w:t xml:space="preserve"> </w:t>
      </w:r>
    </w:p>
    <w:p w14:paraId="5757BC20" w14:textId="77777777" w:rsidR="00897918" w:rsidRDefault="00D441BE">
      <w:pPr>
        <w:pStyle w:val="Nadpis1"/>
        <w:ind w:left="-5"/>
      </w:pPr>
      <w:r>
        <w:t xml:space="preserve">Lhůty pro dodání / poskytování dílčích částí kampaně </w:t>
      </w:r>
    </w:p>
    <w:p w14:paraId="5BD8F1FD" w14:textId="77777777" w:rsidR="00897918" w:rsidRDefault="00D441BE">
      <w:pPr>
        <w:spacing w:after="118"/>
        <w:ind w:right="0"/>
      </w:pPr>
      <w:r>
        <w:t xml:space="preserve">Dodavatel se zavazuje dílčí části kampaně předat k akceptaci anebo poskytovat v následujících lhůtách: </w:t>
      </w:r>
    </w:p>
    <w:p w14:paraId="2CC85300" w14:textId="77777777" w:rsidR="00897918" w:rsidRDefault="00D441BE">
      <w:pPr>
        <w:numPr>
          <w:ilvl w:val="0"/>
          <w:numId w:val="11"/>
        </w:numPr>
        <w:ind w:right="403" w:hanging="719"/>
      </w:pPr>
      <w:r>
        <w:t>Návrh komunikační strategie a tvorba kreativního konceptu: do 10 dnů ode dne nabytí úči</w:t>
      </w:r>
      <w:r>
        <w:t xml:space="preserve">nnosti objednávky), </w:t>
      </w:r>
    </w:p>
    <w:p w14:paraId="1C24E38B" w14:textId="77777777" w:rsidR="00897918" w:rsidRDefault="00D441BE">
      <w:pPr>
        <w:numPr>
          <w:ilvl w:val="0"/>
          <w:numId w:val="11"/>
        </w:numPr>
        <w:ind w:right="403" w:hanging="719"/>
      </w:pPr>
      <w:r>
        <w:t xml:space="preserve">Tvorba videa pro sociální sítě: do 30 dnů ode dne nabytí účinnosti objednávky, </w:t>
      </w:r>
      <w:proofErr w:type="spellStart"/>
      <w:r>
        <w:t>iii</w:t>
      </w:r>
      <w:proofErr w:type="spellEnd"/>
      <w:r>
        <w:t xml:space="preserve">. </w:t>
      </w:r>
      <w:r>
        <w:tab/>
        <w:t xml:space="preserve">Tvorba TV spotu: do 30 dnů ode dne nabytí účinnosti objednávky, </w:t>
      </w:r>
    </w:p>
    <w:p w14:paraId="4E3A1C58" w14:textId="77777777" w:rsidR="00897918" w:rsidRDefault="00D441BE">
      <w:pPr>
        <w:ind w:left="1065" w:right="0" w:hanging="720"/>
      </w:pPr>
      <w:proofErr w:type="spellStart"/>
      <w:r>
        <w:t>iv</w:t>
      </w:r>
      <w:proofErr w:type="spellEnd"/>
      <w:r>
        <w:t>. Nativní PR a řízení publicity digitalizace na sociálních sítích: ode dne nabytí ú</w:t>
      </w:r>
      <w:r>
        <w:t xml:space="preserve">činnosti objednávky do konce prosince 2024. </w:t>
      </w:r>
    </w:p>
    <w:p w14:paraId="265E356F" w14:textId="77777777" w:rsidR="00897918" w:rsidRDefault="00D441BE">
      <w:pPr>
        <w:spacing w:after="152" w:line="259" w:lineRule="auto"/>
        <w:ind w:left="0" w:right="0" w:firstLine="0"/>
        <w:jc w:val="left"/>
      </w:pPr>
      <w:r>
        <w:t xml:space="preserve"> </w:t>
      </w:r>
    </w:p>
    <w:p w14:paraId="0734B885" w14:textId="77777777" w:rsidR="00897918" w:rsidRDefault="00D441BE">
      <w:pPr>
        <w:pStyle w:val="Nadpis1"/>
        <w:ind w:left="-5"/>
      </w:pPr>
      <w:r>
        <w:t xml:space="preserve">Akceptace dílčích částí kampaně </w:t>
      </w:r>
    </w:p>
    <w:p w14:paraId="0C978DF4" w14:textId="77777777" w:rsidR="00897918" w:rsidRDefault="00D441BE">
      <w:pPr>
        <w:spacing w:after="114"/>
        <w:ind w:right="0"/>
      </w:pPr>
      <w:r>
        <w:t xml:space="preserve">Dílčí části kampaně v podobě komunikační strategie, kreativního konceptu, videa pro sociální sítě, TV spotu a strategie a obsahu nativního PR a řízení publicity podléhají akceptačnímu řízení ze strany zadavatele: </w:t>
      </w:r>
    </w:p>
    <w:p w14:paraId="2D2D6FA1" w14:textId="77777777" w:rsidR="00897918" w:rsidRDefault="00D441BE">
      <w:pPr>
        <w:spacing w:after="116"/>
        <w:ind w:left="566" w:right="0" w:hanging="566"/>
      </w:pPr>
      <w:r>
        <w:t>1.1. Dílčí části kampaně se Zhotovitel zav</w:t>
      </w:r>
      <w:r>
        <w:t>azuje v elektronické podobě předat oprávněné osobě zadavatele uvedené níže, příp. jejímu pověřenému zástupci/zástupkyni. Neumožňuje-li povaha dílčích výstupů předání v elektronické podobě, tyto se Zhotovitel zavazuje doručit na adresu sídla zadavatele, a t</w:t>
      </w:r>
      <w:r>
        <w:t xml:space="preserve">o rovněž oprávněné osobě zadavatele. </w:t>
      </w:r>
    </w:p>
    <w:p w14:paraId="432050D9" w14:textId="77777777" w:rsidR="00897918" w:rsidRDefault="00D441BE">
      <w:pPr>
        <w:spacing w:after="134"/>
        <w:ind w:left="566" w:right="0" w:hanging="566"/>
      </w:pPr>
      <w:r>
        <w:t xml:space="preserve">1.2. Dílčí části kampaně budou zadavateli předány na základě oboustranně podepsaného předávacího protokolu vyhotoveného dodavatelem a zaslaného v elektronické podobě oprávněné osobě zadavatele. </w:t>
      </w:r>
    </w:p>
    <w:p w14:paraId="49CA7B1C" w14:textId="77777777" w:rsidR="00897918" w:rsidRDefault="00D441BE">
      <w:pPr>
        <w:tabs>
          <w:tab w:val="center" w:pos="3156"/>
        </w:tabs>
        <w:spacing w:after="135"/>
        <w:ind w:left="0" w:right="0" w:firstLine="0"/>
        <w:jc w:val="left"/>
      </w:pPr>
      <w:r>
        <w:lastRenderedPageBreak/>
        <w:t xml:space="preserve">1.3. </w:t>
      </w:r>
      <w:r>
        <w:tab/>
        <w:t xml:space="preserve">Předávací protokol musí obsahovat min. následující údaje: </w:t>
      </w:r>
    </w:p>
    <w:p w14:paraId="77E1B8AF" w14:textId="77777777" w:rsidR="00897918" w:rsidRDefault="00D441BE">
      <w:pPr>
        <w:numPr>
          <w:ilvl w:val="0"/>
          <w:numId w:val="12"/>
        </w:numPr>
        <w:spacing w:after="126"/>
        <w:ind w:left="994" w:right="0" w:hanging="360"/>
      </w:pPr>
      <w:r>
        <w:t xml:space="preserve">označení smluvních stran, </w:t>
      </w:r>
    </w:p>
    <w:p w14:paraId="297717C6" w14:textId="77777777" w:rsidR="00897918" w:rsidRDefault="00D441BE">
      <w:pPr>
        <w:numPr>
          <w:ilvl w:val="0"/>
          <w:numId w:val="12"/>
        </w:numPr>
        <w:spacing w:after="129"/>
        <w:ind w:left="994" w:right="0" w:hanging="360"/>
      </w:pPr>
      <w:r>
        <w:t xml:space="preserve">identifikace předávaných dílčích části kampaně, </w:t>
      </w:r>
    </w:p>
    <w:p w14:paraId="58D7C6B1" w14:textId="77777777" w:rsidR="00897918" w:rsidRDefault="00D441BE">
      <w:pPr>
        <w:numPr>
          <w:ilvl w:val="0"/>
          <w:numId w:val="12"/>
        </w:numPr>
        <w:spacing w:after="129"/>
        <w:ind w:left="994" w:right="0" w:hanging="360"/>
      </w:pPr>
      <w:r>
        <w:t xml:space="preserve">způsob předání dílčích části kampaně ve smyslu odst. 1.2., </w:t>
      </w:r>
    </w:p>
    <w:p w14:paraId="68EE643E" w14:textId="77777777" w:rsidR="00897918" w:rsidRDefault="00D441BE">
      <w:pPr>
        <w:numPr>
          <w:ilvl w:val="0"/>
          <w:numId w:val="12"/>
        </w:numPr>
        <w:spacing w:after="127"/>
        <w:ind w:left="994" w:right="0" w:hanging="360"/>
      </w:pPr>
      <w:r>
        <w:t xml:space="preserve">další významné skutečnosti, </w:t>
      </w:r>
    </w:p>
    <w:p w14:paraId="1C88869A" w14:textId="77777777" w:rsidR="00897918" w:rsidRDefault="00D441BE">
      <w:pPr>
        <w:numPr>
          <w:ilvl w:val="0"/>
          <w:numId w:val="12"/>
        </w:numPr>
        <w:spacing w:after="121"/>
        <w:ind w:left="994" w:right="0" w:hanging="360"/>
      </w:pPr>
      <w:r>
        <w:t xml:space="preserve">datum a podpisy (včetně jména a příjmení) oprávněných osob smluvních stran. </w:t>
      </w:r>
    </w:p>
    <w:p w14:paraId="3CA080E3" w14:textId="77777777" w:rsidR="00897918" w:rsidRDefault="00D441BE">
      <w:pPr>
        <w:numPr>
          <w:ilvl w:val="1"/>
          <w:numId w:val="13"/>
        </w:numPr>
        <w:spacing w:after="114"/>
        <w:ind w:right="0" w:hanging="566"/>
      </w:pPr>
      <w:r>
        <w:t>V případě, že kterákoliv dílčí část kampaně nebude zhotovena plně v souladu s objednávkou, zadavatel si vyhrazuje právo odmítnout dílčí část kampaně (ať již v plném či jen částečn</w:t>
      </w:r>
      <w:r>
        <w:t>ém rozsahu) převzít. Výhrady zadavatele budou zapsány do předávacího protokolu, který oprávněná osoba zadavatele zašle v elektronické podobě osobě oprávněné dodavatele, kterou se dodavatel zavazuje zadavateli oznámit bez zbytečného prodlení po nabytí účinn</w:t>
      </w:r>
      <w:r>
        <w:t xml:space="preserve">osti objednávky. </w:t>
      </w:r>
    </w:p>
    <w:p w14:paraId="747D4E1E" w14:textId="77777777" w:rsidR="00897918" w:rsidRDefault="00D441BE">
      <w:pPr>
        <w:numPr>
          <w:ilvl w:val="1"/>
          <w:numId w:val="13"/>
        </w:numPr>
        <w:spacing w:after="116"/>
        <w:ind w:right="0" w:hanging="566"/>
      </w:pPr>
      <w:r>
        <w:t>V případě odmítnutí převzetí dílčí části kampaně ve smyslu předchozího odstavce se dodavatel zavazuje na vlastní náklady zjednat nápravu a předat upravenou dílčí část kampaně zadavateli, a to do 10 kalendářních dnů od doručení předávacího</w:t>
      </w:r>
      <w:r>
        <w:t xml:space="preserve"> protokolu v elektronické podobě oprávněné osobě dodavatele, který obsahuje výhrady zadavatele. </w:t>
      </w:r>
    </w:p>
    <w:p w14:paraId="062AC3F2" w14:textId="77777777" w:rsidR="00897918" w:rsidRDefault="00D441BE">
      <w:pPr>
        <w:numPr>
          <w:ilvl w:val="1"/>
          <w:numId w:val="13"/>
        </w:numPr>
        <w:spacing w:after="114"/>
        <w:ind w:right="0" w:hanging="566"/>
      </w:pPr>
      <w:r>
        <w:t>V případě, že do 15 kalendářních dnů od předání dílčí části kampaně budou zjištěny vady a/nebo nedodělky, které způsobují jejich nesoulad s objednávkou, zadava</w:t>
      </w:r>
      <w:r>
        <w:t>tel se zavazuje prostřednictvím osoby oprávněné o této skutečnosti písemně informovat osobu oprávněnou dodavatele. Zadavatel se dále zavazuje stanovit dodavateli dodatečnou přiměřenou lhůtu k předání upravené dílčí části kampaně, která nesmí být kratší než</w:t>
      </w:r>
      <w:r>
        <w:t xml:space="preserve"> 10 kalendářních dnů. </w:t>
      </w:r>
    </w:p>
    <w:p w14:paraId="31ABD5E2" w14:textId="77777777" w:rsidR="00897918" w:rsidRDefault="00D441BE">
      <w:pPr>
        <w:numPr>
          <w:ilvl w:val="1"/>
          <w:numId w:val="13"/>
        </w:numPr>
        <w:spacing w:after="125"/>
        <w:ind w:right="0" w:hanging="566"/>
      </w:pPr>
      <w:r>
        <w:t xml:space="preserve">Řádně předanou a převzatou (tj. akceptovaným) dílčí částí kampaně se rozumí dílčí část kampaně prostá vad, nedodělků či výhrad, tj. dílčí část kampaně, u něhož </w:t>
      </w:r>
    </w:p>
    <w:p w14:paraId="28391712" w14:textId="77777777" w:rsidR="00897918" w:rsidRDefault="00D441BE">
      <w:pPr>
        <w:numPr>
          <w:ilvl w:val="0"/>
          <w:numId w:val="12"/>
        </w:numPr>
        <w:spacing w:after="125"/>
        <w:ind w:left="994" w:right="0" w:hanging="360"/>
      </w:pPr>
      <w:r>
        <w:t>uplyne lhůta dle věty první odst. 1.6. a zadavatel v této lhůtě neinform</w:t>
      </w:r>
      <w:r>
        <w:t xml:space="preserve">uje dodavatele o zjištěných vadách a/nebo nedodělcích; nebo </w:t>
      </w:r>
    </w:p>
    <w:p w14:paraId="3136CA75" w14:textId="77777777" w:rsidR="00897918" w:rsidRDefault="00D441BE">
      <w:pPr>
        <w:numPr>
          <w:ilvl w:val="0"/>
          <w:numId w:val="12"/>
        </w:numPr>
        <w:ind w:left="994" w:right="0" w:hanging="360"/>
      </w:pPr>
      <w:r>
        <w:t>zadavatel písemně informuje oprávněnou osobu dodavatele o tom, že dílčí část kampaně je bez vad</w:t>
      </w:r>
      <w:r>
        <w:rPr>
          <w:sz w:val="16"/>
        </w:rPr>
        <w:t>.</w:t>
      </w:r>
      <w:r>
        <w:t xml:space="preserve"> </w:t>
      </w:r>
    </w:p>
    <w:p w14:paraId="1E01B7D5" w14:textId="77777777" w:rsidR="00897918" w:rsidRDefault="00D441BE">
      <w:pPr>
        <w:spacing w:after="149" w:line="259" w:lineRule="auto"/>
        <w:ind w:left="0" w:right="0" w:firstLine="0"/>
        <w:jc w:val="left"/>
      </w:pPr>
      <w:r>
        <w:t xml:space="preserve"> </w:t>
      </w:r>
    </w:p>
    <w:p w14:paraId="42F62B3D" w14:textId="5E52AE06" w:rsidR="00897918" w:rsidRDefault="00D441BE">
      <w:pPr>
        <w:ind w:right="0"/>
      </w:pPr>
      <w:r>
        <w:t xml:space="preserve">Oprávněná osoba zadavatele: Mgr. Karolína Koleňáková, tel.: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, e-mail: </w:t>
      </w:r>
      <w:r>
        <w:rPr>
          <w:color w:val="0563C1"/>
          <w:u w:val="single" w:color="0563C1"/>
        </w:rPr>
        <w:t>xxxxxxxxxxxxxxxxxxx@mpsv.cz</w:t>
      </w:r>
      <w:r>
        <w:t>. Dodavatel se zavazuje se zadavatelem komunikovat výhradně prostřednictvím oprávněné osoby zadavatele, přičemž stejným způsobem budou zadavateli v elektronické podobě předávány veškerý výstupy vzniknuvší na základě plnění předmětu této veřejn</w:t>
      </w:r>
      <w:r>
        <w:t xml:space="preserve">é zakázky. </w:t>
      </w:r>
    </w:p>
    <w:sectPr w:rsidR="00897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90" w:right="1416" w:bottom="1501" w:left="1416" w:header="7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C4EF" w14:textId="77777777" w:rsidR="00D441BE" w:rsidRDefault="00D441BE">
      <w:pPr>
        <w:spacing w:after="0" w:line="240" w:lineRule="auto"/>
      </w:pPr>
      <w:r>
        <w:separator/>
      </w:r>
    </w:p>
  </w:endnote>
  <w:endnote w:type="continuationSeparator" w:id="0">
    <w:p w14:paraId="577085E7" w14:textId="77777777" w:rsidR="00D441BE" w:rsidRDefault="00D4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1B21" w14:textId="77777777" w:rsidR="00897918" w:rsidRDefault="00D441BE">
    <w:pPr>
      <w:spacing w:after="0" w:line="259" w:lineRule="auto"/>
      <w:ind w:left="0" w:right="7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 xml:space="preserve"> </w:t>
    </w:r>
  </w:p>
  <w:p w14:paraId="6C0A98F4" w14:textId="77777777" w:rsidR="00897918" w:rsidRDefault="00D441B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4A22" w14:textId="77777777" w:rsidR="00897918" w:rsidRDefault="00D441BE">
    <w:pPr>
      <w:spacing w:after="0" w:line="259" w:lineRule="auto"/>
      <w:ind w:left="0" w:right="7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 xml:space="preserve"> </w:t>
    </w:r>
  </w:p>
  <w:p w14:paraId="75A2EC9D" w14:textId="77777777" w:rsidR="00897918" w:rsidRDefault="00D441B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83FE" w14:textId="77777777" w:rsidR="00897918" w:rsidRDefault="00D441BE">
    <w:pPr>
      <w:spacing w:after="0" w:line="259" w:lineRule="auto"/>
      <w:ind w:left="0" w:right="7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 xml:space="preserve"> </w:t>
    </w:r>
  </w:p>
  <w:p w14:paraId="357595DE" w14:textId="77777777" w:rsidR="00897918" w:rsidRDefault="00D441B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9A39" w14:textId="77777777" w:rsidR="00D441BE" w:rsidRDefault="00D441BE">
      <w:pPr>
        <w:spacing w:after="0" w:line="240" w:lineRule="auto"/>
      </w:pPr>
      <w:r>
        <w:separator/>
      </w:r>
    </w:p>
  </w:footnote>
  <w:footnote w:type="continuationSeparator" w:id="0">
    <w:p w14:paraId="79D883FE" w14:textId="77777777" w:rsidR="00D441BE" w:rsidRDefault="00D4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077D" w14:textId="77777777" w:rsidR="00897918" w:rsidRDefault="00D441BE">
    <w:pPr>
      <w:spacing w:after="0" w:line="259" w:lineRule="auto"/>
      <w:ind w:left="0" w:right="5" w:firstLine="0"/>
      <w:jc w:val="right"/>
    </w:pPr>
    <w:r>
      <w:t xml:space="preserve">Příloha č. 1 Zadávací dokumentace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FEC3" w14:textId="77777777" w:rsidR="00897918" w:rsidRDefault="00D441BE">
    <w:pPr>
      <w:spacing w:after="0" w:line="259" w:lineRule="auto"/>
      <w:ind w:left="0" w:right="5" w:firstLine="0"/>
      <w:jc w:val="right"/>
    </w:pPr>
    <w:r>
      <w:t xml:space="preserve">Příloha č. 1 Zadávací dokumentace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2CB5" w14:textId="77777777" w:rsidR="00897918" w:rsidRDefault="00D441BE">
    <w:pPr>
      <w:spacing w:after="0" w:line="259" w:lineRule="auto"/>
      <w:ind w:left="0" w:right="5" w:firstLine="0"/>
      <w:jc w:val="right"/>
    </w:pPr>
    <w:r>
      <w:t xml:space="preserve">Příloha č. 1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EA"/>
    <w:multiLevelType w:val="hybridMultilevel"/>
    <w:tmpl w:val="FE4AEA7C"/>
    <w:lvl w:ilvl="0" w:tplc="47C6F67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C220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C0F4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B821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827D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01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B051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52B2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4612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B56AB"/>
    <w:multiLevelType w:val="hybridMultilevel"/>
    <w:tmpl w:val="6FA227BA"/>
    <w:lvl w:ilvl="0" w:tplc="952AF15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9630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3880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67D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9A98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14BF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4FC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201F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CCE3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22954"/>
    <w:multiLevelType w:val="hybridMultilevel"/>
    <w:tmpl w:val="6E5E6ADC"/>
    <w:lvl w:ilvl="0" w:tplc="10F26D38">
      <w:start w:val="1"/>
      <w:numFmt w:val="bullet"/>
      <w:lvlText w:val="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A6B1DE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474D4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D4B6CE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FAA77A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987B40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1EC2D0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3E26E8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BC5960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603C9"/>
    <w:multiLevelType w:val="multilevel"/>
    <w:tmpl w:val="D48A513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A278E7"/>
    <w:multiLevelType w:val="hybridMultilevel"/>
    <w:tmpl w:val="F41A4162"/>
    <w:lvl w:ilvl="0" w:tplc="BE1A919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96201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900B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90510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64BC0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F0C98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AA6D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6C387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876D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BD0118"/>
    <w:multiLevelType w:val="hybridMultilevel"/>
    <w:tmpl w:val="4732C604"/>
    <w:lvl w:ilvl="0" w:tplc="2E9EDCAE">
      <w:start w:val="1"/>
      <w:numFmt w:val="lowerRoman"/>
      <w:lvlText w:val="%1.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CE01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1A87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A99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403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0F5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8A7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8EB3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ACCB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FC7E9D"/>
    <w:multiLevelType w:val="hybridMultilevel"/>
    <w:tmpl w:val="3AE27EA4"/>
    <w:lvl w:ilvl="0" w:tplc="EFD8E8A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32C6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2B0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7EA7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63C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5C13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6E4E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344C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6A39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B87F67"/>
    <w:multiLevelType w:val="hybridMultilevel"/>
    <w:tmpl w:val="CEEA6CAE"/>
    <w:lvl w:ilvl="0" w:tplc="C27A698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C8D6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FAD1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2E26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8292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CAC3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E254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E429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FE54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934122"/>
    <w:multiLevelType w:val="hybridMultilevel"/>
    <w:tmpl w:val="F2C4D7BE"/>
    <w:lvl w:ilvl="0" w:tplc="13809DB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9647C4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2B0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4C8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2041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786D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88B4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C83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A43D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3F0231"/>
    <w:multiLevelType w:val="hybridMultilevel"/>
    <w:tmpl w:val="84623EE4"/>
    <w:lvl w:ilvl="0" w:tplc="01B839CC">
      <w:start w:val="1"/>
      <w:numFmt w:val="low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BAD8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1AAA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B072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7CF7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5087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6218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1CF6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2CCC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C63741"/>
    <w:multiLevelType w:val="hybridMultilevel"/>
    <w:tmpl w:val="E4123DA6"/>
    <w:lvl w:ilvl="0" w:tplc="80640BD4">
      <w:start w:val="1"/>
      <w:numFmt w:val="low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A5E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BEA9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0CD1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21D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401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828B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601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DA03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667FB5"/>
    <w:multiLevelType w:val="hybridMultilevel"/>
    <w:tmpl w:val="3E1C3A24"/>
    <w:lvl w:ilvl="0" w:tplc="CA628640">
      <w:start w:val="1"/>
      <w:numFmt w:val="bullet"/>
      <w:lvlText w:val="-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B00F38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FA04BE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8AE90E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DAA5F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01B8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E268F6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748ABC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72DC6C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775140"/>
    <w:multiLevelType w:val="hybridMultilevel"/>
    <w:tmpl w:val="76341A0C"/>
    <w:lvl w:ilvl="0" w:tplc="B7A26582">
      <w:start w:val="1"/>
      <w:numFmt w:val="bullet"/>
      <w:lvlText w:val="-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54DA8A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2EF71C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2287A6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05394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8A252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446C96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CA29C0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36F52E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4017472">
    <w:abstractNumId w:val="1"/>
  </w:num>
  <w:num w:numId="2" w16cid:durableId="1151949604">
    <w:abstractNumId w:val="7"/>
  </w:num>
  <w:num w:numId="3" w16cid:durableId="1884712586">
    <w:abstractNumId w:val="8"/>
  </w:num>
  <w:num w:numId="4" w16cid:durableId="822238257">
    <w:abstractNumId w:val="6"/>
  </w:num>
  <w:num w:numId="5" w16cid:durableId="1057390000">
    <w:abstractNumId w:val="11"/>
  </w:num>
  <w:num w:numId="6" w16cid:durableId="444737767">
    <w:abstractNumId w:val="10"/>
  </w:num>
  <w:num w:numId="7" w16cid:durableId="151065002">
    <w:abstractNumId w:val="0"/>
  </w:num>
  <w:num w:numId="8" w16cid:durableId="1289429305">
    <w:abstractNumId w:val="12"/>
  </w:num>
  <w:num w:numId="9" w16cid:durableId="1013341576">
    <w:abstractNumId w:val="9"/>
  </w:num>
  <w:num w:numId="10" w16cid:durableId="20934505">
    <w:abstractNumId w:val="4"/>
  </w:num>
  <w:num w:numId="11" w16cid:durableId="1823039731">
    <w:abstractNumId w:val="5"/>
  </w:num>
  <w:num w:numId="12" w16cid:durableId="1873611123">
    <w:abstractNumId w:val="2"/>
  </w:num>
  <w:num w:numId="13" w16cid:durableId="469128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18"/>
    <w:rsid w:val="00897918"/>
    <w:rsid w:val="00D4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2B54"/>
  <w15:docId w15:val="{5F87B959-B743-4472-AE51-ABA6ECE3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97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0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2061</Words>
  <Characters>12165</Characters>
  <Application>Microsoft Office Word</Application>
  <DocSecurity>0</DocSecurity>
  <Lines>101</Lines>
  <Paragraphs>28</Paragraphs>
  <ScaleCrop>false</ScaleCrop>
  <Company>MPSV ČR</Company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- 01_P1_ZD_Specifikace_FIN</dc:title>
  <dc:subject/>
  <dc:creator>Beránek Jan Bc. (MPSV)</dc:creator>
  <cp:keywords/>
  <cp:lastModifiedBy>Dlesková Irena (MPSV)</cp:lastModifiedBy>
  <cp:revision>2</cp:revision>
  <dcterms:created xsi:type="dcterms:W3CDTF">2024-03-21T09:42:00Z</dcterms:created>
  <dcterms:modified xsi:type="dcterms:W3CDTF">2024-03-21T09:42:00Z</dcterms:modified>
</cp:coreProperties>
</file>