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7748" w14:textId="77777777" w:rsidR="00DC5A37" w:rsidRPr="00DC5A37" w:rsidRDefault="00DC5A37" w:rsidP="00DC5A37">
      <w:pPr>
        <w:jc w:val="right"/>
        <w:rPr>
          <w:rFonts w:ascii="Solpera" w:hAnsi="Solpera" w:cs="Arial"/>
          <w:bCs/>
        </w:rPr>
      </w:pPr>
      <w:r>
        <w:rPr>
          <w:rFonts w:ascii="Solpera" w:hAnsi="Solpera" w:cs="Arial"/>
          <w:bCs/>
        </w:rPr>
        <w:t>JCM/</w:t>
      </w:r>
      <w:r w:rsidR="003F22A1">
        <w:rPr>
          <w:rFonts w:ascii="Solpera" w:hAnsi="Solpera" w:cs="Arial"/>
          <w:bCs/>
        </w:rPr>
        <w:t>0814</w:t>
      </w:r>
      <w:r>
        <w:rPr>
          <w:rFonts w:ascii="Solpera" w:hAnsi="Solpera" w:cs="Arial"/>
          <w:bCs/>
        </w:rPr>
        <w:t>/2024</w:t>
      </w:r>
    </w:p>
    <w:p w14:paraId="5E0B0428" w14:textId="77777777" w:rsidR="003123A0" w:rsidRPr="005C709B" w:rsidRDefault="003123A0" w:rsidP="003123A0">
      <w:pPr>
        <w:jc w:val="center"/>
        <w:rPr>
          <w:rFonts w:ascii="Solpera" w:hAnsi="Solpera" w:cs="Arial"/>
          <w:b/>
          <w:bCs/>
        </w:rPr>
      </w:pPr>
      <w:r w:rsidRPr="005C709B">
        <w:rPr>
          <w:rFonts w:ascii="Solpera" w:hAnsi="Solpera" w:cs="Arial"/>
          <w:b/>
          <w:bCs/>
        </w:rPr>
        <w:t>P</w:t>
      </w:r>
      <w:r w:rsidR="004479BF">
        <w:rPr>
          <w:rFonts w:ascii="Solpera" w:hAnsi="Solpera" w:cs="Arial"/>
          <w:b/>
          <w:bCs/>
        </w:rPr>
        <w:t>ŘÍKAZNÍ SMLOUVA</w:t>
      </w:r>
    </w:p>
    <w:p w14:paraId="67AB6E29" w14:textId="77777777" w:rsidR="00745D6D" w:rsidRDefault="003123A0" w:rsidP="003123A0">
      <w:pPr>
        <w:jc w:val="center"/>
        <w:rPr>
          <w:rFonts w:ascii="Solpera" w:hAnsi="Solpera" w:cs="Arial"/>
          <w:bCs/>
        </w:rPr>
      </w:pPr>
      <w:r w:rsidRPr="005C709B">
        <w:rPr>
          <w:rFonts w:ascii="Solpera" w:hAnsi="Solpera" w:cs="Arial"/>
          <w:bCs/>
        </w:rPr>
        <w:t>uzavřená dle ust. § 2430 a násl. zákona č. 89/2012 Sb., občanský zákoník</w:t>
      </w:r>
      <w:r w:rsidR="00745D6D">
        <w:rPr>
          <w:rFonts w:ascii="Solpera" w:hAnsi="Solpera" w:cs="Arial"/>
          <w:bCs/>
        </w:rPr>
        <w:t xml:space="preserve"> </w:t>
      </w:r>
    </w:p>
    <w:p w14:paraId="36AE0FDC" w14:textId="77777777" w:rsidR="003123A0" w:rsidRPr="005C709B" w:rsidRDefault="003123A0" w:rsidP="003123A0">
      <w:pPr>
        <w:jc w:val="center"/>
        <w:rPr>
          <w:rFonts w:ascii="Solpera" w:hAnsi="Solpera" w:cs="Arial"/>
          <w:bCs/>
        </w:rPr>
      </w:pPr>
      <w:r w:rsidRPr="005C709B">
        <w:rPr>
          <w:rFonts w:ascii="Solpera" w:hAnsi="Solpera" w:cs="Arial"/>
          <w:bCs/>
        </w:rPr>
        <w:t>(dále jen „občanský zákoník“),</w:t>
      </w:r>
      <w:r w:rsidR="005C709B">
        <w:rPr>
          <w:rFonts w:ascii="Solpera" w:hAnsi="Solpera" w:cs="Arial"/>
          <w:bCs/>
        </w:rPr>
        <w:t xml:space="preserve"> </w:t>
      </w:r>
      <w:r w:rsidRPr="005C709B">
        <w:rPr>
          <w:rFonts w:ascii="Solpera" w:hAnsi="Solpera" w:cs="Arial"/>
          <w:bCs/>
        </w:rPr>
        <w:t>(dále jen „smlouva“)</w:t>
      </w:r>
    </w:p>
    <w:p w14:paraId="4EA33327" w14:textId="77777777" w:rsidR="004479BF" w:rsidRPr="008C2383" w:rsidRDefault="004479BF" w:rsidP="003123A0">
      <w:pPr>
        <w:rPr>
          <w:rFonts w:ascii="Solpera" w:hAnsi="Solpera" w:cs="Arial"/>
          <w:bCs/>
        </w:rPr>
      </w:pPr>
    </w:p>
    <w:p w14:paraId="65EE3CE7" w14:textId="77777777" w:rsidR="003123A0" w:rsidRPr="003009F4" w:rsidRDefault="005C709B" w:rsidP="003009F4">
      <w:pPr>
        <w:pStyle w:val="Nadpis1"/>
      </w:pPr>
      <w:r w:rsidRPr="003009F4">
        <w:t>Smluvní strany</w:t>
      </w:r>
    </w:p>
    <w:p w14:paraId="7FA34CAB" w14:textId="77777777" w:rsidR="004431AD" w:rsidRPr="00E72127" w:rsidRDefault="004431AD" w:rsidP="00A65FC6">
      <w:pPr>
        <w:pStyle w:val="Nadpis2"/>
      </w:pPr>
      <w:r>
        <w:rPr>
          <w:bCs/>
        </w:rPr>
        <w:t>Příkazce</w:t>
      </w:r>
      <w:r w:rsidRPr="00E72127">
        <w:rPr>
          <w:bCs/>
        </w:rPr>
        <w:t>:</w:t>
      </w:r>
      <w:r w:rsidR="00074B0D">
        <w:rPr>
          <w:bCs/>
        </w:rPr>
        <w:tab/>
      </w:r>
      <w:r w:rsidR="00074B0D">
        <w:rPr>
          <w:bCs/>
        </w:rPr>
        <w:tab/>
      </w:r>
      <w:r w:rsidRPr="00E72127">
        <w:t>Jihočeské muzeum v Českých Budějovicích</w:t>
      </w:r>
    </w:p>
    <w:p w14:paraId="36C14BC2" w14:textId="77777777" w:rsidR="004431AD" w:rsidRDefault="004431AD" w:rsidP="00A65FC6">
      <w:pPr>
        <w:pStyle w:val="Odstavecseseznamem"/>
        <w:ind w:left="360" w:firstLine="218"/>
        <w:rPr>
          <w:rFonts w:ascii="Solpera" w:hAnsi="Solpera"/>
        </w:rPr>
      </w:pPr>
      <w:r>
        <w:rPr>
          <w:rFonts w:ascii="Solpera" w:hAnsi="Solpera"/>
        </w:rPr>
        <w:t>Sídlo: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E72127">
        <w:rPr>
          <w:rFonts w:ascii="Solpera" w:hAnsi="Solpera"/>
        </w:rPr>
        <w:t>Dukelská 242</w:t>
      </w:r>
      <w:r>
        <w:rPr>
          <w:rFonts w:ascii="Solpera" w:hAnsi="Solpera"/>
        </w:rPr>
        <w:t>/</w:t>
      </w:r>
      <w:r w:rsidRPr="00E72127">
        <w:rPr>
          <w:rFonts w:ascii="Solpera" w:hAnsi="Solpera"/>
        </w:rPr>
        <w:t xml:space="preserve">1, 370 </w:t>
      </w:r>
      <w:r w:rsidR="00D26308">
        <w:rPr>
          <w:rFonts w:ascii="Solpera" w:hAnsi="Solpera"/>
        </w:rPr>
        <w:t>0</w:t>
      </w:r>
      <w:r w:rsidRPr="00E72127">
        <w:rPr>
          <w:rFonts w:ascii="Solpera" w:hAnsi="Solpera"/>
        </w:rPr>
        <w:t>1 České Budějovice</w:t>
      </w:r>
    </w:p>
    <w:p w14:paraId="30843342" w14:textId="77777777" w:rsidR="004431AD" w:rsidRPr="00E72127" w:rsidRDefault="004431AD" w:rsidP="004431AD">
      <w:pPr>
        <w:pStyle w:val="Odstavecseseznamem"/>
        <w:ind w:left="2124"/>
        <w:jc w:val="both"/>
        <w:rPr>
          <w:rFonts w:ascii="Solpera" w:hAnsi="Solpera"/>
        </w:rPr>
      </w:pPr>
      <w:r w:rsidRPr="00E72127">
        <w:rPr>
          <w:rFonts w:ascii="Solpera" w:hAnsi="Solpera"/>
          <w:iCs/>
        </w:rPr>
        <w:t>Příspěvková organizace Jihočeského kraje,</w:t>
      </w:r>
      <w:r w:rsidRPr="00E72127">
        <w:rPr>
          <w:rFonts w:ascii="Solpera" w:hAnsi="Solpera"/>
        </w:rPr>
        <w:t xml:space="preserve"> zapsaná v</w:t>
      </w:r>
      <w:r w:rsidRPr="00E72127">
        <w:t> </w:t>
      </w:r>
      <w:r>
        <w:rPr>
          <w:rFonts w:ascii="Solpera" w:hAnsi="Solpera"/>
        </w:rPr>
        <w:t>o</w:t>
      </w:r>
      <w:r w:rsidRPr="00E72127">
        <w:rPr>
          <w:rFonts w:ascii="Solpera" w:hAnsi="Solpera"/>
        </w:rPr>
        <w:t>bchodním rejstříku, vedeném Krajským soudem v</w:t>
      </w:r>
      <w:r>
        <w:t> </w:t>
      </w:r>
      <w:r w:rsidRPr="00E72127">
        <w:rPr>
          <w:rFonts w:ascii="Solpera" w:hAnsi="Solpera"/>
        </w:rPr>
        <w:t>Č</w:t>
      </w:r>
      <w:r>
        <w:rPr>
          <w:rFonts w:ascii="Solpera" w:hAnsi="Solpera"/>
        </w:rPr>
        <w:t xml:space="preserve">eských </w:t>
      </w:r>
      <w:r w:rsidRPr="00E72127">
        <w:rPr>
          <w:rFonts w:ascii="Solpera" w:hAnsi="Solpera"/>
        </w:rPr>
        <w:t>Budějovicích, oddíl Pr, vložka 128</w:t>
      </w:r>
    </w:p>
    <w:p w14:paraId="5AAF4663" w14:textId="77777777" w:rsidR="004431AD" w:rsidRPr="00E72127" w:rsidRDefault="004431AD" w:rsidP="00A65FC6">
      <w:pPr>
        <w:pStyle w:val="Nadpis2"/>
        <w:numPr>
          <w:ilvl w:val="0"/>
          <w:numId w:val="0"/>
        </w:numPr>
        <w:ind w:left="578"/>
        <w:contextualSpacing/>
      </w:pPr>
      <w:r w:rsidRPr="00E72127">
        <w:t xml:space="preserve">Zastoupený: </w:t>
      </w:r>
      <w:r>
        <w:tab/>
      </w:r>
      <w:r w:rsidR="006E4DA2">
        <w:t>Mgr. Filipem Lýskem</w:t>
      </w:r>
      <w:r>
        <w:t>, ředitelem</w:t>
      </w:r>
    </w:p>
    <w:p w14:paraId="112C34E3" w14:textId="77777777" w:rsidR="004431AD" w:rsidRPr="00E72127" w:rsidRDefault="004431AD" w:rsidP="00A65FC6">
      <w:pPr>
        <w:pStyle w:val="Nadpis2"/>
        <w:numPr>
          <w:ilvl w:val="0"/>
          <w:numId w:val="0"/>
        </w:numPr>
        <w:ind w:left="578"/>
        <w:contextualSpacing/>
      </w:pPr>
      <w:r w:rsidRPr="00E72127">
        <w:t>IČ</w:t>
      </w:r>
      <w:r>
        <w:t>O</w:t>
      </w:r>
      <w:r w:rsidR="00D26308">
        <w:t>/DIČ</w:t>
      </w:r>
      <w:r w:rsidRPr="00E72127">
        <w:t xml:space="preserve">: </w:t>
      </w:r>
      <w:r>
        <w:tab/>
      </w:r>
      <w:r w:rsidRPr="00E72127">
        <w:t>00073539</w:t>
      </w:r>
      <w:r w:rsidR="00D26308">
        <w:t>/</w:t>
      </w:r>
      <w:r w:rsidRPr="00E72127">
        <w:t>CZ00073539</w:t>
      </w:r>
    </w:p>
    <w:p w14:paraId="67F591AC" w14:textId="77777777" w:rsidR="004431AD" w:rsidRPr="00E72127" w:rsidRDefault="004431AD" w:rsidP="00A65FC6">
      <w:pPr>
        <w:pStyle w:val="Nadpis2"/>
        <w:numPr>
          <w:ilvl w:val="0"/>
          <w:numId w:val="0"/>
        </w:numPr>
        <w:ind w:left="578"/>
        <w:contextualSpacing/>
      </w:pPr>
      <w:r>
        <w:t>Bank</w:t>
      </w:r>
      <w:r w:rsidR="00A65FC6">
        <w:t>.</w:t>
      </w:r>
      <w:r>
        <w:t xml:space="preserve"> spojení:</w:t>
      </w:r>
      <w:r>
        <w:tab/>
      </w:r>
      <w:r w:rsidRPr="00E72127">
        <w:t>KB</w:t>
      </w:r>
      <w:r>
        <w:t xml:space="preserve"> a.s., číslo účtu</w:t>
      </w:r>
      <w:r w:rsidR="006E4DA2">
        <w:t xml:space="preserve"> 2035231/0100</w:t>
      </w:r>
    </w:p>
    <w:p w14:paraId="52E26FF0" w14:textId="518DA809" w:rsidR="004431AD" w:rsidRPr="00FE65E1" w:rsidRDefault="004431AD" w:rsidP="00A65FC6">
      <w:pPr>
        <w:pStyle w:val="Nadpis2"/>
        <w:numPr>
          <w:ilvl w:val="0"/>
          <w:numId w:val="0"/>
        </w:numPr>
        <w:ind w:left="578"/>
        <w:contextualSpacing/>
      </w:pPr>
      <w:r>
        <w:t>Kontaktní osoba</w:t>
      </w:r>
      <w:r w:rsidRPr="00FE65E1">
        <w:t xml:space="preserve"> </w:t>
      </w:r>
      <w:r>
        <w:t>Příkazce</w:t>
      </w:r>
      <w:r w:rsidRPr="00FE65E1">
        <w:t>:</w:t>
      </w:r>
      <w:r>
        <w:tab/>
      </w:r>
      <w:r w:rsidR="007764B5">
        <w:t>xxxxxxxxxxxx</w:t>
      </w:r>
    </w:p>
    <w:p w14:paraId="53ED3F13" w14:textId="14C0B217" w:rsidR="004479BF" w:rsidRDefault="004431AD" w:rsidP="00A65FC6">
      <w:pPr>
        <w:pStyle w:val="Nadpis2"/>
        <w:numPr>
          <w:ilvl w:val="0"/>
          <w:numId w:val="0"/>
        </w:numPr>
        <w:ind w:left="578"/>
        <w:contextualSpacing/>
      </w:pPr>
      <w:r w:rsidRPr="001803CA">
        <w:t>tel., e-mail:</w:t>
      </w:r>
      <w:r w:rsidRPr="001803CA">
        <w:tab/>
      </w:r>
      <w:r w:rsidRPr="001803CA">
        <w:tab/>
      </w:r>
      <w:r w:rsidRPr="001803CA">
        <w:tab/>
      </w:r>
      <w:r w:rsidR="007764B5">
        <w:t>xxxxxxxxxxxx, xxxxxxxxxxxxxxxxx</w:t>
      </w:r>
    </w:p>
    <w:p w14:paraId="4F99A387" w14:textId="77777777" w:rsidR="004431AD" w:rsidRDefault="00D26308" w:rsidP="00A65FC6">
      <w:pPr>
        <w:pStyle w:val="Nadpis2"/>
        <w:numPr>
          <w:ilvl w:val="0"/>
          <w:numId w:val="0"/>
        </w:numPr>
        <w:ind w:left="578"/>
        <w:contextualSpacing/>
      </w:pPr>
      <w:r>
        <w:t>(dále jen Příkazce</w:t>
      </w:r>
      <w:r w:rsidRPr="00E72127">
        <w:t>)</w:t>
      </w:r>
    </w:p>
    <w:p w14:paraId="542353E6" w14:textId="77777777" w:rsidR="00D26308" w:rsidRDefault="00D26308" w:rsidP="008C2383">
      <w:pPr>
        <w:rPr>
          <w:rFonts w:ascii="Solpera" w:hAnsi="Solpera"/>
        </w:rPr>
      </w:pPr>
    </w:p>
    <w:p w14:paraId="6A5680EF" w14:textId="77777777" w:rsidR="004431AD" w:rsidRPr="00E72127" w:rsidRDefault="004431AD" w:rsidP="00A65FC6">
      <w:pPr>
        <w:pStyle w:val="Nadpis2"/>
      </w:pPr>
      <w:r>
        <w:t>Příkazník:</w:t>
      </w:r>
      <w:r>
        <w:tab/>
      </w:r>
      <w:r w:rsidR="00E91C32">
        <w:t>Ing. arch. Petr Dostál</w:t>
      </w:r>
    </w:p>
    <w:p w14:paraId="139D3DA0" w14:textId="77777777" w:rsidR="004431AD" w:rsidRDefault="004431AD" w:rsidP="00074B0D">
      <w:pPr>
        <w:pStyle w:val="Nadpis2"/>
        <w:numPr>
          <w:ilvl w:val="0"/>
          <w:numId w:val="0"/>
        </w:numPr>
        <w:spacing w:after="0"/>
        <w:ind w:left="578"/>
      </w:pPr>
      <w:r>
        <w:t>Sídlo:</w:t>
      </w:r>
      <w:r>
        <w:tab/>
      </w:r>
      <w:r>
        <w:tab/>
      </w:r>
      <w:r w:rsidR="00E91C32">
        <w:t>Varšavská 1104/22</w:t>
      </w:r>
      <w:r w:rsidR="003E2503">
        <w:t>, 12</w:t>
      </w:r>
      <w:r w:rsidR="00E91C32">
        <w:t>0</w:t>
      </w:r>
      <w:r w:rsidR="003E2503">
        <w:t xml:space="preserve"> 00 Praha </w:t>
      </w:r>
      <w:r w:rsidR="00E91C32">
        <w:t>2</w:t>
      </w:r>
    </w:p>
    <w:p w14:paraId="1251CCB7" w14:textId="77777777" w:rsidR="004431AD" w:rsidRPr="00E72127" w:rsidRDefault="004431AD" w:rsidP="00074B0D">
      <w:pPr>
        <w:pStyle w:val="Nadpis2"/>
        <w:numPr>
          <w:ilvl w:val="0"/>
          <w:numId w:val="0"/>
        </w:numPr>
        <w:spacing w:after="0"/>
        <w:ind w:left="578"/>
      </w:pPr>
      <w:r>
        <w:t>Zastoupený:</w:t>
      </w:r>
      <w:r>
        <w:tab/>
      </w:r>
      <w:r w:rsidR="003E2503">
        <w:t xml:space="preserve">Ing. </w:t>
      </w:r>
      <w:r w:rsidR="00E91C32">
        <w:t>arch. Petrem Dostálem</w:t>
      </w:r>
    </w:p>
    <w:p w14:paraId="672734B0" w14:textId="59057117" w:rsidR="004431AD" w:rsidRPr="00E72127" w:rsidRDefault="004431AD" w:rsidP="00074B0D">
      <w:pPr>
        <w:pStyle w:val="Nadpis2"/>
        <w:numPr>
          <w:ilvl w:val="0"/>
          <w:numId w:val="0"/>
        </w:numPr>
        <w:spacing w:after="0"/>
        <w:ind w:left="578"/>
      </w:pPr>
      <w:r w:rsidRPr="00E72127">
        <w:t>IČ</w:t>
      </w:r>
      <w:r>
        <w:t>O</w:t>
      </w:r>
      <w:r w:rsidR="00D26308">
        <w:t>/DIČ</w:t>
      </w:r>
      <w:r w:rsidRPr="00E72127">
        <w:t>:</w:t>
      </w:r>
      <w:r>
        <w:tab/>
      </w:r>
      <w:r w:rsidR="00E91C32">
        <w:t>17004209</w:t>
      </w:r>
      <w:r w:rsidR="00D26308">
        <w:t>/</w:t>
      </w:r>
      <w:r w:rsidR="003E2503">
        <w:t>CZ</w:t>
      </w:r>
      <w:r w:rsidR="007764B5">
        <w:t>xxxxxxxxxx</w:t>
      </w:r>
    </w:p>
    <w:p w14:paraId="661D2438" w14:textId="65CB8564" w:rsidR="004431AD" w:rsidRDefault="004431AD" w:rsidP="00074B0D">
      <w:pPr>
        <w:pStyle w:val="Nadpis2"/>
        <w:numPr>
          <w:ilvl w:val="0"/>
          <w:numId w:val="0"/>
        </w:numPr>
        <w:spacing w:after="0"/>
        <w:ind w:left="578"/>
      </w:pPr>
      <w:r w:rsidRPr="00E72127">
        <w:t>Bank</w:t>
      </w:r>
      <w:r w:rsidR="00EE6AC9">
        <w:t>.</w:t>
      </w:r>
      <w:r w:rsidRPr="00E72127">
        <w:t xml:space="preserve"> spojení:</w:t>
      </w:r>
      <w:r>
        <w:tab/>
      </w:r>
      <w:r w:rsidR="007764B5">
        <w:t>xxxxxxx,</w:t>
      </w:r>
      <w:r w:rsidR="003009F4">
        <w:t xml:space="preserve"> číslo účtu </w:t>
      </w:r>
      <w:r w:rsidR="007764B5">
        <w:t>xxxxxxxxxxxxxxxxxx</w:t>
      </w:r>
    </w:p>
    <w:p w14:paraId="070361D9" w14:textId="056683AF" w:rsidR="004479BF" w:rsidRDefault="004479BF" w:rsidP="00074B0D">
      <w:pPr>
        <w:pStyle w:val="Nadpis2"/>
        <w:numPr>
          <w:ilvl w:val="0"/>
          <w:numId w:val="0"/>
        </w:numPr>
        <w:spacing w:after="0"/>
        <w:ind w:left="578"/>
      </w:pPr>
      <w:r>
        <w:t>tel., e-mail:</w:t>
      </w:r>
      <w:r>
        <w:tab/>
      </w:r>
      <w:r w:rsidR="007764B5">
        <w:t>xxxxxxxxxx, xxxxxxxxxxxxx</w:t>
      </w:r>
    </w:p>
    <w:p w14:paraId="27CD6BB8" w14:textId="77777777" w:rsidR="004431AD" w:rsidRPr="004431AD" w:rsidRDefault="004431AD" w:rsidP="00074B0D">
      <w:pPr>
        <w:pStyle w:val="Nadpis2"/>
        <w:numPr>
          <w:ilvl w:val="0"/>
          <w:numId w:val="0"/>
        </w:numPr>
        <w:spacing w:after="0"/>
        <w:ind w:left="578"/>
      </w:pPr>
      <w:r w:rsidRPr="004431AD">
        <w:t xml:space="preserve">(dále jen </w:t>
      </w:r>
      <w:r>
        <w:t>Příkazník</w:t>
      </w:r>
      <w:r w:rsidRPr="004431AD">
        <w:t>)</w:t>
      </w:r>
    </w:p>
    <w:p w14:paraId="0EAA39EE" w14:textId="77777777" w:rsidR="00745D6D" w:rsidRDefault="00745D6D" w:rsidP="003123A0">
      <w:pPr>
        <w:jc w:val="center"/>
        <w:rPr>
          <w:rFonts w:ascii="Solpera" w:hAnsi="Solpera" w:cs="Arial"/>
        </w:rPr>
      </w:pPr>
    </w:p>
    <w:p w14:paraId="337D08E6" w14:textId="77777777" w:rsidR="003123A0" w:rsidRDefault="003123A0" w:rsidP="00A65FC6">
      <w:pPr>
        <w:jc w:val="both"/>
        <w:rPr>
          <w:rFonts w:ascii="Solpera" w:hAnsi="Solpera" w:cs="Arial"/>
          <w:b/>
        </w:rPr>
      </w:pPr>
      <w:r w:rsidRPr="007C6802">
        <w:rPr>
          <w:rFonts w:ascii="Solpera" w:hAnsi="Solpera" w:cs="Arial"/>
        </w:rPr>
        <w:t xml:space="preserve">uzavřeli níže uvedeného dne, měsíce a roku tuto </w:t>
      </w:r>
      <w:r w:rsidRPr="007C6802">
        <w:rPr>
          <w:rFonts w:ascii="Solpera" w:hAnsi="Solpera" w:cs="Arial"/>
          <w:b/>
        </w:rPr>
        <w:t>příkazní smlouvu</w:t>
      </w:r>
      <w:r w:rsidR="004479BF">
        <w:rPr>
          <w:rFonts w:ascii="Solpera" w:hAnsi="Solpera" w:cs="Arial"/>
          <w:b/>
        </w:rPr>
        <w:t xml:space="preserve"> o výkonu autorského dozoru</w:t>
      </w:r>
    </w:p>
    <w:p w14:paraId="5ECB2430" w14:textId="77777777" w:rsidR="003123A0" w:rsidRPr="0001364E" w:rsidRDefault="004479BF" w:rsidP="00DC5A37">
      <w:pPr>
        <w:pStyle w:val="Nadpis1"/>
      </w:pPr>
      <w:r w:rsidRPr="0001364E">
        <w:t>Předmět smlouvy</w:t>
      </w:r>
    </w:p>
    <w:p w14:paraId="32382DF7" w14:textId="77777777" w:rsidR="004479BF" w:rsidRPr="004479BF" w:rsidRDefault="004479BF" w:rsidP="00A65FC6">
      <w:pPr>
        <w:pStyle w:val="Nadpis2"/>
      </w:pPr>
      <w:r w:rsidRPr="004479BF">
        <w:t>Příkazník se zavazuje pro příkazce, jeho jménem a na jeho účet vykonávat autorský dozor po</w:t>
      </w:r>
      <w:r w:rsidR="003009F4">
        <w:t> </w:t>
      </w:r>
      <w:r w:rsidRPr="004479BF">
        <w:t>celou dobu realizace stavby „</w:t>
      </w:r>
      <w:r w:rsidR="006E4DA2">
        <w:t>Návštěvnické a vzdělávací centrum</w:t>
      </w:r>
      <w:r>
        <w:t xml:space="preserve"> Trocnov</w:t>
      </w:r>
      <w:r w:rsidRPr="004479BF">
        <w:t>“ (dále jen „stavba“), pro kterou zhotovil projektovou dokumentaci.</w:t>
      </w:r>
    </w:p>
    <w:p w14:paraId="30481F1E" w14:textId="77777777" w:rsidR="004479BF" w:rsidRPr="004479BF" w:rsidRDefault="004479BF" w:rsidP="00A65FC6">
      <w:pPr>
        <w:pStyle w:val="Nadpis2"/>
      </w:pPr>
      <w:r w:rsidRPr="004479BF">
        <w:t xml:space="preserve">V rámci výkonu autorského dozoru bude </w:t>
      </w:r>
      <w:r>
        <w:t>P</w:t>
      </w:r>
      <w:r w:rsidRPr="004479BF">
        <w:t>říkazník zabezpečovat zejména:</w:t>
      </w:r>
    </w:p>
    <w:p w14:paraId="59DE9930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>autorský dozor stavby podle § 152 odst. 4 zákona č. 183/2006 Sb., o územním plánování a stavebním řádu (stavební zákon</w:t>
      </w:r>
      <w:r w:rsidR="00A65FC6">
        <w:rPr>
          <w:rFonts w:ascii="Solpera" w:hAnsi="Solpera" w:cs="Arial"/>
        </w:rPr>
        <w:t>), ve znění pozdějších předpisů;</w:t>
      </w:r>
    </w:p>
    <w:p w14:paraId="4BA7B7BB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>účast na předán</w:t>
      </w:r>
      <w:r w:rsidR="00A65FC6">
        <w:rPr>
          <w:rFonts w:ascii="Solpera" w:hAnsi="Solpera" w:cs="Arial"/>
        </w:rPr>
        <w:t>í staveniště zhotoviteli stavby;</w:t>
      </w:r>
    </w:p>
    <w:p w14:paraId="7C404CFC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>poskytování vysvětlení potřebných k fyzické realizaci projektu na</w:t>
      </w:r>
      <w:r w:rsidR="00A65FC6">
        <w:rPr>
          <w:rFonts w:ascii="Solpera" w:hAnsi="Solpera" w:cs="Arial"/>
        </w:rPr>
        <w:t xml:space="preserve"> základě realizační dokumentace;</w:t>
      </w:r>
    </w:p>
    <w:p w14:paraId="49D64766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>kontrolu a ověření souladu prováděné s</w:t>
      </w:r>
      <w:r w:rsidR="00A65FC6">
        <w:rPr>
          <w:rFonts w:ascii="Solpera" w:hAnsi="Solpera" w:cs="Arial"/>
        </w:rPr>
        <w:t>tavby s projektovou dokumentací;</w:t>
      </w:r>
    </w:p>
    <w:p w14:paraId="3C7DE49A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>posuzování návrhů zhotovitele stavby na změny a odchylky v částech projektů zpracovávaných zhotoviteli z pohledu dodržení technicko</w:t>
      </w:r>
      <w:r>
        <w:rPr>
          <w:rFonts w:ascii="Solpera" w:hAnsi="Solpera" w:cs="Arial"/>
        </w:rPr>
        <w:t>-</w:t>
      </w:r>
      <w:r w:rsidRPr="004479BF">
        <w:rPr>
          <w:rFonts w:ascii="Solpera" w:hAnsi="Solpera" w:cs="Arial"/>
        </w:rPr>
        <w:t>ekonomických parametrů stavby, dodržení lhůt výstavby, případně dalších údajů a ukazatelů</w:t>
      </w:r>
      <w:r w:rsidR="00A65FC6">
        <w:rPr>
          <w:rFonts w:ascii="Solpera" w:hAnsi="Solpera" w:cs="Arial"/>
        </w:rPr>
        <w:t>;</w:t>
      </w:r>
    </w:p>
    <w:p w14:paraId="44B7CBE6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 xml:space="preserve">účast na stavbě na vyzvání </w:t>
      </w:r>
      <w:r>
        <w:rPr>
          <w:rFonts w:ascii="Solpera" w:hAnsi="Solpera" w:cs="Arial"/>
        </w:rPr>
        <w:t>P</w:t>
      </w:r>
      <w:r w:rsidRPr="004479BF">
        <w:rPr>
          <w:rFonts w:ascii="Solpera" w:hAnsi="Solpera" w:cs="Arial"/>
        </w:rPr>
        <w:t>říkazce mimo termíny kontrolních dnů, pokud bude vyzván</w:t>
      </w:r>
      <w:r w:rsidR="00A65FC6">
        <w:rPr>
          <w:rFonts w:ascii="Solpera" w:hAnsi="Solpera" w:cs="Arial"/>
        </w:rPr>
        <w:t>;</w:t>
      </w:r>
    </w:p>
    <w:p w14:paraId="5A161C3B" w14:textId="77777777" w:rsidR="004479BF" w:rsidRPr="004479BF" w:rsidRDefault="004479BF" w:rsidP="00A65FC6">
      <w:pPr>
        <w:pStyle w:val="Odstavecseseznamem"/>
        <w:numPr>
          <w:ilvl w:val="0"/>
          <w:numId w:val="45"/>
        </w:numPr>
        <w:spacing w:after="60"/>
        <w:contextualSpacing w:val="0"/>
        <w:jc w:val="both"/>
        <w:rPr>
          <w:rFonts w:ascii="Solpera" w:hAnsi="Solpera" w:cs="Arial"/>
        </w:rPr>
      </w:pPr>
      <w:r w:rsidRPr="004479BF">
        <w:rPr>
          <w:rFonts w:ascii="Solpera" w:hAnsi="Solpera" w:cs="Arial"/>
        </w:rPr>
        <w:t>účast na kontrole kvality při předání stavby zhotovitelem.</w:t>
      </w:r>
    </w:p>
    <w:p w14:paraId="1D45EFEF" w14:textId="77777777" w:rsidR="004479BF" w:rsidRPr="004479BF" w:rsidRDefault="004479BF" w:rsidP="00A65FC6">
      <w:pPr>
        <w:pStyle w:val="Nadpis2"/>
      </w:pPr>
      <w:r w:rsidRPr="004479BF">
        <w:t>Příkazce se zavazuje zaplatit za provádění autorského dozoru za podmínek stanovených touto smlouvou sjednanou odměnu.</w:t>
      </w:r>
    </w:p>
    <w:p w14:paraId="1F1257E7" w14:textId="77777777" w:rsidR="004479BF" w:rsidRDefault="004479BF" w:rsidP="007C6802">
      <w:pPr>
        <w:jc w:val="both"/>
        <w:rPr>
          <w:rFonts w:ascii="Solpera" w:hAnsi="Solpera"/>
        </w:rPr>
      </w:pPr>
    </w:p>
    <w:p w14:paraId="1DC2F59D" w14:textId="77777777" w:rsidR="003123A0" w:rsidRPr="0001364E" w:rsidRDefault="004479BF" w:rsidP="00DC5A37">
      <w:pPr>
        <w:pStyle w:val="Nadpis1"/>
      </w:pPr>
      <w:r w:rsidRPr="0001364E">
        <w:lastRenderedPageBreak/>
        <w:t>Doba a místo plnění</w:t>
      </w:r>
    </w:p>
    <w:p w14:paraId="5B554074" w14:textId="77777777" w:rsidR="0001364E" w:rsidRPr="00A65FC6" w:rsidRDefault="0001364E" w:rsidP="00A65FC6">
      <w:pPr>
        <w:pStyle w:val="Nadpis2"/>
      </w:pPr>
      <w:r w:rsidRPr="00A65FC6">
        <w:t>Výkon autorského dozoru bude prováděn po celou dobu realizace stavby. Bude zahájen po</w:t>
      </w:r>
      <w:r w:rsidR="00A65FC6">
        <w:t> </w:t>
      </w:r>
      <w:r w:rsidRPr="00A65FC6">
        <w:t>započetí realizace stavby na písemnou výzvu Příkazce a ukončen v okamžiku, kdy bude v souladu se stavebním zákonem možné započít s trvalým užíváním stavby.</w:t>
      </w:r>
    </w:p>
    <w:p w14:paraId="709699B9" w14:textId="77777777" w:rsidR="0001364E" w:rsidRPr="00A65FC6" w:rsidRDefault="0001364E" w:rsidP="00A65FC6">
      <w:pPr>
        <w:pStyle w:val="Nadpis2"/>
      </w:pPr>
      <w:r w:rsidRPr="00A65FC6">
        <w:t>Autorský dozor bude vykonáván v místě realizace stavby</w:t>
      </w:r>
      <w:r w:rsidR="00895605" w:rsidRPr="00A65FC6">
        <w:t>, který</w:t>
      </w:r>
      <w:r w:rsidR="00723204" w:rsidRPr="00A65FC6">
        <w:t>m</w:t>
      </w:r>
      <w:r w:rsidR="00895605" w:rsidRPr="00A65FC6">
        <w:t xml:space="preserve"> je areál Památníku J. Žižky z Trocnova, 373 12 Borovany</w:t>
      </w:r>
      <w:r w:rsidRPr="00A65FC6">
        <w:t xml:space="preserve">. Příkazník je dále povinen účastnit se na výzvu Příkazce nebo jeho technického dozoru schůzek v sídle </w:t>
      </w:r>
      <w:r w:rsidR="00895605" w:rsidRPr="00A65FC6">
        <w:t>P</w:t>
      </w:r>
      <w:r w:rsidRPr="00A65FC6">
        <w:t>říkazce nebo na jiném ve výzvě určeném místě.</w:t>
      </w:r>
    </w:p>
    <w:p w14:paraId="5C944A83" w14:textId="77777777" w:rsidR="00723204" w:rsidRPr="00A65FC6" w:rsidRDefault="00723204" w:rsidP="00A65FC6">
      <w:pPr>
        <w:pStyle w:val="Nadpis2"/>
      </w:pPr>
      <w:r w:rsidRPr="00A65FC6">
        <w:t>Předpokládaná doba výkonu aut</w:t>
      </w:r>
      <w:r w:rsidR="006E4DA2" w:rsidRPr="00A65FC6">
        <w:t>orského dozoru je od 1. 4. 2024 do 31</w:t>
      </w:r>
      <w:r w:rsidRPr="00A65FC6">
        <w:t>.</w:t>
      </w:r>
      <w:r w:rsidR="006E4DA2" w:rsidRPr="00A65FC6">
        <w:t xml:space="preserve"> 3. 2026, tj. 24</w:t>
      </w:r>
      <w:r w:rsidRPr="00A65FC6">
        <w:t xml:space="preserve"> měsíců, nejpozději d</w:t>
      </w:r>
      <w:r w:rsidR="00D2750C">
        <w:t>o vydání kolaudačního souhlasu.</w:t>
      </w:r>
    </w:p>
    <w:p w14:paraId="3FFB6A9E" w14:textId="77777777" w:rsidR="00723204" w:rsidRDefault="00723204" w:rsidP="00A65FC6">
      <w:pPr>
        <w:pStyle w:val="Nadpis2"/>
      </w:pPr>
      <w:r w:rsidRPr="00A65FC6">
        <w:t>V průběhu realizace stavby může docházet k přerušení stavební činnosti. Po tuto dobu bude omezeno nebo úplně pozastaveno i provádění činností Příkazníkem s tím, že Příkazci vzniká nárok na posun termínu zajištění záležitosti úměrně délce přerušení stavební činnosti.</w:t>
      </w:r>
    </w:p>
    <w:p w14:paraId="2B35FFDF" w14:textId="77777777" w:rsidR="0001364E" w:rsidRDefault="000C7CA2" w:rsidP="00DC5A37">
      <w:pPr>
        <w:pStyle w:val="Nadpis1"/>
      </w:pPr>
      <w:r w:rsidRPr="0001364E">
        <w:t>P</w:t>
      </w:r>
      <w:r w:rsidR="0001364E">
        <w:t>ráva a p</w:t>
      </w:r>
      <w:r w:rsidRPr="0001364E">
        <w:t>ovinnosti P</w:t>
      </w:r>
      <w:r w:rsidR="003123A0" w:rsidRPr="0001364E">
        <w:t>říkazníka</w:t>
      </w:r>
    </w:p>
    <w:p w14:paraId="51A5EAFF" w14:textId="77777777" w:rsidR="0001364E" w:rsidRPr="0001364E" w:rsidRDefault="0001364E" w:rsidP="00A65FC6">
      <w:pPr>
        <w:pStyle w:val="Nadpis2"/>
      </w:pPr>
      <w:r w:rsidRPr="0001364E">
        <w:t>Příkazník je povinen:</w:t>
      </w:r>
    </w:p>
    <w:p w14:paraId="6535226F" w14:textId="77777777" w:rsidR="0001364E" w:rsidRPr="0001364E" w:rsidRDefault="0001364E" w:rsidP="003009F4">
      <w:pPr>
        <w:pStyle w:val="Odstavecseseznamem"/>
        <w:keepNext/>
        <w:keepLines/>
        <w:numPr>
          <w:ilvl w:val="0"/>
          <w:numId w:val="44"/>
        </w:numPr>
        <w:ind w:left="1066" w:hanging="357"/>
        <w:contextualSpacing w:val="0"/>
        <w:jc w:val="both"/>
        <w:rPr>
          <w:rFonts w:ascii="Solpera" w:hAnsi="Solpera" w:cs="Arial"/>
        </w:rPr>
      </w:pPr>
      <w:r w:rsidRPr="0001364E">
        <w:rPr>
          <w:rFonts w:ascii="Solpera" w:hAnsi="Solpera" w:cs="Arial"/>
        </w:rPr>
        <w:t>zajistit autorský dozor bez zbytečného odkladu tak, aby nebyl ohrožen postup výstavby</w:t>
      </w:r>
      <w:r w:rsidR="00A65FC6">
        <w:rPr>
          <w:rFonts w:ascii="Solpera" w:hAnsi="Solpera" w:cs="Arial"/>
        </w:rPr>
        <w:t>;</w:t>
      </w:r>
    </w:p>
    <w:p w14:paraId="4276E872" w14:textId="77777777" w:rsidR="0001364E" w:rsidRPr="0001364E" w:rsidRDefault="0001364E" w:rsidP="003009F4">
      <w:pPr>
        <w:pStyle w:val="Odstavecseseznamem"/>
        <w:keepNext/>
        <w:keepLines/>
        <w:numPr>
          <w:ilvl w:val="0"/>
          <w:numId w:val="44"/>
        </w:numPr>
        <w:ind w:left="1066" w:hanging="357"/>
        <w:contextualSpacing w:val="0"/>
        <w:jc w:val="both"/>
        <w:rPr>
          <w:rFonts w:ascii="Solpera" w:hAnsi="Solpera" w:cs="Arial"/>
        </w:rPr>
      </w:pPr>
      <w:r w:rsidRPr="0001364E">
        <w:rPr>
          <w:rFonts w:ascii="Solpera" w:hAnsi="Solpera" w:cs="Arial"/>
        </w:rPr>
        <w:t xml:space="preserve">postupovat dle pokynů </w:t>
      </w:r>
      <w:r>
        <w:rPr>
          <w:rFonts w:ascii="Solpera" w:hAnsi="Solpera" w:cs="Arial"/>
        </w:rPr>
        <w:t>P</w:t>
      </w:r>
      <w:r w:rsidRPr="0001364E">
        <w:rPr>
          <w:rFonts w:ascii="Solpera" w:hAnsi="Solpera" w:cs="Arial"/>
        </w:rPr>
        <w:t>říkazce (a jím určeného technického dozoru) a jednat v jeho zájmu</w:t>
      </w:r>
      <w:r w:rsidR="00A65FC6">
        <w:rPr>
          <w:rFonts w:ascii="Solpera" w:hAnsi="Solpera" w:cs="Arial"/>
        </w:rPr>
        <w:t>;</w:t>
      </w:r>
    </w:p>
    <w:p w14:paraId="66C03B5F" w14:textId="77777777" w:rsidR="0001364E" w:rsidRPr="0001364E" w:rsidRDefault="0001364E" w:rsidP="003009F4">
      <w:pPr>
        <w:pStyle w:val="Odstavecseseznamem"/>
        <w:keepNext/>
        <w:keepLines/>
        <w:numPr>
          <w:ilvl w:val="0"/>
          <w:numId w:val="44"/>
        </w:numPr>
        <w:ind w:left="1066" w:hanging="357"/>
        <w:contextualSpacing w:val="0"/>
        <w:jc w:val="both"/>
        <w:rPr>
          <w:rFonts w:ascii="Solpera" w:hAnsi="Solpera" w:cs="Arial"/>
        </w:rPr>
      </w:pPr>
      <w:r w:rsidRPr="0001364E">
        <w:rPr>
          <w:rFonts w:ascii="Solpera" w:hAnsi="Solpera" w:cs="Arial"/>
        </w:rPr>
        <w:t xml:space="preserve">upozornit </w:t>
      </w:r>
      <w:r>
        <w:rPr>
          <w:rFonts w:ascii="Solpera" w:hAnsi="Solpera" w:cs="Arial"/>
        </w:rPr>
        <w:t>P</w:t>
      </w:r>
      <w:r w:rsidRPr="0001364E">
        <w:rPr>
          <w:rFonts w:ascii="Solpera" w:hAnsi="Solpera" w:cs="Arial"/>
        </w:rPr>
        <w:t xml:space="preserve">říkazce na zřejmou nevhodnost pokynů, které by mohly mít za následek vznik škody, a to ihned, když se takovou skutečnost dozvěděl; v případě, že </w:t>
      </w:r>
      <w:r>
        <w:rPr>
          <w:rFonts w:ascii="Solpera" w:hAnsi="Solpera" w:cs="Arial"/>
        </w:rPr>
        <w:t>P</w:t>
      </w:r>
      <w:r w:rsidRPr="0001364E">
        <w:rPr>
          <w:rFonts w:ascii="Solpera" w:hAnsi="Solpera" w:cs="Arial"/>
        </w:rPr>
        <w:t>říkazce i</w:t>
      </w:r>
      <w:r w:rsidR="003009F4">
        <w:rPr>
          <w:rFonts w:ascii="Solpera" w:hAnsi="Solpera" w:cs="Arial"/>
        </w:rPr>
        <w:t> </w:t>
      </w:r>
      <w:r w:rsidRPr="0001364E">
        <w:rPr>
          <w:rFonts w:ascii="Solpera" w:hAnsi="Solpera" w:cs="Arial"/>
        </w:rPr>
        <w:t>přes</w:t>
      </w:r>
      <w:r w:rsidR="003009F4">
        <w:rPr>
          <w:rFonts w:ascii="Solpera" w:hAnsi="Solpera" w:cs="Arial"/>
        </w:rPr>
        <w:t> </w:t>
      </w:r>
      <w:r w:rsidRPr="0001364E">
        <w:rPr>
          <w:rFonts w:ascii="Solpera" w:hAnsi="Solpera" w:cs="Arial"/>
        </w:rPr>
        <w:t xml:space="preserve">upozornění </w:t>
      </w:r>
      <w:r>
        <w:rPr>
          <w:rFonts w:ascii="Solpera" w:hAnsi="Solpera" w:cs="Arial"/>
        </w:rPr>
        <w:t>P</w:t>
      </w:r>
      <w:r w:rsidRPr="0001364E">
        <w:rPr>
          <w:rFonts w:ascii="Solpera" w:hAnsi="Solpera" w:cs="Arial"/>
        </w:rPr>
        <w:t>říkazníka</w:t>
      </w:r>
      <w:r>
        <w:rPr>
          <w:rFonts w:ascii="Solpera" w:hAnsi="Solpera" w:cs="Arial"/>
        </w:rPr>
        <w:t xml:space="preserve"> na splnění pokynů trvá, P</w:t>
      </w:r>
      <w:r w:rsidRPr="0001364E">
        <w:rPr>
          <w:rFonts w:ascii="Solpera" w:hAnsi="Solpera" w:cs="Arial"/>
        </w:rPr>
        <w:t>říkazník neodpovídá za škodu takto vzniklou</w:t>
      </w:r>
      <w:r w:rsidR="00A65FC6">
        <w:rPr>
          <w:rFonts w:ascii="Solpera" w:hAnsi="Solpera" w:cs="Arial"/>
        </w:rPr>
        <w:t>;</w:t>
      </w:r>
    </w:p>
    <w:p w14:paraId="77B2A32B" w14:textId="77777777" w:rsidR="0001364E" w:rsidRPr="0001364E" w:rsidRDefault="0001364E" w:rsidP="003009F4">
      <w:pPr>
        <w:pStyle w:val="Odstavecseseznamem"/>
        <w:keepNext/>
        <w:keepLines/>
        <w:numPr>
          <w:ilvl w:val="0"/>
          <w:numId w:val="44"/>
        </w:numPr>
        <w:ind w:left="1066" w:hanging="357"/>
        <w:contextualSpacing w:val="0"/>
        <w:jc w:val="both"/>
        <w:rPr>
          <w:rFonts w:ascii="Solpera" w:hAnsi="Solpera" w:cs="Arial"/>
        </w:rPr>
      </w:pPr>
      <w:r w:rsidRPr="0001364E">
        <w:rPr>
          <w:rFonts w:ascii="Solpera" w:hAnsi="Solpera" w:cs="Arial"/>
        </w:rPr>
        <w:t>dodržovat závazné právní předpisy, technické normy a vyjádření veřejnoprávních orgánů a organizací</w:t>
      </w:r>
      <w:r w:rsidR="00A65FC6">
        <w:rPr>
          <w:rFonts w:ascii="Solpera" w:hAnsi="Solpera" w:cs="Arial"/>
        </w:rPr>
        <w:t>;</w:t>
      </w:r>
    </w:p>
    <w:p w14:paraId="1B2AABE6" w14:textId="77777777" w:rsidR="0001364E" w:rsidRPr="0001364E" w:rsidRDefault="0001364E" w:rsidP="003009F4">
      <w:pPr>
        <w:pStyle w:val="Odstavecseseznamem"/>
        <w:keepNext/>
        <w:keepLines/>
        <w:numPr>
          <w:ilvl w:val="0"/>
          <w:numId w:val="44"/>
        </w:numPr>
        <w:ind w:left="1066" w:hanging="357"/>
        <w:contextualSpacing w:val="0"/>
        <w:jc w:val="both"/>
        <w:rPr>
          <w:rFonts w:ascii="Solpera" w:hAnsi="Solpera" w:cs="Arial"/>
        </w:rPr>
      </w:pPr>
      <w:r w:rsidRPr="0001364E">
        <w:rPr>
          <w:rFonts w:ascii="Solpera" w:hAnsi="Solpera" w:cs="Arial"/>
        </w:rPr>
        <w:t xml:space="preserve">poskytovat </w:t>
      </w:r>
      <w:r>
        <w:rPr>
          <w:rFonts w:ascii="Solpera" w:hAnsi="Solpera" w:cs="Arial"/>
        </w:rPr>
        <w:t>P</w:t>
      </w:r>
      <w:r w:rsidRPr="0001364E">
        <w:rPr>
          <w:rFonts w:ascii="Solpera" w:hAnsi="Solpera" w:cs="Arial"/>
        </w:rPr>
        <w:t>říkazci veškeré informace, doklady apod. písemnou formou</w:t>
      </w:r>
      <w:r w:rsidR="00A65FC6">
        <w:rPr>
          <w:rFonts w:ascii="Solpera" w:hAnsi="Solpera" w:cs="Arial"/>
        </w:rPr>
        <w:t>;</w:t>
      </w:r>
    </w:p>
    <w:p w14:paraId="4F115305" w14:textId="77777777" w:rsidR="0001364E" w:rsidRPr="0001364E" w:rsidRDefault="00895605" w:rsidP="003009F4">
      <w:pPr>
        <w:pStyle w:val="Odstavecseseznamem"/>
        <w:keepNext/>
        <w:keepLines/>
        <w:numPr>
          <w:ilvl w:val="0"/>
          <w:numId w:val="44"/>
        </w:numPr>
        <w:ind w:left="1066" w:hanging="357"/>
        <w:contextualSpacing w:val="0"/>
        <w:jc w:val="both"/>
        <w:rPr>
          <w:rFonts w:ascii="Solpera" w:hAnsi="Solpera" w:cs="Arial"/>
        </w:rPr>
      </w:pPr>
      <w:r>
        <w:rPr>
          <w:rFonts w:ascii="Solpera" w:hAnsi="Solpera" w:cs="Arial"/>
        </w:rPr>
        <w:t xml:space="preserve">vést list autorského dozoru </w:t>
      </w:r>
      <w:r w:rsidR="0001364E" w:rsidRPr="0001364E">
        <w:rPr>
          <w:rFonts w:ascii="Solpera" w:hAnsi="Solpera" w:cs="Arial"/>
        </w:rPr>
        <w:t>jako podklad pro fakturaci</w:t>
      </w:r>
      <w:r w:rsidR="00A65FC6">
        <w:rPr>
          <w:rFonts w:ascii="Solpera" w:hAnsi="Solpera" w:cs="Arial"/>
        </w:rPr>
        <w:t>;</w:t>
      </w:r>
    </w:p>
    <w:p w14:paraId="66AAD70F" w14:textId="77777777" w:rsidR="0001364E" w:rsidRPr="0001364E" w:rsidRDefault="0001364E" w:rsidP="003009F4">
      <w:pPr>
        <w:pStyle w:val="Odstavecseseznamem"/>
        <w:keepNext/>
        <w:keepLines/>
        <w:numPr>
          <w:ilvl w:val="0"/>
          <w:numId w:val="44"/>
        </w:numPr>
        <w:spacing w:after="60"/>
        <w:ind w:left="1066" w:hanging="357"/>
        <w:contextualSpacing w:val="0"/>
        <w:jc w:val="both"/>
        <w:rPr>
          <w:rFonts w:ascii="Solpera" w:hAnsi="Solpera" w:cs="Arial"/>
        </w:rPr>
      </w:pPr>
      <w:r w:rsidRPr="0001364E">
        <w:rPr>
          <w:rFonts w:ascii="Solpera" w:hAnsi="Solpera" w:cs="Arial"/>
        </w:rPr>
        <w:t xml:space="preserve">předkládat </w:t>
      </w:r>
      <w:r>
        <w:rPr>
          <w:rFonts w:ascii="Solpera" w:hAnsi="Solpera" w:cs="Arial"/>
        </w:rPr>
        <w:t>P</w:t>
      </w:r>
      <w:r w:rsidRPr="0001364E">
        <w:rPr>
          <w:rFonts w:ascii="Solpera" w:hAnsi="Solpera" w:cs="Arial"/>
        </w:rPr>
        <w:t>říkazci list autorského dozoru k odsouhlasení nejdříve vždy k 1. dni následujícího měsíce po výkonu autorského dozoru v předcházejícím kalendářním měsíci.</w:t>
      </w:r>
    </w:p>
    <w:p w14:paraId="43093809" w14:textId="77777777" w:rsidR="0001364E" w:rsidRPr="0001364E" w:rsidRDefault="0001364E" w:rsidP="00A65FC6">
      <w:pPr>
        <w:pStyle w:val="Nadpis2"/>
      </w:pPr>
      <w:r w:rsidRPr="0001364E">
        <w:t xml:space="preserve">Příkazník se může odchýlit od pokynů </w:t>
      </w:r>
      <w:r>
        <w:t>P</w:t>
      </w:r>
      <w:r w:rsidRPr="0001364E">
        <w:t xml:space="preserve">říkazce jen, je-li to naléhavě nezbytné v zájmu </w:t>
      </w:r>
      <w:r>
        <w:t>P</w:t>
      </w:r>
      <w:r w:rsidRPr="0001364E">
        <w:t>říkazce a</w:t>
      </w:r>
      <w:r w:rsidR="00A65FC6">
        <w:t xml:space="preserve"> </w:t>
      </w:r>
      <w:r w:rsidRPr="0001364E">
        <w:t xml:space="preserve">pokud nemůže včas obdržet jeho souhlas. V žádném případě se však </w:t>
      </w:r>
      <w:r>
        <w:t>P</w:t>
      </w:r>
      <w:r w:rsidR="00A65FC6">
        <w:t>říkazník nesmí od </w:t>
      </w:r>
      <w:r w:rsidRPr="0001364E">
        <w:t xml:space="preserve">pokynů odchýlit, jestliže je to zakázáno smlouvou nebo </w:t>
      </w:r>
      <w:r>
        <w:t>P</w:t>
      </w:r>
      <w:r w:rsidRPr="0001364E">
        <w:t>říkazcem.</w:t>
      </w:r>
    </w:p>
    <w:p w14:paraId="53B78616" w14:textId="77777777" w:rsidR="0001364E" w:rsidRPr="0001364E" w:rsidRDefault="0001364E" w:rsidP="00A65FC6">
      <w:pPr>
        <w:pStyle w:val="Nadpis2"/>
      </w:pPr>
      <w:r w:rsidRPr="0001364E">
        <w:t>Příkazník se zavazuje po celou dobu realizace stavby aktivně spolupracovat se zhotovitelem stavby a osobou vykonávající činnosti technického dozoru.</w:t>
      </w:r>
    </w:p>
    <w:p w14:paraId="429FEB82" w14:textId="77777777" w:rsidR="0001364E" w:rsidRDefault="0001364E" w:rsidP="00A65FC6">
      <w:pPr>
        <w:pStyle w:val="Nadpis2"/>
      </w:pPr>
      <w:r w:rsidRPr="0001364E">
        <w:t xml:space="preserve">V případě zjištění rozporu platné projektové dokumentace se skutečností na stavbě je </w:t>
      </w:r>
      <w:r>
        <w:t>P</w:t>
      </w:r>
      <w:r w:rsidRPr="0001364E">
        <w:t>říkazník povinen zjištěné rozpory řešit ve spolupráci se zhotovitelem stavby, a to bezodkladně.</w:t>
      </w:r>
    </w:p>
    <w:p w14:paraId="0C1ABB30" w14:textId="77777777" w:rsidR="00895605" w:rsidRDefault="00895605" w:rsidP="00A65FC6">
      <w:pPr>
        <w:pStyle w:val="Nadpis2"/>
      </w:pPr>
      <w:r>
        <w:t>Příkazník není o</w:t>
      </w:r>
      <w:r w:rsidR="003009F4">
        <w:t>právněn svůj závazek vypovědět.</w:t>
      </w:r>
    </w:p>
    <w:p w14:paraId="788BD58F" w14:textId="77777777" w:rsidR="0001364E" w:rsidRPr="0001364E" w:rsidRDefault="0001364E" w:rsidP="00DC5A37">
      <w:pPr>
        <w:pStyle w:val="Nadpis1"/>
      </w:pPr>
      <w:r>
        <w:t>Práva a povinnosti Příkazce</w:t>
      </w:r>
    </w:p>
    <w:p w14:paraId="278CC6D6" w14:textId="77777777" w:rsidR="0001364E" w:rsidRPr="0001364E" w:rsidRDefault="0001364E" w:rsidP="00A65FC6">
      <w:pPr>
        <w:pStyle w:val="Nadpis2"/>
      </w:pPr>
      <w:r w:rsidRPr="0001364E">
        <w:t xml:space="preserve">Příkazce je povinen přizvat </w:t>
      </w:r>
      <w:r>
        <w:t>P</w:t>
      </w:r>
      <w:r w:rsidRPr="0001364E">
        <w:t>říkazníka ke všem rozhodujícím jednáním týkající</w:t>
      </w:r>
      <w:r w:rsidR="00B15830">
        <w:t xml:space="preserve">ch </w:t>
      </w:r>
      <w:r w:rsidRPr="0001364E">
        <w:t xml:space="preserve">se stavby a její realizace, resp. předat mu neprodleně zápis nebo informace o jednáních, kterých se </w:t>
      </w:r>
      <w:r>
        <w:t>P</w:t>
      </w:r>
      <w:r w:rsidRPr="0001364E">
        <w:t>říkazník nezúčastnil.</w:t>
      </w:r>
    </w:p>
    <w:p w14:paraId="5EB4CB32" w14:textId="77777777" w:rsidR="0001364E" w:rsidRPr="0001364E" w:rsidRDefault="0001364E" w:rsidP="00A65FC6">
      <w:pPr>
        <w:pStyle w:val="Nadpis2"/>
      </w:pPr>
      <w:r w:rsidRPr="0001364E">
        <w:t xml:space="preserve">Příkazce je povinen informovat </w:t>
      </w:r>
      <w:r>
        <w:t>P</w:t>
      </w:r>
      <w:r w:rsidRPr="0001364E">
        <w:t>říkazníka o termínech předání staveniště, kontrolních dn</w:t>
      </w:r>
      <w:r>
        <w:t>ech</w:t>
      </w:r>
      <w:r w:rsidRPr="0001364E">
        <w:t>, předání stavby apod. v předstihu min. 3 pracovních dnů.</w:t>
      </w:r>
    </w:p>
    <w:p w14:paraId="58E413A1" w14:textId="77777777" w:rsidR="0001364E" w:rsidRPr="0001364E" w:rsidRDefault="0001364E" w:rsidP="00A65FC6">
      <w:pPr>
        <w:pStyle w:val="Nadpis2"/>
      </w:pPr>
      <w:r w:rsidRPr="0001364E">
        <w:t xml:space="preserve">Příkazce se zavazuje, že v rozsahu nevyhnutelně potřebném poskytne </w:t>
      </w:r>
      <w:r>
        <w:t>P</w:t>
      </w:r>
      <w:r w:rsidRPr="0001364E">
        <w:t>říkazníkovi pomoc při</w:t>
      </w:r>
      <w:r w:rsidR="00A65FC6">
        <w:t> </w:t>
      </w:r>
      <w:r w:rsidRPr="0001364E">
        <w:t>zajištění podkladů, doplňujících údajů, upřesnění vyjádření a stanovisek, jejichž potřeba vznikne v průběhu plnění této smlouvy. Tuto pomoc poskytne ve lhůtě a rozsahu dojednaném oběma smluvními stranami.</w:t>
      </w:r>
    </w:p>
    <w:p w14:paraId="40D1F8DB" w14:textId="77777777" w:rsidR="0001364E" w:rsidRPr="0001364E" w:rsidRDefault="0001364E" w:rsidP="00A65FC6">
      <w:pPr>
        <w:pStyle w:val="Nadpis2"/>
      </w:pPr>
      <w:r w:rsidRPr="0001364E">
        <w:t xml:space="preserve">Příkazce je povinen kontrolovat list autorského dozoru a v případě správnosti jej odsouhlasit podpisem na kopii, která bude součástí faktury. V případě nesrovnalostí je </w:t>
      </w:r>
      <w:r>
        <w:t>P</w:t>
      </w:r>
      <w:r w:rsidRPr="0001364E">
        <w:t xml:space="preserve">říkazce povinen vyzvat </w:t>
      </w:r>
      <w:r>
        <w:t>P</w:t>
      </w:r>
      <w:r w:rsidRPr="0001364E">
        <w:t>říkazníka k jejich vysvětlení, popř. odstranění v jím určeném termínu.</w:t>
      </w:r>
    </w:p>
    <w:p w14:paraId="5244BC94" w14:textId="77777777" w:rsidR="0001364E" w:rsidRDefault="0001364E" w:rsidP="00DC5A37">
      <w:pPr>
        <w:pStyle w:val="Nadpis1"/>
      </w:pPr>
      <w:r w:rsidRPr="0001364E">
        <w:lastRenderedPageBreak/>
        <w:t>Odměna</w:t>
      </w:r>
      <w:r w:rsidR="006646A5">
        <w:t xml:space="preserve"> </w:t>
      </w:r>
      <w:r w:rsidR="00C6031A">
        <w:t>a platební podmínky</w:t>
      </w:r>
    </w:p>
    <w:p w14:paraId="32035D7F" w14:textId="77777777" w:rsidR="00EF3000" w:rsidRDefault="003123A0" w:rsidP="00A65FC6">
      <w:pPr>
        <w:pStyle w:val="Nadpis2"/>
      </w:pPr>
      <w:r w:rsidRPr="00723204">
        <w:t>Za vykonán</w:t>
      </w:r>
      <w:r w:rsidR="00973742" w:rsidRPr="00723204">
        <w:t>í činností dle této smlouvy se P</w:t>
      </w:r>
      <w:r w:rsidRPr="00723204">
        <w:t xml:space="preserve">říkazce zavazuje zaplatit </w:t>
      </w:r>
      <w:r w:rsidR="00973742" w:rsidRPr="00723204">
        <w:t>P</w:t>
      </w:r>
      <w:r w:rsidRPr="00723204">
        <w:t>říkazníkovi odměnu, oboustranně dohodn</w:t>
      </w:r>
      <w:r w:rsidR="00973742" w:rsidRPr="00723204">
        <w:t>utou na základě nabídkové ceny P</w:t>
      </w:r>
      <w:r w:rsidRPr="00723204">
        <w:t>říkazníka</w:t>
      </w:r>
      <w:r w:rsidR="00513281" w:rsidRPr="00723204">
        <w:t xml:space="preserve"> (</w:t>
      </w:r>
      <w:r w:rsidR="005A0C53" w:rsidRPr="00723204">
        <w:t>příloha č. 1 – K</w:t>
      </w:r>
      <w:r w:rsidR="00513281" w:rsidRPr="00723204">
        <w:t xml:space="preserve">rycí list nabídky ze dne </w:t>
      </w:r>
      <w:r w:rsidR="003F22A1">
        <w:t xml:space="preserve">6. 3. </w:t>
      </w:r>
      <w:r w:rsidR="006E4DA2">
        <w:t>2024</w:t>
      </w:r>
      <w:r w:rsidR="003F22A1">
        <w:t>, JCM/0678/2024</w:t>
      </w:r>
      <w:r w:rsidR="00513281" w:rsidRPr="00723204">
        <w:t>)</w:t>
      </w:r>
      <w:r w:rsidRPr="00723204">
        <w:t>, která činí:</w:t>
      </w:r>
    </w:p>
    <w:tbl>
      <w:tblPr>
        <w:tblStyle w:val="Mkatabulky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1701"/>
        <w:gridCol w:w="1417"/>
        <w:gridCol w:w="1554"/>
      </w:tblGrid>
      <w:tr w:rsidR="0099635A" w:rsidRPr="005C46A9" w14:paraId="1EEAAF27" w14:textId="77777777" w:rsidTr="00A65FC6">
        <w:tc>
          <w:tcPr>
            <w:tcW w:w="3828" w:type="dxa"/>
            <w:tcBorders>
              <w:right w:val="single" w:sz="4" w:space="0" w:color="auto"/>
            </w:tcBorders>
          </w:tcPr>
          <w:p w14:paraId="4626A1E9" w14:textId="77777777" w:rsidR="0099635A" w:rsidRPr="005C46A9" w:rsidRDefault="0099635A" w:rsidP="00D2750C">
            <w:pPr>
              <w:keepNext/>
              <w:keepLines/>
              <w:rPr>
                <w:rFonts w:ascii="Solpera" w:hAnsi="Solpera" w:cs="Arial"/>
                <w:b/>
              </w:rPr>
            </w:pPr>
            <w:r w:rsidRPr="005C46A9">
              <w:rPr>
                <w:rFonts w:ascii="Solpera" w:hAnsi="Solpera" w:cs="Arial"/>
                <w:b/>
              </w:rPr>
              <w:t>Nabídková cena</w:t>
            </w:r>
            <w:r w:rsidR="00C03673">
              <w:rPr>
                <w:rFonts w:ascii="Solpera" w:hAnsi="Solpera" w:cs="Arial"/>
                <w:b/>
              </w:rPr>
              <w:t xml:space="preserve"> v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1E3A24" w14:textId="77777777" w:rsidR="0099635A" w:rsidRPr="005C46A9" w:rsidRDefault="0099635A" w:rsidP="00D2750C">
            <w:pPr>
              <w:keepNext/>
              <w:keepLines/>
              <w:jc w:val="center"/>
              <w:rPr>
                <w:rFonts w:ascii="Solpera" w:hAnsi="Solpera" w:cs="Arial"/>
                <w:b/>
              </w:rPr>
            </w:pPr>
            <w:r w:rsidRPr="005C46A9">
              <w:rPr>
                <w:rFonts w:ascii="Solpera" w:hAnsi="Solpera" w:cs="Arial"/>
                <w:b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95064" w14:textId="77777777" w:rsidR="0099635A" w:rsidRPr="005C46A9" w:rsidRDefault="0099635A" w:rsidP="00D2750C">
            <w:pPr>
              <w:keepNext/>
              <w:keepLines/>
              <w:jc w:val="center"/>
              <w:rPr>
                <w:rFonts w:ascii="Solpera" w:hAnsi="Solpera" w:cs="Arial"/>
                <w:b/>
              </w:rPr>
            </w:pPr>
            <w:r w:rsidRPr="005C46A9">
              <w:rPr>
                <w:rFonts w:ascii="Solpera" w:hAnsi="Solpera" w:cs="Arial"/>
                <w:b/>
              </w:rPr>
              <w:t>DPH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DF9F2" w14:textId="77777777" w:rsidR="0099635A" w:rsidRPr="005C46A9" w:rsidRDefault="0099635A" w:rsidP="00D2750C">
            <w:pPr>
              <w:keepNext/>
              <w:keepLines/>
              <w:jc w:val="center"/>
              <w:rPr>
                <w:rFonts w:ascii="Solpera" w:hAnsi="Solpera" w:cs="Arial"/>
                <w:b/>
              </w:rPr>
            </w:pPr>
            <w:r w:rsidRPr="005C46A9">
              <w:rPr>
                <w:rFonts w:ascii="Solpera" w:hAnsi="Solpera" w:cs="Arial"/>
                <w:b/>
              </w:rPr>
              <w:t>Cena s DPH</w:t>
            </w:r>
          </w:p>
        </w:tc>
      </w:tr>
      <w:tr w:rsidR="00973742" w:rsidRPr="00973742" w14:paraId="3D2049F6" w14:textId="77777777" w:rsidTr="00A65FC6">
        <w:tc>
          <w:tcPr>
            <w:tcW w:w="3828" w:type="dxa"/>
          </w:tcPr>
          <w:p w14:paraId="2C4E36EC" w14:textId="77777777" w:rsidR="00773B44" w:rsidRPr="00973742" w:rsidRDefault="00854050" w:rsidP="00D2750C">
            <w:pPr>
              <w:keepNext/>
              <w:keepLines/>
              <w:jc w:val="both"/>
              <w:rPr>
                <w:rFonts w:ascii="Solpera" w:hAnsi="Solpera" w:cs="Arial"/>
              </w:rPr>
            </w:pPr>
            <w:r>
              <w:rPr>
                <w:rFonts w:ascii="Solpera" w:hAnsi="Solpera" w:cs="Arial"/>
              </w:rPr>
              <w:t>Výkon autorského dozoru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9DC7B6" w14:textId="77777777" w:rsidR="003E2503" w:rsidRPr="00973742" w:rsidRDefault="003F22A1" w:rsidP="00D2750C">
            <w:pPr>
              <w:keepNext/>
              <w:keepLines/>
              <w:jc w:val="right"/>
              <w:rPr>
                <w:rFonts w:ascii="Solpera" w:hAnsi="Solpera" w:cs="Arial"/>
              </w:rPr>
            </w:pPr>
            <w:r>
              <w:rPr>
                <w:rFonts w:ascii="Solpera" w:hAnsi="Solpera" w:cs="Arial"/>
              </w:rPr>
              <w:t>587.600,-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0371FF" w14:textId="77777777" w:rsidR="00973742" w:rsidRPr="00973742" w:rsidRDefault="003F22A1" w:rsidP="00D2750C">
            <w:pPr>
              <w:keepNext/>
              <w:keepLines/>
              <w:jc w:val="right"/>
              <w:rPr>
                <w:rFonts w:ascii="Solpera" w:hAnsi="Solpera" w:cs="Arial"/>
              </w:rPr>
            </w:pPr>
            <w:r>
              <w:rPr>
                <w:rFonts w:ascii="Solpera" w:hAnsi="Solpera" w:cs="Arial"/>
              </w:rPr>
              <w:t>123.396,-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66393E84" w14:textId="77777777" w:rsidR="00973742" w:rsidRPr="00973742" w:rsidRDefault="003F22A1" w:rsidP="00D2750C">
            <w:pPr>
              <w:keepNext/>
              <w:keepLines/>
              <w:jc w:val="right"/>
              <w:rPr>
                <w:rFonts w:ascii="Solpera" w:hAnsi="Solpera" w:cs="Arial"/>
              </w:rPr>
            </w:pPr>
            <w:r>
              <w:rPr>
                <w:rFonts w:ascii="Solpera" w:hAnsi="Solpera" w:cs="Arial"/>
              </w:rPr>
              <w:t>710.996,-</w:t>
            </w:r>
          </w:p>
        </w:tc>
      </w:tr>
    </w:tbl>
    <w:p w14:paraId="1AC22D73" w14:textId="77777777" w:rsidR="00D2750C" w:rsidRDefault="00D2750C" w:rsidP="00D2750C">
      <w:pPr>
        <w:pStyle w:val="Nadpis2"/>
        <w:numPr>
          <w:ilvl w:val="0"/>
          <w:numId w:val="0"/>
        </w:numPr>
        <w:ind w:left="578"/>
      </w:pPr>
    </w:p>
    <w:p w14:paraId="26564868" w14:textId="77777777" w:rsidR="00854050" w:rsidRDefault="00854050" w:rsidP="00A65FC6">
      <w:pPr>
        <w:pStyle w:val="Nadpis2"/>
      </w:pPr>
      <w:r w:rsidRPr="00745D6D">
        <w:t xml:space="preserve">Sjednaná odměna je stanovena jako </w:t>
      </w:r>
      <w:r w:rsidRPr="00745D6D">
        <w:rPr>
          <w:b/>
          <w:bCs/>
        </w:rPr>
        <w:t>nejvýše přípustná</w:t>
      </w:r>
      <w:r>
        <w:t xml:space="preserve"> a zahrnuje veškeré náklady P</w:t>
      </w:r>
      <w:r w:rsidRPr="00745D6D">
        <w:t>říkazníka vynaložené v souvislosti s výkonem všech</w:t>
      </w:r>
      <w:r w:rsidRPr="00745D6D">
        <w:rPr>
          <w:color w:val="00B050"/>
        </w:rPr>
        <w:t xml:space="preserve"> </w:t>
      </w:r>
      <w:r w:rsidRPr="00745D6D">
        <w:t>činností dle této smlouvy.</w:t>
      </w:r>
    </w:p>
    <w:p w14:paraId="57247706" w14:textId="77777777" w:rsidR="00854050" w:rsidRDefault="003123A0" w:rsidP="00A65FC6">
      <w:pPr>
        <w:pStyle w:val="Nadpis2"/>
      </w:pPr>
      <w:r w:rsidRPr="00854050">
        <w:t>K ceně za výkon činností bude účtována daň z přidané hodnoty dle předpisů platných v den uskutečnění zdanitelného plnění.</w:t>
      </w:r>
    </w:p>
    <w:p w14:paraId="2CF718B1" w14:textId="77777777" w:rsidR="00854050" w:rsidRPr="00854050" w:rsidRDefault="00854050" w:rsidP="00A65FC6">
      <w:pPr>
        <w:pStyle w:val="Nadpis2"/>
      </w:pPr>
      <w:r w:rsidRPr="00854050">
        <w:t>V případě, že dojde ke změně zákonné sazby DPH, je Příkazník k úplatě bez DPH povinen účtovat DPH v platné výši. Smluvní strany se dohodly, že v případě změny výše úplaty v důsledku změny sazby DPH není nutno ke smlouvě uzavírat dodatek. Příkazník odpovídá za</w:t>
      </w:r>
      <w:r w:rsidR="003009F4">
        <w:t> </w:t>
      </w:r>
      <w:r w:rsidRPr="00854050">
        <w:t>to, že sazba DPH je stanovena v souladu s platnými právními předpisy.</w:t>
      </w:r>
    </w:p>
    <w:p w14:paraId="1E7B0D47" w14:textId="77777777" w:rsidR="00E17F9D" w:rsidRDefault="003123A0" w:rsidP="00A65FC6">
      <w:pPr>
        <w:pStyle w:val="Nadpis2"/>
      </w:pPr>
      <w:r w:rsidRPr="00E17F9D">
        <w:t>Příkazce se zavazuje odměnu dl</w:t>
      </w:r>
      <w:r w:rsidR="00973742" w:rsidRPr="00E17F9D">
        <w:t>e tohoto článku smlouvy hradit P</w:t>
      </w:r>
      <w:r w:rsidRPr="00E17F9D">
        <w:t xml:space="preserve">říkazníkovi postupně </w:t>
      </w:r>
      <w:r w:rsidR="00973742" w:rsidRPr="00E17F9D">
        <w:t>podle dále u</w:t>
      </w:r>
      <w:r w:rsidRPr="00E17F9D">
        <w:t>vedeného harmonogramu</w:t>
      </w:r>
      <w:r w:rsidR="00973742" w:rsidRPr="00E17F9D">
        <w:t xml:space="preserve"> </w:t>
      </w:r>
      <w:r w:rsidRPr="00E17F9D">
        <w:t xml:space="preserve">a to vždy na základě </w:t>
      </w:r>
      <w:r w:rsidR="00973742" w:rsidRPr="00E17F9D">
        <w:t xml:space="preserve">řádné </w:t>
      </w:r>
      <w:r w:rsidRPr="00E17F9D">
        <w:t>faktury</w:t>
      </w:r>
      <w:r w:rsidR="00973742" w:rsidRPr="00E17F9D">
        <w:t xml:space="preserve"> (daňový doklad) vystavené P</w:t>
      </w:r>
      <w:r w:rsidR="003009F4">
        <w:t>říkazníkem.</w:t>
      </w:r>
    </w:p>
    <w:p w14:paraId="71B92180" w14:textId="77777777" w:rsidR="003123A0" w:rsidRPr="00E17F9D" w:rsidRDefault="003123A0" w:rsidP="00A65FC6">
      <w:pPr>
        <w:pStyle w:val="Nadpis2"/>
      </w:pPr>
      <w:r w:rsidRPr="00E17F9D">
        <w:t>Harmonogram fakturace:</w:t>
      </w:r>
    </w:p>
    <w:p w14:paraId="66471AFE" w14:textId="77777777" w:rsidR="00E17F9D" w:rsidRPr="00E17F9D" w:rsidRDefault="00A65FC6" w:rsidP="003009F4">
      <w:pPr>
        <w:pStyle w:val="Odstavecseseznamem"/>
        <w:keepNext/>
        <w:keepLines/>
        <w:numPr>
          <w:ilvl w:val="0"/>
          <w:numId w:val="25"/>
        </w:numPr>
        <w:ind w:left="1077" w:hanging="357"/>
        <w:jc w:val="both"/>
        <w:rPr>
          <w:rFonts w:ascii="Solpera" w:hAnsi="Solpera" w:cs="Arial"/>
        </w:rPr>
      </w:pPr>
      <w:r>
        <w:rPr>
          <w:rFonts w:ascii="Solpera" w:hAnsi="Solpera" w:cs="Arial"/>
        </w:rPr>
        <w:t>č</w:t>
      </w:r>
      <w:r w:rsidR="00E17F9D" w:rsidRPr="00E17F9D">
        <w:rPr>
          <w:rFonts w:ascii="Solpera" w:hAnsi="Solpera" w:cs="Arial"/>
        </w:rPr>
        <w:t>tvrtletně</w:t>
      </w:r>
      <w:r w:rsidR="00B15830">
        <w:rPr>
          <w:rFonts w:ascii="Solpera" w:hAnsi="Solpera" w:cs="Arial"/>
        </w:rPr>
        <w:t>;</w:t>
      </w:r>
    </w:p>
    <w:p w14:paraId="50E366E7" w14:textId="77777777" w:rsidR="00E17F9D" w:rsidRDefault="00395558" w:rsidP="003009F4">
      <w:pPr>
        <w:pStyle w:val="Odstavecseseznamem"/>
        <w:keepNext/>
        <w:keepLines/>
        <w:numPr>
          <w:ilvl w:val="0"/>
          <w:numId w:val="25"/>
        </w:numPr>
        <w:ind w:left="1077" w:hanging="357"/>
        <w:jc w:val="both"/>
        <w:rPr>
          <w:rFonts w:ascii="Solpera" w:hAnsi="Solpera" w:cs="Arial"/>
        </w:rPr>
      </w:pPr>
      <w:r w:rsidRPr="00E17F9D">
        <w:rPr>
          <w:rFonts w:ascii="Solpera" w:hAnsi="Solpera" w:cs="Arial"/>
        </w:rPr>
        <w:t xml:space="preserve">faktura za </w:t>
      </w:r>
      <w:r w:rsidR="006646A5">
        <w:rPr>
          <w:rFonts w:ascii="Solpera" w:hAnsi="Solpera" w:cs="Arial"/>
        </w:rPr>
        <w:t xml:space="preserve">výkon autorského dozoru </w:t>
      </w:r>
      <w:r w:rsidR="00933F2F">
        <w:rPr>
          <w:rFonts w:ascii="Solpera" w:hAnsi="Solpera" w:cs="Arial"/>
        </w:rPr>
        <w:t>do výše 1/8</w:t>
      </w:r>
      <w:r w:rsidR="00E17F9D" w:rsidRPr="00E17F9D">
        <w:rPr>
          <w:rFonts w:ascii="Solpera" w:hAnsi="Solpera" w:cs="Arial"/>
        </w:rPr>
        <w:t xml:space="preserve"> z nabídkové ceny uvedené v čl. </w:t>
      </w:r>
      <w:r w:rsidR="003009F4">
        <w:rPr>
          <w:rFonts w:ascii="Solpera" w:hAnsi="Solpera" w:cs="Arial"/>
        </w:rPr>
        <w:t>6</w:t>
      </w:r>
      <w:r w:rsidR="00E17F9D" w:rsidRPr="00E17F9D">
        <w:rPr>
          <w:rFonts w:ascii="Solpera" w:hAnsi="Solpera" w:cs="Arial"/>
        </w:rPr>
        <w:t>. odst.</w:t>
      </w:r>
      <w:r w:rsidR="003009F4">
        <w:rPr>
          <w:rFonts w:ascii="Solpera" w:hAnsi="Solpera" w:cs="Arial"/>
        </w:rPr>
        <w:t> 6.</w:t>
      </w:r>
      <w:r w:rsidR="00E17F9D" w:rsidRPr="00E17F9D">
        <w:rPr>
          <w:rFonts w:ascii="Solpera" w:hAnsi="Solpera" w:cs="Arial"/>
        </w:rPr>
        <w:t>1 snížené o 5</w:t>
      </w:r>
      <w:r w:rsidR="003009F4">
        <w:rPr>
          <w:rFonts w:ascii="Solpera" w:hAnsi="Solpera" w:cs="Arial"/>
        </w:rPr>
        <w:t xml:space="preserve"> </w:t>
      </w:r>
      <w:r w:rsidR="00E17F9D" w:rsidRPr="00E17F9D">
        <w:rPr>
          <w:rFonts w:ascii="Solpera" w:hAnsi="Solpera" w:cs="Arial"/>
        </w:rPr>
        <w:t>%</w:t>
      </w:r>
      <w:r w:rsidR="00B15830">
        <w:rPr>
          <w:rFonts w:ascii="Solpera" w:hAnsi="Solpera" w:cs="Arial"/>
        </w:rPr>
        <w:t>;</w:t>
      </w:r>
    </w:p>
    <w:p w14:paraId="3EEF8396" w14:textId="77777777" w:rsidR="006646A5" w:rsidRDefault="00E17F9D" w:rsidP="003009F4">
      <w:pPr>
        <w:pStyle w:val="Odstavecseseznamem"/>
        <w:keepNext/>
        <w:keepLines/>
        <w:numPr>
          <w:ilvl w:val="0"/>
          <w:numId w:val="25"/>
        </w:numPr>
        <w:ind w:left="1077" w:hanging="357"/>
        <w:jc w:val="both"/>
        <w:rPr>
          <w:rFonts w:ascii="Solpera" w:hAnsi="Solpera" w:cs="Arial"/>
        </w:rPr>
      </w:pPr>
      <w:r w:rsidRPr="006646A5">
        <w:rPr>
          <w:rFonts w:ascii="Solpera" w:hAnsi="Solpera" w:cs="Arial"/>
        </w:rPr>
        <w:t>z</w:t>
      </w:r>
      <w:r w:rsidR="00613947" w:rsidRPr="006646A5">
        <w:rPr>
          <w:rFonts w:ascii="Solpera" w:hAnsi="Solpera" w:cs="Arial"/>
        </w:rPr>
        <w:t>bývající část ceny</w:t>
      </w:r>
      <w:r w:rsidRPr="006646A5">
        <w:rPr>
          <w:rFonts w:ascii="Solpera" w:hAnsi="Solpera" w:cs="Arial"/>
        </w:rPr>
        <w:t xml:space="preserve"> (5</w:t>
      </w:r>
      <w:r w:rsidR="003009F4">
        <w:rPr>
          <w:rFonts w:ascii="Solpera" w:hAnsi="Solpera" w:cs="Arial"/>
        </w:rPr>
        <w:t xml:space="preserve"> </w:t>
      </w:r>
      <w:r w:rsidRPr="006646A5">
        <w:rPr>
          <w:rFonts w:ascii="Solpera" w:hAnsi="Solpera" w:cs="Arial"/>
        </w:rPr>
        <w:t>%) bude P</w:t>
      </w:r>
      <w:r w:rsidR="00613947" w:rsidRPr="006646A5">
        <w:rPr>
          <w:rFonts w:ascii="Solpera" w:hAnsi="Solpera" w:cs="Arial"/>
        </w:rPr>
        <w:t xml:space="preserve">říkazníkovi proplacena po vydání </w:t>
      </w:r>
      <w:r w:rsidRPr="006646A5">
        <w:rPr>
          <w:rFonts w:ascii="Solpera" w:hAnsi="Solpera" w:cs="Arial"/>
        </w:rPr>
        <w:t>kolaudačního souhlasu na základě předložen</w:t>
      </w:r>
      <w:r w:rsidR="006646A5" w:rsidRPr="006646A5">
        <w:rPr>
          <w:rFonts w:ascii="Solpera" w:hAnsi="Solpera" w:cs="Arial"/>
        </w:rPr>
        <w:t>é</w:t>
      </w:r>
      <w:r w:rsidRPr="006646A5">
        <w:rPr>
          <w:rFonts w:ascii="Solpera" w:hAnsi="Solpera" w:cs="Arial"/>
        </w:rPr>
        <w:t xml:space="preserve"> faktur</w:t>
      </w:r>
      <w:r w:rsidR="006646A5" w:rsidRPr="006646A5">
        <w:rPr>
          <w:rFonts w:ascii="Solpera" w:hAnsi="Solpera" w:cs="Arial"/>
        </w:rPr>
        <w:t>y</w:t>
      </w:r>
      <w:r w:rsidR="00B15830">
        <w:rPr>
          <w:rFonts w:ascii="Solpera" w:hAnsi="Solpera" w:cs="Arial"/>
        </w:rPr>
        <w:t>;</w:t>
      </w:r>
    </w:p>
    <w:p w14:paraId="0597D8E7" w14:textId="77777777" w:rsidR="00E17F9D" w:rsidRPr="006646A5" w:rsidRDefault="00E17F9D" w:rsidP="003009F4">
      <w:pPr>
        <w:pStyle w:val="Odstavecseseznamem"/>
        <w:keepNext/>
        <w:keepLines/>
        <w:numPr>
          <w:ilvl w:val="0"/>
          <w:numId w:val="25"/>
        </w:numPr>
        <w:ind w:left="1077" w:hanging="357"/>
        <w:jc w:val="both"/>
        <w:rPr>
          <w:rFonts w:ascii="Solpera" w:hAnsi="Solpera" w:cs="Arial"/>
        </w:rPr>
      </w:pPr>
      <w:r w:rsidRPr="006646A5">
        <w:rPr>
          <w:rFonts w:ascii="Solpera" w:hAnsi="Solpera" w:cs="Arial"/>
        </w:rPr>
        <w:t>splatnost faktury je stanovena do 30 kalendářních dnů ode dne jejího doručení Příkazci</w:t>
      </w:r>
      <w:r w:rsidR="00B15830">
        <w:rPr>
          <w:rFonts w:ascii="Solpera" w:hAnsi="Solpera" w:cs="Arial"/>
        </w:rPr>
        <w:t>;</w:t>
      </w:r>
    </w:p>
    <w:p w14:paraId="2D68CD5E" w14:textId="77777777" w:rsidR="00EF3000" w:rsidRPr="00405590" w:rsidRDefault="00E17F9D" w:rsidP="003009F4">
      <w:pPr>
        <w:pStyle w:val="Odstavecseseznamem"/>
        <w:keepNext/>
        <w:keepLines/>
        <w:numPr>
          <w:ilvl w:val="0"/>
          <w:numId w:val="25"/>
        </w:numPr>
        <w:ind w:left="1077" w:hanging="357"/>
        <w:jc w:val="both"/>
        <w:rPr>
          <w:rFonts w:ascii="Solpera" w:hAnsi="Solpera" w:cs="Arial"/>
        </w:rPr>
      </w:pPr>
      <w:r w:rsidRPr="00E17F9D">
        <w:rPr>
          <w:rFonts w:ascii="Solpera" w:hAnsi="Solpera" w:cs="Arial"/>
        </w:rPr>
        <w:t>přílohou každého daňového dokladu budou pravidelné měsíční kontrolní zprávy</w:t>
      </w:r>
      <w:r w:rsidR="00D2750C">
        <w:rPr>
          <w:rFonts w:ascii="Solpera" w:hAnsi="Solpera" w:cs="Arial"/>
        </w:rPr>
        <w:t> </w:t>
      </w:r>
      <w:r w:rsidRPr="00405590">
        <w:rPr>
          <w:rFonts w:ascii="Solpera" w:hAnsi="Solpera" w:cs="Arial"/>
        </w:rPr>
        <w:t>o</w:t>
      </w:r>
      <w:r w:rsidR="00D2750C">
        <w:rPr>
          <w:rFonts w:ascii="Solpera" w:hAnsi="Solpera" w:cs="Arial"/>
        </w:rPr>
        <w:t> </w:t>
      </w:r>
      <w:r w:rsidRPr="00405590">
        <w:rPr>
          <w:rFonts w:ascii="Solpera" w:hAnsi="Solpera" w:cs="Arial"/>
        </w:rPr>
        <w:t>postupu při výkonu činností</w:t>
      </w:r>
      <w:r w:rsidR="00B15830">
        <w:rPr>
          <w:rFonts w:ascii="Solpera" w:hAnsi="Solpera" w:cs="Arial"/>
        </w:rPr>
        <w:t>;</w:t>
      </w:r>
    </w:p>
    <w:p w14:paraId="289B5283" w14:textId="77777777" w:rsidR="006646A5" w:rsidRPr="00405590" w:rsidRDefault="005C46A9" w:rsidP="00A65FC6">
      <w:pPr>
        <w:pStyle w:val="Nadpis2"/>
      </w:pPr>
      <w:r w:rsidRPr="00405590">
        <w:t>Činnosti vykonávané P</w:t>
      </w:r>
      <w:r w:rsidR="003123A0" w:rsidRPr="00405590">
        <w:t>říkazníkem po proplacení celé</w:t>
      </w:r>
      <w:r w:rsidRPr="00405590">
        <w:t xml:space="preserve"> </w:t>
      </w:r>
      <w:r w:rsidR="003123A0" w:rsidRPr="00405590">
        <w:t>výše uvedené odměny poskytované v souladu s touto smlouvou se považu</w:t>
      </w:r>
      <w:r w:rsidRPr="00405590">
        <w:t>jí za činnosti, které již byly P</w:t>
      </w:r>
      <w:r w:rsidR="003123A0" w:rsidRPr="00405590">
        <w:t>říkazcem zaplaceny.</w:t>
      </w:r>
    </w:p>
    <w:p w14:paraId="69B92A61" w14:textId="77777777" w:rsidR="006646A5" w:rsidRDefault="006646A5" w:rsidP="00A65FC6">
      <w:pPr>
        <w:pStyle w:val="Nadpis2"/>
      </w:pPr>
      <w:r>
        <w:t>Zálohy se neposkytují.</w:t>
      </w:r>
    </w:p>
    <w:p w14:paraId="7F9BAD51" w14:textId="77777777" w:rsidR="003123A0" w:rsidRPr="00405590" w:rsidRDefault="003123A0" w:rsidP="00A65FC6">
      <w:pPr>
        <w:pStyle w:val="Nadpis2"/>
      </w:pPr>
      <w:r w:rsidRPr="00405590">
        <w:t xml:space="preserve">V případě, že bude předmětná stavba dokončena v kratší lhůtě, bude nesplacená část odměny uhrazena </w:t>
      </w:r>
      <w:r w:rsidR="005C46A9" w:rsidRPr="00405590">
        <w:t>Příkazcem P</w:t>
      </w:r>
      <w:r w:rsidRPr="00405590">
        <w:t>říkazníkovi po skutečném ukončení všech požadovaných činností a</w:t>
      </w:r>
      <w:r w:rsidR="003009F4">
        <w:t> </w:t>
      </w:r>
      <w:r w:rsidRPr="00405590">
        <w:t>výkonů dle této smlouvy.</w:t>
      </w:r>
    </w:p>
    <w:p w14:paraId="1254F3B7" w14:textId="77777777" w:rsidR="00C6031A" w:rsidRDefault="003123A0" w:rsidP="00A65FC6">
      <w:pPr>
        <w:pStyle w:val="Nadpis2"/>
      </w:pPr>
      <w:r w:rsidRPr="00405590">
        <w:t>Faktury musí obsahovat údaje účetního dokladu, jakož i všechny náležitosti daňového dokladu dle platných právních předpisů s uvedením čísla této smlouvy.</w:t>
      </w:r>
    </w:p>
    <w:p w14:paraId="60166D8C" w14:textId="77777777" w:rsidR="00C6031A" w:rsidRPr="006646A5" w:rsidRDefault="00C6031A" w:rsidP="00A65FC6">
      <w:pPr>
        <w:pStyle w:val="Nadpis2"/>
      </w:pPr>
      <w:r w:rsidRPr="006646A5">
        <w:t xml:space="preserve">Závazek </w:t>
      </w:r>
      <w:r>
        <w:t>P</w:t>
      </w:r>
      <w:r w:rsidRPr="006646A5">
        <w:t xml:space="preserve">říkazce zaplatit fakturu je splněn odepsáním fakturované částky z účtu </w:t>
      </w:r>
      <w:r>
        <w:t>P</w:t>
      </w:r>
      <w:r w:rsidRPr="006646A5">
        <w:t>říkazce ve</w:t>
      </w:r>
      <w:r w:rsidR="003009F4">
        <w:t> </w:t>
      </w:r>
      <w:r w:rsidRPr="006646A5">
        <w:t xml:space="preserve">prospěch </w:t>
      </w:r>
      <w:r>
        <w:t>P</w:t>
      </w:r>
      <w:r w:rsidRPr="006646A5">
        <w:t>říkazníka.</w:t>
      </w:r>
    </w:p>
    <w:p w14:paraId="57758B4B" w14:textId="77777777" w:rsidR="00C6031A" w:rsidRDefault="00C6031A" w:rsidP="00A65FC6">
      <w:pPr>
        <w:pStyle w:val="Nadpis2"/>
      </w:pPr>
      <w:r w:rsidRPr="006646A5">
        <w:t xml:space="preserve">Nebude-li faktura obsahovat některou náležitost nebo bude chybně vyúčtována cena, DPH nebo </w:t>
      </w:r>
      <w:r>
        <w:t>P</w:t>
      </w:r>
      <w:r w:rsidRPr="006646A5">
        <w:t xml:space="preserve">říkazník vyúčtuje práce, které neprovedl, je </w:t>
      </w:r>
      <w:r>
        <w:t>P</w:t>
      </w:r>
      <w:r w:rsidRPr="006646A5">
        <w:t>říkazce oprávněn vadnou fakturu před</w:t>
      </w:r>
      <w:r w:rsidR="003009F4">
        <w:t> </w:t>
      </w:r>
      <w:r w:rsidRPr="006646A5">
        <w:t xml:space="preserve">uplynutím lhůty splatnosti vrátit druhé smluvní straně, bez zaplacení, k provedení opravy. Ve vrácené faktuře vyznačí důvod vrácení. Druhá smluvní strana provede opravu vystavením nové faktury. Vrátí-li </w:t>
      </w:r>
      <w:r>
        <w:t>P</w:t>
      </w:r>
      <w:r w:rsidRPr="006646A5">
        <w:t xml:space="preserve">říkazce vadnou fakturu druhé smluvní straně, přestává běžet původní lhůta splatnosti. Celá lhůta běží opět ode dne doručení nově vyhotovené faktury </w:t>
      </w:r>
      <w:r>
        <w:t>P</w:t>
      </w:r>
      <w:r w:rsidRPr="006646A5">
        <w:t>říkazci</w:t>
      </w:r>
      <w:r w:rsidR="00723204">
        <w:t>.</w:t>
      </w:r>
    </w:p>
    <w:p w14:paraId="536DAA9D" w14:textId="77777777" w:rsidR="006646A5" w:rsidRPr="006646A5" w:rsidRDefault="00C6031A" w:rsidP="00DC5A37">
      <w:pPr>
        <w:pStyle w:val="Nadpis1"/>
      </w:pPr>
      <w:r>
        <w:t>Odpovědnost za škodu</w:t>
      </w:r>
    </w:p>
    <w:p w14:paraId="3137383B" w14:textId="77777777" w:rsidR="00C6031A" w:rsidRPr="00C6031A" w:rsidRDefault="00C6031A" w:rsidP="00393031">
      <w:pPr>
        <w:pStyle w:val="Nadpis2"/>
      </w:pPr>
      <w:r w:rsidRPr="00C6031A">
        <w:t>Odpovědnost za škodu se řídí příslušnými ustanoveními občanského zákoníku, nestanoví-li smlouva jinak.</w:t>
      </w:r>
    </w:p>
    <w:p w14:paraId="2E74F831" w14:textId="77777777" w:rsidR="00C6031A" w:rsidRPr="00C6031A" w:rsidRDefault="00C6031A" w:rsidP="00393031">
      <w:pPr>
        <w:pStyle w:val="Nadpis2"/>
      </w:pPr>
      <w:r w:rsidRPr="00C6031A">
        <w:t xml:space="preserve">Příkazník odpovídá za škodu, která </w:t>
      </w:r>
      <w:r>
        <w:t>P</w:t>
      </w:r>
      <w:r w:rsidRPr="00C6031A">
        <w:t xml:space="preserve">říkazci vznikne v důsledku vadného plnění, a to v plném rozsahu. Za škodu se považuje i újma, která </w:t>
      </w:r>
      <w:r>
        <w:t>P</w:t>
      </w:r>
      <w:r w:rsidRPr="00C6031A">
        <w:t xml:space="preserve">říkazci vznikla tím, že musel vynaložit náklady v důsledku porušení povinností </w:t>
      </w:r>
      <w:r>
        <w:t>P</w:t>
      </w:r>
      <w:r w:rsidRPr="00C6031A">
        <w:t>říkazníka.</w:t>
      </w:r>
    </w:p>
    <w:p w14:paraId="58623196" w14:textId="77777777" w:rsidR="003123A0" w:rsidRPr="00C6031A" w:rsidRDefault="00C6031A" w:rsidP="00DC5A37">
      <w:pPr>
        <w:pStyle w:val="Nadpis1"/>
      </w:pPr>
      <w:r w:rsidRPr="00C6031A">
        <w:lastRenderedPageBreak/>
        <w:t>Sankční ujed</w:t>
      </w:r>
      <w:r>
        <w:t>nání</w:t>
      </w:r>
    </w:p>
    <w:p w14:paraId="4A1533C3" w14:textId="77777777" w:rsidR="00C6031A" w:rsidRPr="00C6031A" w:rsidRDefault="00C6031A" w:rsidP="00393031">
      <w:pPr>
        <w:pStyle w:val="Nadpis2"/>
      </w:pPr>
      <w:r w:rsidRPr="00C6031A">
        <w:t xml:space="preserve">Nebude-li </w:t>
      </w:r>
      <w:r>
        <w:t>P</w:t>
      </w:r>
      <w:r w:rsidRPr="00C6031A">
        <w:t xml:space="preserve">říkazník vykonávat autorský dozor v souladu s ustanoveními této smlouvy, zavazuje se uhradit </w:t>
      </w:r>
      <w:r>
        <w:t>P</w:t>
      </w:r>
      <w:r w:rsidRPr="00C6031A">
        <w:t xml:space="preserve">říkazci smluvní pokutu ve výši 3 000 Kč za každý zjištěný případ. Tato smluvní pokuta může být započtena proti pohledávce </w:t>
      </w:r>
      <w:r>
        <w:t>P</w:t>
      </w:r>
      <w:r w:rsidRPr="00C6031A">
        <w:t xml:space="preserve">říkazníka jednostranným úkonem </w:t>
      </w:r>
      <w:r>
        <w:t>P</w:t>
      </w:r>
      <w:r w:rsidRPr="00C6031A">
        <w:t>říkazce.</w:t>
      </w:r>
    </w:p>
    <w:p w14:paraId="2A6FABBD" w14:textId="77777777" w:rsidR="00C6031A" w:rsidRPr="00C6031A" w:rsidRDefault="00C6031A" w:rsidP="00393031">
      <w:pPr>
        <w:pStyle w:val="Nadpis2"/>
      </w:pPr>
      <w:r w:rsidRPr="00C6031A">
        <w:t xml:space="preserve">Je-li </w:t>
      </w:r>
      <w:r>
        <w:t>P</w:t>
      </w:r>
      <w:r w:rsidRPr="00C6031A">
        <w:t xml:space="preserve">říkazce v prodlení s úhradou odměny na základě řádně vystavené faktury </w:t>
      </w:r>
      <w:r>
        <w:t>P</w:t>
      </w:r>
      <w:r w:rsidRPr="00C6031A">
        <w:t xml:space="preserve">říkazníka, je povinen uhradit </w:t>
      </w:r>
      <w:r>
        <w:t>P</w:t>
      </w:r>
      <w:r w:rsidRPr="00C6031A">
        <w:t>říkazníkovi smluvní pokutu ve výši 0,1 % dlužné částky, a to za každý i započatý den prodlení.</w:t>
      </w:r>
    </w:p>
    <w:p w14:paraId="191C3AB8" w14:textId="77777777" w:rsidR="00C6031A" w:rsidRPr="00C6031A" w:rsidRDefault="00C6031A" w:rsidP="00393031">
      <w:pPr>
        <w:pStyle w:val="Nadpis2"/>
      </w:pPr>
      <w:r w:rsidRPr="00C6031A">
        <w:t>Sjednanou smluvní pokutu zaplatí povinná smluvní strana nezávisle na zavinění.</w:t>
      </w:r>
    </w:p>
    <w:p w14:paraId="6B055C23" w14:textId="77777777" w:rsidR="00C6031A" w:rsidRPr="00C6031A" w:rsidRDefault="00C6031A" w:rsidP="00393031">
      <w:pPr>
        <w:pStyle w:val="Nadpis2"/>
      </w:pPr>
      <w:r w:rsidRPr="00C6031A">
        <w:t>V případě uplatnění smluvní pokuty zašle oprávněná strana straně povinné oznámení, které musí obsahovat popis a časové určení události, která v souladu s uzavřenou smlouvou zakládá nárok oprávněné strany na smluvní pokutu, a informaci o způsobu úhrady smluvní pokuty.</w:t>
      </w:r>
    </w:p>
    <w:p w14:paraId="47ACACDD" w14:textId="77777777" w:rsidR="00C6031A" w:rsidRPr="00C6031A" w:rsidRDefault="003123A0" w:rsidP="00DC5A37">
      <w:pPr>
        <w:pStyle w:val="Nadpis1"/>
      </w:pPr>
      <w:bookmarkStart w:id="0" w:name="_Toc476755598"/>
      <w:bookmarkStart w:id="1" w:name="_Toc466251727"/>
      <w:bookmarkStart w:id="2" w:name="_Toc440974052"/>
      <w:bookmarkStart w:id="3" w:name="_Toc440805505"/>
      <w:bookmarkStart w:id="4" w:name="_Toc440802127"/>
      <w:bookmarkStart w:id="5" w:name="_Toc440083835"/>
      <w:bookmarkStart w:id="6" w:name="_Toc440041125"/>
      <w:bookmarkStart w:id="7" w:name="_Toc440029496"/>
      <w:bookmarkStart w:id="8" w:name="_Toc438531669"/>
      <w:bookmarkStart w:id="9" w:name="_Toc438530235"/>
      <w:bookmarkStart w:id="10" w:name="_Toc438522210"/>
      <w:r w:rsidRPr="00C6031A">
        <w:t>Závěrečná ustanovení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67087C1" w14:textId="77777777" w:rsidR="00C6031A" w:rsidRDefault="00C6031A" w:rsidP="00393031">
      <w:pPr>
        <w:pStyle w:val="Nadpis2"/>
      </w:pPr>
      <w:r w:rsidRPr="00393031">
        <w:t>Smluvní strany prohlašují, že</w:t>
      </w:r>
      <w:r w:rsidR="00393031">
        <w:t> </w:t>
      </w:r>
      <w:r w:rsidRPr="00393031">
        <w:t>tato smlouva neobsahuje údaje, které tvoří předmět jeho obchodního tajemství podle § 504 zákona č. 89/2012 Sb., občanský zákoník, ve znění pozdějších předpisů.</w:t>
      </w:r>
    </w:p>
    <w:p w14:paraId="6614DF69" w14:textId="77777777" w:rsidR="003F22A1" w:rsidRPr="00D45527" w:rsidRDefault="003F22A1" w:rsidP="003F22A1">
      <w:pPr>
        <w:pStyle w:val="Nadpis2"/>
        <w:tabs>
          <w:tab w:val="left" w:pos="708"/>
        </w:tabs>
      </w:pPr>
      <w:r w:rsidRPr="00D45527">
        <w:t xml:space="preserve">Příkazník bere na vědomí, že smlouva bude uveřejněna v registru smluv zřízeném podle zákona č. 340/2015 Sb., o registru smluv, ve znění pozdějších předpisů, </w:t>
      </w:r>
      <w:r w:rsidRPr="00D45527">
        <w:rPr>
          <w:rFonts w:cstheme="minorHAnsi"/>
        </w:rPr>
        <w:t xml:space="preserve">a prohlašuje, že tato smlouva neobsahuje údaje, které tvoří předmět jeho obchodního tajemství podle § 504 zákona č. 89/2012 Sb., občanský zákoník, ve znění pozdějších předpisů. </w:t>
      </w:r>
      <w:r w:rsidRPr="00D45527">
        <w:t>Zveřejnění provede příkazce.</w:t>
      </w:r>
    </w:p>
    <w:p w14:paraId="49CBB95A" w14:textId="77777777" w:rsidR="003F22A1" w:rsidRPr="00D45527" w:rsidRDefault="003F22A1" w:rsidP="003F22A1">
      <w:pPr>
        <w:pStyle w:val="Nadpis2"/>
        <w:tabs>
          <w:tab w:val="left" w:pos="708"/>
        </w:tabs>
      </w:pPr>
      <w:r w:rsidRPr="00D45527">
        <w:t>Příkazník si je vědom, že je ve smyslu § 2 zákona č. 320/2001 Sb., o finanční kontrole ve veřejné správě a o změně některých zákonů (zákon o finanční kontrole), ve znění pozdějších předpisů, povinen spolupůsobit při výkonu finanční kontroly.</w:t>
      </w:r>
    </w:p>
    <w:p w14:paraId="2792955A" w14:textId="77777777" w:rsidR="003F22A1" w:rsidRPr="00D45527" w:rsidRDefault="003F22A1" w:rsidP="003F22A1">
      <w:pPr>
        <w:pStyle w:val="Nadpis2"/>
        <w:tabs>
          <w:tab w:val="left" w:pos="708"/>
        </w:tabs>
      </w:pPr>
      <w:r w:rsidRPr="00D45527">
        <w:t>Příkazník je povinen archivovat originální vyhotovení smlouvy včetně jejich dodatků, originály účetních dokladů a dalších dokladů vztahujících se k realizaci předmětu této smlouvy po dobu 10 let od ukončení všech činností dle této smlouvy. Po tuto dobu je příkazník povinen umožnit osobám oprávněným k výkonu kontroly projektů provést kontrolu dokladů souvisejících s plněním této smlouvy.</w:t>
      </w:r>
    </w:p>
    <w:p w14:paraId="3D786780" w14:textId="77777777" w:rsidR="00C6031A" w:rsidRPr="00393031" w:rsidRDefault="00C6031A" w:rsidP="00393031">
      <w:pPr>
        <w:pStyle w:val="Nadpis2"/>
      </w:pPr>
      <w:r w:rsidRPr="00393031">
        <w:t>Tato smlouva nabývá platnosti dnem podpisu oprávněnými zástupci smluvních stran a účinnosti dnem zveřejnění v registru smluv.</w:t>
      </w:r>
    </w:p>
    <w:p w14:paraId="4F27701E" w14:textId="77777777" w:rsidR="00C6031A" w:rsidRPr="00393031" w:rsidRDefault="00C6031A" w:rsidP="00393031">
      <w:pPr>
        <w:pStyle w:val="Nadpis2"/>
      </w:pPr>
      <w:r w:rsidRPr="00393031">
        <w:t>Tato smlouva může být měněna pouze formou písemných dodatků podepsaných oprávněnými zástu</w:t>
      </w:r>
      <w:r w:rsidR="003F22A1">
        <w:t>pci obou smluvních stran.</w:t>
      </w:r>
    </w:p>
    <w:p w14:paraId="370507D7" w14:textId="77777777" w:rsidR="00C6031A" w:rsidRPr="00393031" w:rsidRDefault="00C6031A" w:rsidP="00393031">
      <w:pPr>
        <w:pStyle w:val="Nadpis2"/>
      </w:pPr>
      <w:r w:rsidRPr="00393031">
        <w:t>Smluvní strany prohlašují, že toto je jejich svobodná, pravá a vážně míněná vůle uzavřít tuto smlouvu a vyjadřují souhlas s  celým jejím obsahem. Na důkaz toho připojují oprávnění zástupci smluvních stran podpisy.</w:t>
      </w:r>
    </w:p>
    <w:p w14:paraId="570A8DE2" w14:textId="77777777" w:rsidR="00C6031A" w:rsidRPr="00393031" w:rsidRDefault="00C6031A" w:rsidP="00393031">
      <w:pPr>
        <w:pStyle w:val="Nadpis2"/>
      </w:pPr>
      <w:r w:rsidRPr="00393031">
        <w:t>Právní vztahy touto smlouvu neupravené se řídí příslušnými ustanoveními občanského zákoníku.</w:t>
      </w:r>
    </w:p>
    <w:p w14:paraId="4AF1FB94" w14:textId="77777777" w:rsidR="00C6031A" w:rsidRDefault="00C6031A" w:rsidP="00C6031A">
      <w:pPr>
        <w:rPr>
          <w:rFonts w:ascii="Solpera" w:hAnsi="Solpera" w:cs="Arial"/>
          <w:b/>
          <w:bCs/>
        </w:rPr>
      </w:pPr>
    </w:p>
    <w:p w14:paraId="081AB51B" w14:textId="49F69C0D" w:rsidR="00074B0D" w:rsidRDefault="00292F9A" w:rsidP="00B15830">
      <w:pPr>
        <w:jc w:val="both"/>
        <w:rPr>
          <w:rFonts w:ascii="Solpera" w:hAnsi="Solpera" w:cs="Arial"/>
        </w:rPr>
      </w:pPr>
      <w:r w:rsidRPr="00074B0D">
        <w:rPr>
          <w:rFonts w:ascii="Solpera" w:hAnsi="Solpera" w:cs="Arial"/>
          <w:u w:val="single"/>
        </w:rPr>
        <w:t>Příloha</w:t>
      </w:r>
      <w:r>
        <w:rPr>
          <w:rFonts w:ascii="Solpera" w:hAnsi="Solpera" w:cs="Arial"/>
        </w:rPr>
        <w:t xml:space="preserve"> – </w:t>
      </w:r>
      <w:r w:rsidR="004E5CE8">
        <w:rPr>
          <w:rFonts w:ascii="Solpera" w:hAnsi="Solpera" w:cs="Arial"/>
        </w:rPr>
        <w:t>K</w:t>
      </w:r>
      <w:r>
        <w:rPr>
          <w:rFonts w:ascii="Solpera" w:hAnsi="Solpera" w:cs="Arial"/>
        </w:rPr>
        <w:t>rycí list nabídky</w:t>
      </w:r>
      <w:r w:rsidR="003F22A1">
        <w:rPr>
          <w:rFonts w:ascii="Solpera" w:hAnsi="Solpera" w:cs="Arial"/>
        </w:rPr>
        <w:t xml:space="preserve"> (JCM0678/2024)</w:t>
      </w:r>
    </w:p>
    <w:p w14:paraId="14CD7318" w14:textId="77777777" w:rsidR="00D275FA" w:rsidRDefault="00D275FA" w:rsidP="00B15830">
      <w:pPr>
        <w:jc w:val="both"/>
        <w:rPr>
          <w:rFonts w:ascii="Solpera" w:hAnsi="Solpera" w:cs="Arial"/>
        </w:rPr>
      </w:pPr>
    </w:p>
    <w:p w14:paraId="03A27101" w14:textId="77777777" w:rsidR="00B15830" w:rsidRDefault="003F22A1" w:rsidP="00B15830">
      <w:pPr>
        <w:jc w:val="both"/>
        <w:rPr>
          <w:rFonts w:ascii="Solpera" w:hAnsi="Solpera" w:cs="Arial"/>
        </w:rPr>
      </w:pPr>
      <w:r>
        <w:rPr>
          <w:rFonts w:ascii="Solpera" w:hAnsi="Solpera" w:cs="Arial"/>
        </w:rPr>
        <w:t>Za Příkazce</w:t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  <w:t>Za Příkazníka</w:t>
      </w:r>
    </w:p>
    <w:p w14:paraId="09D5DC94" w14:textId="77777777" w:rsidR="003F22A1" w:rsidRDefault="003F22A1" w:rsidP="00B15830">
      <w:pPr>
        <w:jc w:val="both"/>
        <w:rPr>
          <w:rFonts w:ascii="Solpera" w:hAnsi="Solpera" w:cs="Arial"/>
        </w:rPr>
      </w:pPr>
    </w:p>
    <w:p w14:paraId="6C7BC97E" w14:textId="28C5276D" w:rsidR="003123A0" w:rsidRDefault="00613947" w:rsidP="00723204">
      <w:pPr>
        <w:jc w:val="both"/>
        <w:rPr>
          <w:rFonts w:ascii="Solpera" w:hAnsi="Solpera" w:cs="Arial"/>
        </w:rPr>
      </w:pPr>
      <w:r w:rsidRPr="00745D6D">
        <w:rPr>
          <w:rFonts w:ascii="Solpera" w:hAnsi="Solpera" w:cs="Arial"/>
        </w:rPr>
        <w:t>V Českých Budějovicích</w:t>
      </w:r>
      <w:r w:rsidR="003123A0" w:rsidRPr="00745D6D">
        <w:rPr>
          <w:rFonts w:ascii="Solpera" w:hAnsi="Solpera" w:cs="Arial"/>
        </w:rPr>
        <w:t xml:space="preserve"> dne </w:t>
      </w:r>
      <w:r w:rsidR="00DC5A37">
        <w:rPr>
          <w:rFonts w:ascii="Solpera" w:hAnsi="Solpera" w:cs="Arial"/>
        </w:rPr>
        <w:t xml:space="preserve">………. </w:t>
      </w:r>
      <w:r w:rsidR="004D5AC7">
        <w:rPr>
          <w:rFonts w:ascii="Solpera" w:hAnsi="Solpera" w:cs="Arial"/>
        </w:rPr>
        <w:t>2024</w:t>
      </w:r>
      <w:r w:rsidR="003123A0" w:rsidRPr="00745D6D">
        <w:rPr>
          <w:rFonts w:ascii="Solpera" w:hAnsi="Solpera" w:cs="Arial"/>
        </w:rPr>
        <w:t xml:space="preserve">            </w:t>
      </w:r>
      <w:r w:rsidRPr="00745D6D">
        <w:rPr>
          <w:rFonts w:ascii="Solpera" w:hAnsi="Solpera" w:cs="Arial"/>
        </w:rPr>
        <w:t xml:space="preserve">           V </w:t>
      </w:r>
      <w:r w:rsidR="002E1D6F" w:rsidRPr="00745D6D">
        <w:rPr>
          <w:rFonts w:ascii="Solpera" w:hAnsi="Solpera" w:cs="Arial"/>
        </w:rPr>
        <w:t>…………………………………..</w:t>
      </w:r>
      <w:r w:rsidRPr="00745D6D">
        <w:rPr>
          <w:rFonts w:ascii="Solpera" w:hAnsi="Solpera" w:cs="Arial"/>
        </w:rPr>
        <w:t xml:space="preserve"> dne </w:t>
      </w:r>
      <w:r w:rsidR="002E1D6F" w:rsidRPr="00745D6D">
        <w:rPr>
          <w:rFonts w:ascii="Solpera" w:hAnsi="Solpera" w:cs="Arial"/>
        </w:rPr>
        <w:t>…..</w:t>
      </w:r>
      <w:r w:rsidR="003123A0" w:rsidRPr="00745D6D">
        <w:rPr>
          <w:rFonts w:ascii="Solpera" w:hAnsi="Solpera" w:cs="Arial"/>
        </w:rPr>
        <w:t>..................</w:t>
      </w:r>
    </w:p>
    <w:p w14:paraId="2E8653EB" w14:textId="77777777" w:rsidR="00D275FA" w:rsidRPr="00745D6D" w:rsidRDefault="00D275FA" w:rsidP="00723204">
      <w:pPr>
        <w:jc w:val="both"/>
        <w:rPr>
          <w:rFonts w:ascii="Solpera" w:hAnsi="Solpera" w:cs="Arial"/>
        </w:rPr>
      </w:pPr>
    </w:p>
    <w:p w14:paraId="3A95C4F1" w14:textId="750489F7" w:rsidR="00D275FA" w:rsidRPr="00D275FA" w:rsidRDefault="00D275FA" w:rsidP="00D275FA">
      <w:pPr>
        <w:jc w:val="both"/>
        <w:rPr>
          <w:rFonts w:ascii="Solpera" w:hAnsi="Solpera" w:cs="Arial"/>
        </w:rPr>
      </w:pPr>
      <w:r w:rsidRPr="00D275FA">
        <w:rPr>
          <w:rFonts w:ascii="Solpera" w:hAnsi="Solpera" w:cs="Arial"/>
        </w:rPr>
        <w:t>Digitálně podepsal</w:t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  <w:t>Digitálně podepsal</w:t>
      </w:r>
    </w:p>
    <w:p w14:paraId="1EB13249" w14:textId="5276319A" w:rsidR="00D275FA" w:rsidRPr="00D275FA" w:rsidRDefault="00D275FA" w:rsidP="00D275FA">
      <w:pPr>
        <w:jc w:val="both"/>
        <w:rPr>
          <w:rFonts w:ascii="Solpera" w:hAnsi="Solpera" w:cs="Arial"/>
        </w:rPr>
      </w:pPr>
      <w:r w:rsidRPr="00D275FA">
        <w:rPr>
          <w:rFonts w:ascii="Solpera" w:hAnsi="Solpera" w:cs="Arial"/>
        </w:rPr>
        <w:t>Mgr. Filip Lýsek</w:t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  <w:t>Ing. arch Petr Dostál</w:t>
      </w:r>
    </w:p>
    <w:p w14:paraId="0EE2E11B" w14:textId="5E9BAC48" w:rsidR="00D275FA" w:rsidRPr="00D275FA" w:rsidRDefault="00D275FA" w:rsidP="00D275FA">
      <w:pPr>
        <w:jc w:val="both"/>
        <w:rPr>
          <w:rFonts w:ascii="Solpera" w:hAnsi="Solpera" w:cs="Arial"/>
        </w:rPr>
      </w:pPr>
      <w:r w:rsidRPr="00D275FA">
        <w:rPr>
          <w:rFonts w:ascii="Solpera" w:hAnsi="Solpera" w:cs="Arial"/>
        </w:rPr>
        <w:t>Datum: 2024.0</w:t>
      </w:r>
      <w:r>
        <w:rPr>
          <w:rFonts w:ascii="Solpera" w:hAnsi="Solpera" w:cs="Arial"/>
        </w:rPr>
        <w:t>3</w:t>
      </w:r>
      <w:r w:rsidRPr="00D275FA">
        <w:rPr>
          <w:rFonts w:ascii="Solpera" w:hAnsi="Solpera" w:cs="Arial"/>
        </w:rPr>
        <w:t>.2</w:t>
      </w:r>
      <w:r>
        <w:rPr>
          <w:rFonts w:ascii="Solpera" w:hAnsi="Solpera" w:cs="Arial"/>
        </w:rPr>
        <w:t>1</w:t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  <w:t>Datum: 2024.03.27</w:t>
      </w:r>
    </w:p>
    <w:p w14:paraId="4C50BFDD" w14:textId="31B13A76" w:rsidR="00074B0D" w:rsidRDefault="00D275FA" w:rsidP="00B15830">
      <w:pPr>
        <w:jc w:val="both"/>
        <w:rPr>
          <w:rFonts w:ascii="Solpera" w:hAnsi="Solpera" w:cs="Arial"/>
        </w:rPr>
      </w:pPr>
      <w:r>
        <w:rPr>
          <w:rFonts w:ascii="Solpera" w:hAnsi="Solpera" w:cs="Arial"/>
        </w:rPr>
        <w:t>11</w:t>
      </w:r>
      <w:r w:rsidRPr="00D275FA">
        <w:rPr>
          <w:rFonts w:ascii="Solpera" w:hAnsi="Solpera" w:cs="Arial"/>
        </w:rPr>
        <w:t>:</w:t>
      </w:r>
      <w:r>
        <w:rPr>
          <w:rFonts w:ascii="Solpera" w:hAnsi="Solpera" w:cs="Arial"/>
        </w:rPr>
        <w:t>54</w:t>
      </w:r>
      <w:r w:rsidRPr="00D275FA">
        <w:rPr>
          <w:rFonts w:ascii="Solpera" w:hAnsi="Solpera" w:cs="Arial"/>
        </w:rPr>
        <w:t>:</w:t>
      </w:r>
      <w:r>
        <w:rPr>
          <w:rFonts w:ascii="Solpera" w:hAnsi="Solpera" w:cs="Arial"/>
        </w:rPr>
        <w:t>22</w:t>
      </w:r>
      <w:r w:rsidRPr="00D275FA">
        <w:rPr>
          <w:rFonts w:ascii="Solpera" w:hAnsi="Solpera" w:cs="Arial"/>
        </w:rPr>
        <w:t xml:space="preserve"> +01'00'</w:t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</w:r>
      <w:r>
        <w:rPr>
          <w:rFonts w:ascii="Solpera" w:hAnsi="Solpera" w:cs="Arial"/>
        </w:rPr>
        <w:tab/>
        <w:t xml:space="preserve">07:30:33 </w:t>
      </w:r>
      <w:r w:rsidRPr="00D275FA">
        <w:rPr>
          <w:rFonts w:ascii="Solpera" w:hAnsi="Solpera" w:cs="Arial"/>
        </w:rPr>
        <w:t>+01'00'</w:t>
      </w:r>
    </w:p>
    <w:p w14:paraId="50DD6E15" w14:textId="77777777" w:rsidR="003123A0" w:rsidRPr="00745D6D" w:rsidRDefault="00255279" w:rsidP="00B15830">
      <w:pPr>
        <w:jc w:val="both"/>
        <w:rPr>
          <w:rFonts w:ascii="Solpera" w:hAnsi="Solpera" w:cs="Arial"/>
        </w:rPr>
      </w:pPr>
      <w:r w:rsidRPr="00745D6D">
        <w:rPr>
          <w:rFonts w:ascii="Solpera" w:hAnsi="Solpera" w:cs="Arial"/>
        </w:rPr>
        <w:t>……………………………………………………..</w:t>
      </w:r>
      <w:r w:rsidR="00B15830">
        <w:rPr>
          <w:rFonts w:ascii="Solpera" w:hAnsi="Solpera" w:cs="Arial"/>
        </w:rPr>
        <w:tab/>
      </w:r>
      <w:r w:rsidR="00B15830">
        <w:rPr>
          <w:rFonts w:ascii="Solpera" w:hAnsi="Solpera" w:cs="Arial"/>
        </w:rPr>
        <w:tab/>
      </w:r>
      <w:r w:rsidR="00B15830">
        <w:rPr>
          <w:rFonts w:ascii="Solpera" w:hAnsi="Solpera" w:cs="Arial"/>
        </w:rPr>
        <w:tab/>
      </w:r>
      <w:r w:rsidRPr="00745D6D">
        <w:rPr>
          <w:rFonts w:ascii="Solpera" w:hAnsi="Solpera" w:cs="Arial"/>
        </w:rPr>
        <w:t>………………</w:t>
      </w:r>
      <w:r w:rsidR="003123A0" w:rsidRPr="00745D6D">
        <w:rPr>
          <w:rFonts w:ascii="Solpera" w:hAnsi="Solpera" w:cs="Arial"/>
        </w:rPr>
        <w:t>…………………………………</w:t>
      </w:r>
    </w:p>
    <w:p w14:paraId="59D4EB93" w14:textId="77777777" w:rsidR="003123A0" w:rsidRPr="00745D6D" w:rsidRDefault="004D5AC7" w:rsidP="00B15830">
      <w:pPr>
        <w:jc w:val="both"/>
        <w:rPr>
          <w:rFonts w:ascii="Solpera" w:hAnsi="Solpera" w:cs="Arial"/>
        </w:rPr>
      </w:pPr>
      <w:r>
        <w:rPr>
          <w:rFonts w:ascii="Solpera" w:hAnsi="Solpera" w:cs="Arial"/>
        </w:rPr>
        <w:t>Mgr. Filip Lýsek</w:t>
      </w:r>
      <w:r w:rsidR="00B15830">
        <w:rPr>
          <w:rFonts w:ascii="Solpera" w:hAnsi="Solpera" w:cs="Arial"/>
        </w:rPr>
        <w:tab/>
      </w:r>
      <w:r w:rsidR="00B15830">
        <w:rPr>
          <w:rFonts w:ascii="Solpera" w:hAnsi="Solpera" w:cs="Arial"/>
        </w:rPr>
        <w:tab/>
      </w:r>
      <w:r w:rsidR="00B15830">
        <w:rPr>
          <w:rFonts w:ascii="Solpera" w:hAnsi="Solpera" w:cs="Arial"/>
        </w:rPr>
        <w:tab/>
      </w:r>
      <w:r w:rsidR="003123A0" w:rsidRPr="00745D6D">
        <w:rPr>
          <w:rFonts w:ascii="Solpera" w:hAnsi="Solpera" w:cs="Arial"/>
        </w:rPr>
        <w:tab/>
      </w:r>
      <w:r w:rsidR="003123A0" w:rsidRPr="00745D6D">
        <w:rPr>
          <w:rFonts w:ascii="Solpera" w:hAnsi="Solpera" w:cs="Arial"/>
        </w:rPr>
        <w:tab/>
      </w:r>
      <w:r w:rsidR="00723204">
        <w:rPr>
          <w:rFonts w:ascii="Solpera" w:hAnsi="Solpera" w:cs="Arial"/>
        </w:rPr>
        <w:t>Ing. arch. Petr Dostál</w:t>
      </w:r>
    </w:p>
    <w:sectPr w:rsidR="003123A0" w:rsidRPr="00745D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B507" w14:textId="77777777" w:rsidR="00362121" w:rsidRDefault="00362121" w:rsidP="001E664F">
      <w:r>
        <w:separator/>
      </w:r>
    </w:p>
  </w:endnote>
  <w:endnote w:type="continuationSeparator" w:id="0">
    <w:p w14:paraId="7A544545" w14:textId="77777777" w:rsidR="00362121" w:rsidRDefault="00362121" w:rsidP="001E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ightDisp Pro Book">
    <w:altName w:val="Calibri"/>
    <w:panose1 w:val="00000000000000000000"/>
    <w:charset w:val="00"/>
    <w:family w:val="modern"/>
    <w:notTrueType/>
    <w:pitch w:val="variable"/>
    <w:sig w:usb0="A00000AF" w:usb1="500004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pera">
    <w:altName w:val="Times New Roman"/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845700"/>
      <w:docPartObj>
        <w:docPartGallery w:val="Page Numbers (Bottom of Page)"/>
        <w:docPartUnique/>
      </w:docPartObj>
    </w:sdtPr>
    <w:sdtEndPr>
      <w:rPr>
        <w:rFonts w:ascii="Solpera" w:hAnsi="Solpera"/>
        <w:sz w:val="18"/>
        <w:szCs w:val="18"/>
      </w:rPr>
    </w:sdtEndPr>
    <w:sdtContent>
      <w:p w14:paraId="5DAC0184" w14:textId="77777777" w:rsidR="00AD6B78" w:rsidRPr="00B15830" w:rsidRDefault="00AD6B78">
        <w:pPr>
          <w:pStyle w:val="Zpat"/>
          <w:jc w:val="center"/>
          <w:rPr>
            <w:rFonts w:ascii="Solpera" w:hAnsi="Solpera"/>
            <w:sz w:val="18"/>
            <w:szCs w:val="18"/>
          </w:rPr>
        </w:pPr>
        <w:r w:rsidRPr="00B15830">
          <w:rPr>
            <w:rFonts w:ascii="Solpera" w:hAnsi="Solpera"/>
            <w:sz w:val="18"/>
            <w:szCs w:val="18"/>
          </w:rPr>
          <w:fldChar w:fldCharType="begin"/>
        </w:r>
        <w:r w:rsidRPr="00B15830">
          <w:rPr>
            <w:rFonts w:ascii="Solpera" w:hAnsi="Solpera"/>
            <w:sz w:val="18"/>
            <w:szCs w:val="18"/>
          </w:rPr>
          <w:instrText>PAGE   \* MERGEFORMAT</w:instrText>
        </w:r>
        <w:r w:rsidRPr="00B15830">
          <w:rPr>
            <w:rFonts w:ascii="Solpera" w:hAnsi="Solpera"/>
            <w:sz w:val="18"/>
            <w:szCs w:val="18"/>
          </w:rPr>
          <w:fldChar w:fldCharType="separate"/>
        </w:r>
        <w:r w:rsidR="00074B0D">
          <w:rPr>
            <w:rFonts w:ascii="Solpera" w:hAnsi="Solpera"/>
            <w:noProof/>
            <w:sz w:val="18"/>
            <w:szCs w:val="18"/>
          </w:rPr>
          <w:t>4</w:t>
        </w:r>
        <w:r w:rsidRPr="00B15830">
          <w:rPr>
            <w:rFonts w:ascii="Solpera" w:hAnsi="Solpera"/>
            <w:sz w:val="18"/>
            <w:szCs w:val="18"/>
          </w:rPr>
          <w:fldChar w:fldCharType="end"/>
        </w:r>
      </w:p>
    </w:sdtContent>
  </w:sdt>
  <w:p w14:paraId="2AC2FC65" w14:textId="77777777" w:rsidR="00AD6B78" w:rsidRDefault="00AD6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CA97" w14:textId="77777777" w:rsidR="00362121" w:rsidRDefault="00362121" w:rsidP="001E664F">
      <w:r>
        <w:separator/>
      </w:r>
    </w:p>
  </w:footnote>
  <w:footnote w:type="continuationSeparator" w:id="0">
    <w:p w14:paraId="6AF302A6" w14:textId="77777777" w:rsidR="00362121" w:rsidRDefault="00362121" w:rsidP="001E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BAC"/>
    <w:multiLevelType w:val="hybridMultilevel"/>
    <w:tmpl w:val="05980FA0"/>
    <w:lvl w:ilvl="0" w:tplc="E3189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771CC"/>
    <w:multiLevelType w:val="hybridMultilevel"/>
    <w:tmpl w:val="81C8769C"/>
    <w:lvl w:ilvl="0" w:tplc="E2626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389"/>
    <w:multiLevelType w:val="hybridMultilevel"/>
    <w:tmpl w:val="92B6EA80"/>
    <w:lvl w:ilvl="0" w:tplc="04050017">
      <w:start w:val="1"/>
      <w:numFmt w:val="lowerLetter"/>
      <w:lvlText w:val="%1)"/>
      <w:lvlJc w:val="left"/>
      <w:pPr>
        <w:ind w:left="2057" w:hanging="360"/>
      </w:pPr>
    </w:lvl>
    <w:lvl w:ilvl="1" w:tplc="04050019" w:tentative="1">
      <w:start w:val="1"/>
      <w:numFmt w:val="lowerLetter"/>
      <w:lvlText w:val="%2."/>
      <w:lvlJc w:val="left"/>
      <w:pPr>
        <w:ind w:left="2777" w:hanging="360"/>
      </w:pPr>
    </w:lvl>
    <w:lvl w:ilvl="2" w:tplc="0405001B" w:tentative="1">
      <w:start w:val="1"/>
      <w:numFmt w:val="lowerRoman"/>
      <w:lvlText w:val="%3."/>
      <w:lvlJc w:val="right"/>
      <w:pPr>
        <w:ind w:left="3497" w:hanging="180"/>
      </w:pPr>
    </w:lvl>
    <w:lvl w:ilvl="3" w:tplc="0405000F" w:tentative="1">
      <w:start w:val="1"/>
      <w:numFmt w:val="decimal"/>
      <w:lvlText w:val="%4."/>
      <w:lvlJc w:val="left"/>
      <w:pPr>
        <w:ind w:left="4217" w:hanging="360"/>
      </w:pPr>
    </w:lvl>
    <w:lvl w:ilvl="4" w:tplc="04050019" w:tentative="1">
      <w:start w:val="1"/>
      <w:numFmt w:val="lowerLetter"/>
      <w:lvlText w:val="%5."/>
      <w:lvlJc w:val="left"/>
      <w:pPr>
        <w:ind w:left="4937" w:hanging="360"/>
      </w:pPr>
    </w:lvl>
    <w:lvl w:ilvl="5" w:tplc="0405001B" w:tentative="1">
      <w:start w:val="1"/>
      <w:numFmt w:val="lowerRoman"/>
      <w:lvlText w:val="%6."/>
      <w:lvlJc w:val="right"/>
      <w:pPr>
        <w:ind w:left="5657" w:hanging="180"/>
      </w:pPr>
    </w:lvl>
    <w:lvl w:ilvl="6" w:tplc="0405000F" w:tentative="1">
      <w:start w:val="1"/>
      <w:numFmt w:val="decimal"/>
      <w:lvlText w:val="%7."/>
      <w:lvlJc w:val="left"/>
      <w:pPr>
        <w:ind w:left="6377" w:hanging="360"/>
      </w:pPr>
    </w:lvl>
    <w:lvl w:ilvl="7" w:tplc="04050019" w:tentative="1">
      <w:start w:val="1"/>
      <w:numFmt w:val="lowerLetter"/>
      <w:lvlText w:val="%8."/>
      <w:lvlJc w:val="left"/>
      <w:pPr>
        <w:ind w:left="7097" w:hanging="360"/>
      </w:pPr>
    </w:lvl>
    <w:lvl w:ilvl="8" w:tplc="0405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3" w15:restartNumberingAfterBreak="0">
    <w:nsid w:val="0FA60041"/>
    <w:multiLevelType w:val="hybridMultilevel"/>
    <w:tmpl w:val="729A1F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02F8"/>
    <w:multiLevelType w:val="hybridMultilevel"/>
    <w:tmpl w:val="2A22C7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1757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13C06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97D19"/>
    <w:multiLevelType w:val="hybridMultilevel"/>
    <w:tmpl w:val="E53007C0"/>
    <w:lvl w:ilvl="0" w:tplc="7E6A2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1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406DA"/>
    <w:multiLevelType w:val="hybridMultilevel"/>
    <w:tmpl w:val="44E8C428"/>
    <w:lvl w:ilvl="0" w:tplc="FC748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588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FreightDisp Pro Book" w:eastAsia="Calibri" w:hAnsi="FreightDisp Pro Book" w:cs="Arial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80405"/>
    <w:multiLevelType w:val="hybridMultilevel"/>
    <w:tmpl w:val="8FD8DC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C752F"/>
    <w:multiLevelType w:val="hybridMultilevel"/>
    <w:tmpl w:val="04EE8F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4229E"/>
    <w:multiLevelType w:val="hybridMultilevel"/>
    <w:tmpl w:val="729A1F6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036B5"/>
    <w:multiLevelType w:val="hybridMultilevel"/>
    <w:tmpl w:val="148803E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F9068C"/>
    <w:multiLevelType w:val="hybridMultilevel"/>
    <w:tmpl w:val="9092B4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740D3C"/>
    <w:multiLevelType w:val="hybridMultilevel"/>
    <w:tmpl w:val="ECDC5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B6F60"/>
    <w:multiLevelType w:val="hybridMultilevel"/>
    <w:tmpl w:val="0FD82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9C3415"/>
    <w:multiLevelType w:val="hybridMultilevel"/>
    <w:tmpl w:val="93A0E982"/>
    <w:lvl w:ilvl="0" w:tplc="C3BA3706">
      <w:start w:val="3"/>
      <w:numFmt w:val="decimal"/>
      <w:lvlText w:val="%1."/>
      <w:lvlJc w:val="left"/>
      <w:pPr>
        <w:ind w:left="1146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63FB4"/>
    <w:multiLevelType w:val="hybridMultilevel"/>
    <w:tmpl w:val="5E984C5A"/>
    <w:lvl w:ilvl="0" w:tplc="7BEC7642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73022"/>
    <w:multiLevelType w:val="multilevel"/>
    <w:tmpl w:val="FCACDED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A8E0B7F"/>
    <w:multiLevelType w:val="hybridMultilevel"/>
    <w:tmpl w:val="6798889C"/>
    <w:lvl w:ilvl="0" w:tplc="715C6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11624"/>
    <w:multiLevelType w:val="hybridMultilevel"/>
    <w:tmpl w:val="56C8CA6A"/>
    <w:lvl w:ilvl="0" w:tplc="C8CA7994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677B"/>
    <w:multiLevelType w:val="hybridMultilevel"/>
    <w:tmpl w:val="2F30CE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8714AF"/>
    <w:multiLevelType w:val="hybridMultilevel"/>
    <w:tmpl w:val="76FADE3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31F3B10"/>
    <w:multiLevelType w:val="hybridMultilevel"/>
    <w:tmpl w:val="0B74B9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A41C2F"/>
    <w:multiLevelType w:val="hybridMultilevel"/>
    <w:tmpl w:val="D3561F5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50238F"/>
    <w:multiLevelType w:val="hybridMultilevel"/>
    <w:tmpl w:val="A93A8188"/>
    <w:lvl w:ilvl="0" w:tplc="DC08B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8F34BC"/>
    <w:multiLevelType w:val="hybridMultilevel"/>
    <w:tmpl w:val="A2FACCE2"/>
    <w:lvl w:ilvl="0" w:tplc="E0E41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F1359"/>
    <w:multiLevelType w:val="hybridMultilevel"/>
    <w:tmpl w:val="53A666DA"/>
    <w:lvl w:ilvl="0" w:tplc="303010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D397F"/>
    <w:multiLevelType w:val="hybridMultilevel"/>
    <w:tmpl w:val="E836F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860011"/>
    <w:multiLevelType w:val="hybridMultilevel"/>
    <w:tmpl w:val="FF029602"/>
    <w:lvl w:ilvl="0" w:tplc="60307488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DE2B73"/>
    <w:multiLevelType w:val="multilevel"/>
    <w:tmpl w:val="58FC43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2" w15:restartNumberingAfterBreak="0">
    <w:nsid w:val="5A0941B6"/>
    <w:multiLevelType w:val="hybridMultilevel"/>
    <w:tmpl w:val="2A5210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7868B5"/>
    <w:multiLevelType w:val="hybridMultilevel"/>
    <w:tmpl w:val="4D5A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22350"/>
    <w:multiLevelType w:val="hybridMultilevel"/>
    <w:tmpl w:val="27541E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6E6A1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A082F"/>
    <w:multiLevelType w:val="hybridMultilevel"/>
    <w:tmpl w:val="916C6DE8"/>
    <w:lvl w:ilvl="0" w:tplc="0405000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126F48"/>
    <w:multiLevelType w:val="hybridMultilevel"/>
    <w:tmpl w:val="D146EF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181D57"/>
    <w:multiLevelType w:val="hybridMultilevel"/>
    <w:tmpl w:val="8884A732"/>
    <w:lvl w:ilvl="0" w:tplc="63DA154A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 w15:restartNumberingAfterBreak="0">
    <w:nsid w:val="69D841A8"/>
    <w:multiLevelType w:val="hybridMultilevel"/>
    <w:tmpl w:val="DB7836C0"/>
    <w:lvl w:ilvl="0" w:tplc="EB7214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86F4B"/>
    <w:multiLevelType w:val="hybridMultilevel"/>
    <w:tmpl w:val="E3CA52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50645"/>
    <w:multiLevelType w:val="hybridMultilevel"/>
    <w:tmpl w:val="9094FDD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A89314F"/>
    <w:multiLevelType w:val="hybridMultilevel"/>
    <w:tmpl w:val="DF4CFCA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9"/>
  </w:num>
  <w:num w:numId="18">
    <w:abstractNumId w:val="25"/>
  </w:num>
  <w:num w:numId="19">
    <w:abstractNumId w:val="0"/>
  </w:num>
  <w:num w:numId="20">
    <w:abstractNumId w:val="12"/>
  </w:num>
  <w:num w:numId="21">
    <w:abstractNumId w:val="1"/>
  </w:num>
  <w:num w:numId="22">
    <w:abstractNumId w:val="15"/>
  </w:num>
  <w:num w:numId="23">
    <w:abstractNumId w:val="16"/>
  </w:num>
  <w:num w:numId="24">
    <w:abstractNumId w:val="4"/>
  </w:num>
  <w:num w:numId="25">
    <w:abstractNumId w:val="41"/>
  </w:num>
  <w:num w:numId="26">
    <w:abstractNumId w:val="20"/>
  </w:num>
  <w:num w:numId="27">
    <w:abstractNumId w:val="17"/>
  </w:num>
  <w:num w:numId="28">
    <w:abstractNumId w:val="2"/>
  </w:num>
  <w:num w:numId="29">
    <w:abstractNumId w:val="21"/>
  </w:num>
  <w:num w:numId="30">
    <w:abstractNumId w:val="28"/>
  </w:num>
  <w:num w:numId="31">
    <w:abstractNumId w:val="40"/>
  </w:num>
  <w:num w:numId="32">
    <w:abstractNumId w:val="7"/>
  </w:num>
  <w:num w:numId="33">
    <w:abstractNumId w:val="27"/>
  </w:num>
  <w:num w:numId="34">
    <w:abstractNumId w:val="3"/>
  </w:num>
  <w:num w:numId="35">
    <w:abstractNumId w:val="38"/>
  </w:num>
  <w:num w:numId="36">
    <w:abstractNumId w:val="23"/>
  </w:num>
  <w:num w:numId="37">
    <w:abstractNumId w:val="18"/>
  </w:num>
  <w:num w:numId="38">
    <w:abstractNumId w:val="33"/>
  </w:num>
  <w:num w:numId="39">
    <w:abstractNumId w:val="31"/>
  </w:num>
  <w:num w:numId="40">
    <w:abstractNumId w:val="13"/>
  </w:num>
  <w:num w:numId="41">
    <w:abstractNumId w:val="19"/>
  </w:num>
  <w:num w:numId="42">
    <w:abstractNumId w:val="36"/>
  </w:num>
  <w:num w:numId="43">
    <w:abstractNumId w:val="24"/>
  </w:num>
  <w:num w:numId="44">
    <w:abstractNumId w:val="22"/>
  </w:num>
  <w:num w:numId="45">
    <w:abstractNumId w:val="1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3A0"/>
    <w:rsid w:val="0001364E"/>
    <w:rsid w:val="000625C2"/>
    <w:rsid w:val="00074B0D"/>
    <w:rsid w:val="000C7CA2"/>
    <w:rsid w:val="00110AEA"/>
    <w:rsid w:val="001149FB"/>
    <w:rsid w:val="0012102B"/>
    <w:rsid w:val="001E350A"/>
    <w:rsid w:val="001E664F"/>
    <w:rsid w:val="002165E7"/>
    <w:rsid w:val="0024133B"/>
    <w:rsid w:val="00255279"/>
    <w:rsid w:val="00283D78"/>
    <w:rsid w:val="00292F9A"/>
    <w:rsid w:val="002E1D6F"/>
    <w:rsid w:val="003009F4"/>
    <w:rsid w:val="003123A0"/>
    <w:rsid w:val="00325AF0"/>
    <w:rsid w:val="00362121"/>
    <w:rsid w:val="00387FA7"/>
    <w:rsid w:val="00393031"/>
    <w:rsid w:val="00395558"/>
    <w:rsid w:val="003A4A96"/>
    <w:rsid w:val="003C7572"/>
    <w:rsid w:val="003E2503"/>
    <w:rsid w:val="003F22A1"/>
    <w:rsid w:val="00403FFF"/>
    <w:rsid w:val="00405590"/>
    <w:rsid w:val="004431AD"/>
    <w:rsid w:val="004479BF"/>
    <w:rsid w:val="0048499D"/>
    <w:rsid w:val="004D5AC7"/>
    <w:rsid w:val="004E5CE8"/>
    <w:rsid w:val="00513281"/>
    <w:rsid w:val="00537C28"/>
    <w:rsid w:val="00541F7E"/>
    <w:rsid w:val="0054776E"/>
    <w:rsid w:val="0059273B"/>
    <w:rsid w:val="005A0C53"/>
    <w:rsid w:val="005C46A9"/>
    <w:rsid w:val="005C709B"/>
    <w:rsid w:val="00613947"/>
    <w:rsid w:val="006461D9"/>
    <w:rsid w:val="006646A5"/>
    <w:rsid w:val="00687733"/>
    <w:rsid w:val="006D0BC0"/>
    <w:rsid w:val="006D6034"/>
    <w:rsid w:val="006E4DA2"/>
    <w:rsid w:val="00723204"/>
    <w:rsid w:val="00745D6D"/>
    <w:rsid w:val="00772AED"/>
    <w:rsid w:val="00773B44"/>
    <w:rsid w:val="00775837"/>
    <w:rsid w:val="007764B5"/>
    <w:rsid w:val="007C1782"/>
    <w:rsid w:val="007C6802"/>
    <w:rsid w:val="00854050"/>
    <w:rsid w:val="0086275F"/>
    <w:rsid w:val="00895605"/>
    <w:rsid w:val="008C2383"/>
    <w:rsid w:val="008C38D2"/>
    <w:rsid w:val="00933F2F"/>
    <w:rsid w:val="00973742"/>
    <w:rsid w:val="0099635A"/>
    <w:rsid w:val="009F0CFA"/>
    <w:rsid w:val="00A31808"/>
    <w:rsid w:val="00A44A19"/>
    <w:rsid w:val="00A65FC6"/>
    <w:rsid w:val="00AD6B78"/>
    <w:rsid w:val="00B15830"/>
    <w:rsid w:val="00B35745"/>
    <w:rsid w:val="00B64AB3"/>
    <w:rsid w:val="00BC2E47"/>
    <w:rsid w:val="00C03673"/>
    <w:rsid w:val="00C12D6C"/>
    <w:rsid w:val="00C44C59"/>
    <w:rsid w:val="00C6031A"/>
    <w:rsid w:val="00D12A94"/>
    <w:rsid w:val="00D26308"/>
    <w:rsid w:val="00D2750C"/>
    <w:rsid w:val="00D275FA"/>
    <w:rsid w:val="00D573CB"/>
    <w:rsid w:val="00DC5A37"/>
    <w:rsid w:val="00E177AD"/>
    <w:rsid w:val="00E17F9D"/>
    <w:rsid w:val="00E830F4"/>
    <w:rsid w:val="00E91C32"/>
    <w:rsid w:val="00E936E2"/>
    <w:rsid w:val="00EA0E5C"/>
    <w:rsid w:val="00ED19AD"/>
    <w:rsid w:val="00EE6AC9"/>
    <w:rsid w:val="00EF3000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39E"/>
  <w15:chartTrackingRefBased/>
  <w15:docId w15:val="{5DAF4AB4-6466-46B3-A944-D91F52C6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3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Nadpis1">
    <w:name w:val="heading 1"/>
    <w:basedOn w:val="Normln"/>
    <w:link w:val="Nadpis1Char"/>
    <w:autoRedefine/>
    <w:qFormat/>
    <w:rsid w:val="003009F4"/>
    <w:pPr>
      <w:keepNext/>
      <w:keepLines/>
      <w:numPr>
        <w:numId w:val="41"/>
      </w:numPr>
      <w:spacing w:before="240" w:after="60"/>
      <w:ind w:left="431" w:hanging="431"/>
      <w:jc w:val="center"/>
      <w:outlineLvl w:val="0"/>
    </w:pPr>
    <w:rPr>
      <w:rFonts w:ascii="Solpera" w:eastAsia="Times New Roman" w:hAnsi="Solpera"/>
      <w:b/>
      <w:bCs/>
      <w:kern w:val="3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65FC6"/>
    <w:pPr>
      <w:keepNext/>
      <w:keepLines/>
      <w:numPr>
        <w:ilvl w:val="1"/>
        <w:numId w:val="41"/>
      </w:numPr>
      <w:spacing w:after="60"/>
      <w:ind w:left="578" w:hanging="578"/>
      <w:jc w:val="both"/>
      <w:outlineLvl w:val="1"/>
    </w:pPr>
    <w:rPr>
      <w:rFonts w:ascii="Solpera" w:eastAsiaTheme="majorEastAsia" w:hAnsi="Solper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5A37"/>
    <w:pPr>
      <w:keepNext/>
      <w:keepLines/>
      <w:numPr>
        <w:ilvl w:val="2"/>
        <w:numId w:val="4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A37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5A37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5A37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23A0"/>
    <w:pPr>
      <w:numPr>
        <w:ilvl w:val="6"/>
        <w:numId w:val="41"/>
      </w:numPr>
      <w:spacing w:before="240" w:after="60"/>
      <w:outlineLvl w:val="6"/>
    </w:pPr>
    <w:rPr>
      <w:rFonts w:eastAsia="Times New Roman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5A37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5A37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09F4"/>
    <w:rPr>
      <w:rFonts w:ascii="Solpera" w:eastAsia="Times New Roman" w:hAnsi="Solpera" w:cs="Times New Roman"/>
      <w:b/>
      <w:bCs/>
      <w:kern w:val="36"/>
      <w:sz w:val="24"/>
      <w:szCs w:val="32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23A0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12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23A0"/>
    <w:rPr>
      <w:rFonts w:ascii="Calibri" w:eastAsia="Calibri" w:hAnsi="Calibri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123A0"/>
    <w:pPr>
      <w:widowControl w:val="0"/>
      <w:suppressAutoHyphens/>
      <w:autoSpaceDN w:val="0"/>
      <w:spacing w:after="120"/>
    </w:pPr>
    <w:rPr>
      <w:rFonts w:ascii="Times New Roman" w:eastAsia="Times New Roman" w:hAnsi="Times New Roman"/>
      <w:kern w:val="3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123A0"/>
    <w:rPr>
      <w:rFonts w:ascii="Times New Roman" w:eastAsia="Times New Roman" w:hAnsi="Times New Roman" w:cs="Times New Roman"/>
      <w:kern w:val="3"/>
      <w:sz w:val="20"/>
      <w:szCs w:val="20"/>
      <w:lang w:val="x-none" w:eastAsia="x-none"/>
    </w:rPr>
  </w:style>
  <w:style w:type="paragraph" w:customStyle="1" w:styleId="Zpat1">
    <w:name w:val="Zápatí1"/>
    <w:basedOn w:val="Normln"/>
    <w:rsid w:val="003123A0"/>
    <w:pPr>
      <w:suppressLineNumbers/>
      <w:tabs>
        <w:tab w:val="center" w:pos="4536"/>
        <w:tab w:val="right" w:pos="9072"/>
      </w:tabs>
      <w:suppressAutoHyphens/>
      <w:autoSpaceDN w:val="0"/>
    </w:pPr>
    <w:rPr>
      <w:rFonts w:ascii="Times New Roman" w:eastAsia="Times New Roman" w:hAnsi="Times New Roman"/>
      <w:kern w:val="3"/>
      <w:lang w:eastAsia="cs-CZ"/>
    </w:rPr>
  </w:style>
  <w:style w:type="paragraph" w:styleId="Odstavecseseznamem">
    <w:name w:val="List Paragraph"/>
    <w:basedOn w:val="Normln"/>
    <w:uiPriority w:val="34"/>
    <w:qFormat/>
    <w:rsid w:val="002165E7"/>
    <w:pPr>
      <w:ind w:left="720"/>
      <w:contextualSpacing/>
    </w:pPr>
  </w:style>
  <w:style w:type="table" w:styleId="Mkatabulky">
    <w:name w:val="Table Grid"/>
    <w:basedOn w:val="Normlntabulka"/>
    <w:uiPriority w:val="39"/>
    <w:rsid w:val="0097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E6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664F"/>
    <w:rPr>
      <w:rFonts w:ascii="Calibri" w:eastAsia="Calibri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77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776E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79B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65FC6"/>
    <w:rPr>
      <w:rFonts w:ascii="Solpera" w:eastAsiaTheme="majorEastAsia" w:hAnsi="Solpera" w:cstheme="majorBidi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5A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A3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5A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5A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5A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5A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1702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Petrovský</dc:creator>
  <cp:keywords/>
  <dc:description/>
  <cp:lastModifiedBy>Marek Budějcký</cp:lastModifiedBy>
  <cp:revision>3</cp:revision>
  <cp:lastPrinted>2020-05-11T14:04:00Z</cp:lastPrinted>
  <dcterms:created xsi:type="dcterms:W3CDTF">2024-03-27T08:07:00Z</dcterms:created>
  <dcterms:modified xsi:type="dcterms:W3CDTF">2024-03-27T08:08:00Z</dcterms:modified>
</cp:coreProperties>
</file>