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2AAA4" w14:textId="0BC209D9" w:rsidR="00660923" w:rsidRDefault="00660923" w:rsidP="00660923">
      <w:pPr>
        <w:jc w:val="right"/>
        <w:rPr>
          <w:b/>
          <w:bCs/>
        </w:rPr>
      </w:pPr>
      <w:r>
        <w:rPr>
          <w:b/>
          <w:bCs/>
        </w:rPr>
        <w:t xml:space="preserve">Č.J. NR/N/ </w:t>
      </w:r>
      <w:r w:rsidR="00F55362">
        <w:rPr>
          <w:b/>
          <w:bCs/>
        </w:rPr>
        <w:t>23</w:t>
      </w:r>
      <w:r w:rsidR="004A47A1">
        <w:rPr>
          <w:b/>
          <w:bCs/>
        </w:rPr>
        <w:t xml:space="preserve">   /20</w:t>
      </w:r>
      <w:r w:rsidR="004E38E7">
        <w:rPr>
          <w:b/>
          <w:bCs/>
        </w:rPr>
        <w:t>2</w:t>
      </w:r>
      <w:r w:rsidR="00F55362">
        <w:rPr>
          <w:b/>
          <w:bCs/>
        </w:rPr>
        <w:t>4</w:t>
      </w:r>
    </w:p>
    <w:p w14:paraId="6BC9084D" w14:textId="77777777" w:rsidR="00660923" w:rsidRDefault="00660923" w:rsidP="00660923">
      <w:pPr>
        <w:jc w:val="center"/>
        <w:rPr>
          <w:b/>
          <w:bCs/>
        </w:rPr>
      </w:pPr>
    </w:p>
    <w:p w14:paraId="1A50710E" w14:textId="77777777" w:rsidR="00660923" w:rsidRDefault="00660923" w:rsidP="00660923">
      <w:pPr>
        <w:jc w:val="center"/>
        <w:rPr>
          <w:b/>
          <w:bCs/>
          <w:sz w:val="28"/>
        </w:rPr>
      </w:pPr>
      <w:r>
        <w:rPr>
          <w:b/>
          <w:bCs/>
          <w:sz w:val="28"/>
        </w:rPr>
        <w:t>S M L O U VA O NÁJMU NEBYTOVÝCH PROSTOR</w:t>
      </w:r>
    </w:p>
    <w:p w14:paraId="1B0DDBF6" w14:textId="77777777" w:rsidR="00660923" w:rsidRDefault="00660923" w:rsidP="00660923">
      <w:pPr>
        <w:jc w:val="center"/>
        <w:rPr>
          <w:bCs/>
        </w:rPr>
      </w:pPr>
      <w:r>
        <w:rPr>
          <w:bCs/>
        </w:rPr>
        <w:t>(dále jen „</w:t>
      </w:r>
      <w:r w:rsidRPr="00E277B5">
        <w:rPr>
          <w:b/>
          <w:bCs/>
        </w:rPr>
        <w:t>smlouva</w:t>
      </w:r>
      <w:r>
        <w:rPr>
          <w:bCs/>
        </w:rPr>
        <w:t>“)</w:t>
      </w:r>
    </w:p>
    <w:p w14:paraId="7DBC36D8" w14:textId="77777777" w:rsidR="00660923" w:rsidRDefault="00660923" w:rsidP="00660923">
      <w:pPr>
        <w:jc w:val="center"/>
      </w:pPr>
      <w:r>
        <w:t>uzavřená na základě zákona č. 89/2012 Sb., občanský zákoník</w:t>
      </w:r>
    </w:p>
    <w:p w14:paraId="3890EB70" w14:textId="77777777" w:rsidR="00660923" w:rsidRDefault="00660923" w:rsidP="00660923">
      <w:pPr>
        <w:spacing w:before="120" w:line="240" w:lineRule="atLeast"/>
        <w:jc w:val="center"/>
      </w:pPr>
      <w:r>
        <w:t>mezi</w:t>
      </w:r>
    </w:p>
    <w:p w14:paraId="2AA501FA" w14:textId="77777777" w:rsidR="00660923" w:rsidRDefault="00660923" w:rsidP="00660923">
      <w:pPr>
        <w:spacing w:before="120"/>
        <w:rPr>
          <w:b/>
          <w:bCs/>
        </w:rPr>
      </w:pPr>
      <w:r>
        <w:rPr>
          <w:b/>
        </w:rPr>
        <w:t>Novoměstská radnice, příspěvková organizace</w:t>
      </w:r>
      <w:r>
        <w:rPr>
          <w:b/>
          <w:bCs/>
        </w:rPr>
        <w:t xml:space="preserve"> </w:t>
      </w:r>
    </w:p>
    <w:p w14:paraId="1749A8F1" w14:textId="77777777" w:rsidR="00660923" w:rsidRDefault="00660923" w:rsidP="00660923">
      <w:pPr>
        <w:ind w:firstLine="426"/>
      </w:pPr>
      <w:r>
        <w:t>sídlo:</w:t>
      </w:r>
      <w:r>
        <w:tab/>
      </w:r>
      <w:r>
        <w:tab/>
      </w:r>
      <w:r>
        <w:tab/>
        <w:t>Karlovo nám. 1/23, 120 00 Praha 2</w:t>
      </w:r>
    </w:p>
    <w:p w14:paraId="7FE2E636" w14:textId="77777777" w:rsidR="00660923" w:rsidRDefault="00660923" w:rsidP="00660923">
      <w:pPr>
        <w:ind w:firstLine="426"/>
      </w:pPr>
      <w:r>
        <w:t xml:space="preserve">IČ:  </w:t>
      </w:r>
      <w:r>
        <w:tab/>
      </w:r>
      <w:r>
        <w:tab/>
      </w:r>
      <w:r>
        <w:tab/>
        <w:t>75092972</w:t>
      </w:r>
    </w:p>
    <w:p w14:paraId="3EA69C74" w14:textId="77777777" w:rsidR="00660923" w:rsidRDefault="00660923" w:rsidP="00660923">
      <w:pPr>
        <w:ind w:firstLine="426"/>
      </w:pPr>
      <w:r>
        <w:t>DIČ:</w:t>
      </w:r>
      <w:r>
        <w:tab/>
      </w:r>
      <w:r>
        <w:tab/>
      </w:r>
      <w:r>
        <w:tab/>
        <w:t>CZ75092972</w:t>
      </w:r>
    </w:p>
    <w:p w14:paraId="18CCEB47" w14:textId="77777777" w:rsidR="00660923" w:rsidRDefault="00660923" w:rsidP="00660923">
      <w:pPr>
        <w:ind w:firstLine="426"/>
      </w:pPr>
      <w:r>
        <w:t>zastoupena:</w:t>
      </w:r>
      <w:r>
        <w:tab/>
      </w:r>
      <w:r>
        <w:tab/>
        <w:t>Mgr. Albertem Kubištou, ředitelem</w:t>
      </w:r>
    </w:p>
    <w:p w14:paraId="086AD42B" w14:textId="78A556C2" w:rsidR="00660923" w:rsidRDefault="00660923" w:rsidP="00660923">
      <w:pPr>
        <w:ind w:firstLine="426"/>
      </w:pPr>
      <w:r>
        <w:t>bankovní spojení:</w:t>
      </w:r>
      <w:r>
        <w:tab/>
      </w:r>
      <w:r w:rsidR="00C4016B">
        <w:t>Fio Banka, a.s.</w:t>
      </w:r>
    </w:p>
    <w:p w14:paraId="055A3324" w14:textId="70621B57" w:rsidR="00660923" w:rsidRDefault="00660923" w:rsidP="00660923">
      <w:pPr>
        <w:ind w:firstLine="426"/>
      </w:pPr>
      <w:r>
        <w:t>číslo účtu:</w:t>
      </w:r>
      <w:r>
        <w:tab/>
      </w:r>
      <w:r>
        <w:tab/>
      </w:r>
      <w:r w:rsidR="003C4D9D">
        <w:t>2401851809/2010</w:t>
      </w:r>
    </w:p>
    <w:p w14:paraId="7068A46C" w14:textId="77777777"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14:paraId="7978B3D9" w14:textId="77777777" w:rsidR="00660923" w:rsidRDefault="00660923" w:rsidP="00660923">
      <w:pPr>
        <w:spacing w:before="120"/>
        <w:ind w:left="426"/>
      </w:pPr>
      <w:r>
        <w:t>(dále jen „</w:t>
      </w:r>
      <w:r>
        <w:rPr>
          <w:i/>
          <w:iCs/>
        </w:rPr>
        <w:t>NR</w:t>
      </w:r>
      <w:r>
        <w:t>“),</w:t>
      </w:r>
    </w:p>
    <w:p w14:paraId="26988C56" w14:textId="77777777" w:rsidR="00660923" w:rsidRDefault="00660923" w:rsidP="00660923">
      <w:pPr>
        <w:rPr>
          <w:sz w:val="22"/>
        </w:rPr>
      </w:pPr>
    </w:p>
    <w:p w14:paraId="454C8680" w14:textId="77777777" w:rsidR="00660923" w:rsidRDefault="00660923" w:rsidP="00660923">
      <w:pPr>
        <w:jc w:val="center"/>
        <w:rPr>
          <w:sz w:val="22"/>
        </w:rPr>
      </w:pPr>
      <w:r>
        <w:rPr>
          <w:sz w:val="22"/>
        </w:rPr>
        <w:t>a</w:t>
      </w:r>
    </w:p>
    <w:p w14:paraId="23D0AC60" w14:textId="77777777" w:rsidR="00660923" w:rsidRDefault="00660923" w:rsidP="00660923">
      <w:pPr>
        <w:jc w:val="center"/>
        <w:rPr>
          <w:sz w:val="22"/>
        </w:rPr>
      </w:pPr>
    </w:p>
    <w:p w14:paraId="1771AA7B" w14:textId="77777777" w:rsidR="00660923" w:rsidRDefault="00660923" w:rsidP="00660923">
      <w:pPr>
        <w:jc w:val="center"/>
        <w:rPr>
          <w:sz w:val="22"/>
        </w:rPr>
      </w:pPr>
    </w:p>
    <w:p w14:paraId="7EA5EEB9" w14:textId="77777777"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9C3A04">
        <w:rPr>
          <w:rFonts w:ascii="Times New Roman" w:hAnsi="Times New Roman" w:cs="Times New Roman"/>
          <w:b/>
          <w:bCs/>
          <w:sz w:val="24"/>
          <w:szCs w:val="24"/>
        </w:rPr>
        <w:t>GALEN – SYMPOSION, s.r.o.</w:t>
      </w:r>
    </w:p>
    <w:p w14:paraId="3EC41855" w14:textId="77777777" w:rsidR="00660923" w:rsidRPr="00FC37E1"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Pr>
          <w:color w:val="333333"/>
          <w:sz w:val="18"/>
          <w:szCs w:val="18"/>
        </w:rPr>
        <w:tab/>
      </w:r>
      <w:r>
        <w:rPr>
          <w:color w:val="333333"/>
          <w:sz w:val="18"/>
          <w:szCs w:val="18"/>
        </w:rPr>
        <w:tab/>
      </w:r>
      <w:r>
        <w:rPr>
          <w:color w:val="333333"/>
          <w:sz w:val="18"/>
          <w:szCs w:val="18"/>
        </w:rPr>
        <w:tab/>
      </w:r>
      <w:r w:rsidR="009C3A04">
        <w:rPr>
          <w:rFonts w:ascii="Times New Roman" w:hAnsi="Times New Roman" w:cs="Times New Roman"/>
          <w:sz w:val="24"/>
          <w:szCs w:val="24"/>
        </w:rPr>
        <w:t>Vinohradská 343/6, 120 00 Praha 2</w:t>
      </w:r>
    </w:p>
    <w:p w14:paraId="03E648BA" w14:textId="77777777" w:rsidR="00660923" w:rsidRPr="005B7D5A"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IČ</w:t>
      </w:r>
      <w:r w:rsidR="009829BA">
        <w:rPr>
          <w:rFonts w:ascii="Times New Roman" w:hAnsi="Times New Roman" w:cs="Times New Roman"/>
          <w:sz w:val="24"/>
          <w:szCs w:val="24"/>
        </w:rPr>
        <w:t xml:space="preserve">: </w:t>
      </w:r>
      <w:r w:rsidR="001A6ED4">
        <w:rPr>
          <w:rFonts w:ascii="Times New Roman" w:hAnsi="Times New Roman" w:cs="Times New Roman"/>
          <w:sz w:val="24"/>
          <w:szCs w:val="24"/>
        </w:rPr>
        <w:tab/>
      </w:r>
      <w:r w:rsidR="001A6ED4">
        <w:rPr>
          <w:rFonts w:ascii="Times New Roman" w:hAnsi="Times New Roman" w:cs="Times New Roman"/>
          <w:sz w:val="24"/>
          <w:szCs w:val="24"/>
        </w:rPr>
        <w:tab/>
      </w:r>
      <w:r w:rsidR="001A6ED4">
        <w:rPr>
          <w:rFonts w:ascii="Times New Roman" w:hAnsi="Times New Roman" w:cs="Times New Roman"/>
          <w:sz w:val="24"/>
          <w:szCs w:val="24"/>
        </w:rPr>
        <w:tab/>
        <w:t>26420929</w:t>
      </w:r>
    </w:p>
    <w:p w14:paraId="3480C4DD" w14:textId="77777777" w:rsidR="00C34490" w:rsidRDefault="001A6ED4"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CZ26420929</w:t>
      </w:r>
    </w:p>
    <w:p w14:paraId="4B0D1C17" w14:textId="09BBA185" w:rsidR="00660923" w:rsidRPr="00FC37E1" w:rsidRDefault="00C34490"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5B7D5A">
        <w:rPr>
          <w:rFonts w:ascii="Times New Roman" w:hAnsi="Times New Roman" w:cs="Times New Roman"/>
          <w:sz w:val="24"/>
          <w:szCs w:val="24"/>
        </w:rPr>
        <w:tab/>
      </w:r>
      <w:r w:rsidR="005B7D5A">
        <w:rPr>
          <w:rFonts w:ascii="Times New Roman" w:hAnsi="Times New Roman" w:cs="Times New Roman"/>
          <w:sz w:val="24"/>
          <w:szCs w:val="24"/>
        </w:rPr>
        <w:tab/>
      </w:r>
      <w:r w:rsidR="005B7D5A">
        <w:rPr>
          <w:rFonts w:ascii="Times New Roman" w:hAnsi="Times New Roman" w:cs="Times New Roman"/>
          <w:sz w:val="24"/>
          <w:szCs w:val="24"/>
        </w:rPr>
        <w:tab/>
      </w:r>
      <w:r w:rsidR="00660923" w:rsidRPr="00FC37E1">
        <w:rPr>
          <w:rFonts w:ascii="Times New Roman" w:hAnsi="Times New Roman" w:cs="Times New Roman"/>
          <w:sz w:val="24"/>
          <w:szCs w:val="24"/>
        </w:rPr>
        <w:t xml:space="preserve"> </w:t>
      </w:r>
    </w:p>
    <w:p w14:paraId="50FB74F9" w14:textId="77777777" w:rsidR="00660923" w:rsidRPr="00AF5751" w:rsidRDefault="00660923" w:rsidP="00660923">
      <w:pPr>
        <w:ind w:firstLine="426"/>
      </w:pPr>
      <w:r w:rsidRPr="00AF5751">
        <w:tab/>
      </w:r>
      <w:r>
        <w:tab/>
      </w:r>
    </w:p>
    <w:p w14:paraId="59C34D65" w14:textId="77777777" w:rsidR="00660923" w:rsidRDefault="00660923" w:rsidP="00660923"/>
    <w:p w14:paraId="347D0CD6" w14:textId="77777777" w:rsidR="00660923" w:rsidRPr="00A15D02" w:rsidRDefault="00660923" w:rsidP="00660923">
      <w:r w:rsidRPr="00A15D02">
        <w:t xml:space="preserve"> </w:t>
      </w:r>
      <w:r>
        <w:t xml:space="preserve">      </w:t>
      </w:r>
      <w:r w:rsidRPr="00A15D02">
        <w:t>(dále jen „</w:t>
      </w:r>
      <w:r>
        <w:rPr>
          <w:i/>
          <w:iCs/>
        </w:rPr>
        <w:t>nájemce</w:t>
      </w:r>
      <w:r w:rsidRPr="00A15D02">
        <w:t>“),</w:t>
      </w:r>
    </w:p>
    <w:p w14:paraId="3C622BDC" w14:textId="77777777" w:rsidR="00660923" w:rsidRDefault="00660923" w:rsidP="00660923">
      <w:pPr>
        <w:spacing w:before="120"/>
        <w:ind w:left="426"/>
      </w:pPr>
      <w:r>
        <w:t>(dohromady dále též jako „</w:t>
      </w:r>
      <w:r>
        <w:rPr>
          <w:i/>
          <w:iCs/>
        </w:rPr>
        <w:t>smluvní strany</w:t>
      </w:r>
      <w:r>
        <w:t>“)</w:t>
      </w:r>
    </w:p>
    <w:p w14:paraId="1D3960A7" w14:textId="77777777" w:rsidR="00660923" w:rsidRDefault="00660923" w:rsidP="00660923"/>
    <w:p w14:paraId="3D3DB651" w14:textId="77777777" w:rsidR="00660923" w:rsidRDefault="00660923" w:rsidP="00660923"/>
    <w:p w14:paraId="03881E7E" w14:textId="77777777" w:rsidR="00660923" w:rsidRDefault="00660923" w:rsidP="00660923">
      <w:pPr>
        <w:pStyle w:val="Nadpis3"/>
        <w:numPr>
          <w:ilvl w:val="0"/>
          <w:numId w:val="10"/>
        </w:numPr>
        <w:autoSpaceDE w:val="0"/>
        <w:autoSpaceDN w:val="0"/>
      </w:pPr>
      <w:r>
        <w:t>Úvodní ustanovení</w:t>
      </w:r>
    </w:p>
    <w:p w14:paraId="18066BD1" w14:textId="77777777" w:rsidR="00660923" w:rsidRDefault="00660923" w:rsidP="00660923">
      <w:pPr>
        <w:jc w:val="center"/>
      </w:pPr>
    </w:p>
    <w:p w14:paraId="4962F290"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14:paraId="74005CA5"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č.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14:paraId="4CEF1A14" w14:textId="77777777"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č.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14:paraId="0BC86017" w14:textId="77777777" w:rsidR="00660923" w:rsidRDefault="00660923" w:rsidP="00660923">
      <w:pPr>
        <w:ind w:left="360"/>
        <w:rPr>
          <w:sz w:val="22"/>
        </w:rPr>
      </w:pPr>
      <w:r>
        <w:rPr>
          <w:sz w:val="22"/>
        </w:rPr>
        <w:t xml:space="preserve"> (vše dále jen jako „</w:t>
      </w:r>
      <w:r>
        <w:rPr>
          <w:i/>
          <w:iCs/>
          <w:sz w:val="22"/>
        </w:rPr>
        <w:t>budova</w:t>
      </w:r>
      <w:r>
        <w:rPr>
          <w:sz w:val="22"/>
        </w:rPr>
        <w:t>“).</w:t>
      </w:r>
    </w:p>
    <w:p w14:paraId="211AF845" w14:textId="77777777" w:rsidR="00660923" w:rsidRDefault="00660923" w:rsidP="00660923">
      <w:pPr>
        <w:ind w:left="360"/>
        <w:rPr>
          <w:sz w:val="22"/>
        </w:rPr>
      </w:pPr>
    </w:p>
    <w:p w14:paraId="22B34576"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14:paraId="527C83E7" w14:textId="77777777" w:rsidR="00660923" w:rsidRDefault="00660923" w:rsidP="00660923">
      <w:pPr>
        <w:rPr>
          <w:sz w:val="22"/>
        </w:rPr>
      </w:pPr>
    </w:p>
    <w:p w14:paraId="0DDD0C1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Nájemce bere na vědomí, že je budova </w:t>
      </w:r>
      <w:r>
        <w:rPr>
          <w:b/>
          <w:bCs/>
          <w:sz w:val="22"/>
        </w:rPr>
        <w:t xml:space="preserve">památkově chráněna </w:t>
      </w:r>
      <w:r>
        <w:rPr>
          <w:sz w:val="22"/>
        </w:rPr>
        <w:t xml:space="preserve">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w:t>
      </w:r>
      <w:r>
        <w:rPr>
          <w:sz w:val="22"/>
        </w:rPr>
        <w:lastRenderedPageBreak/>
        <w:t>nebytových prostor a společných částí budovy, jejího vnitřního vybavení ani k narušení provozu NR a jiných uživatelů v ostatních prostorách budovy.</w:t>
      </w:r>
    </w:p>
    <w:p w14:paraId="74247ECD" w14:textId="77777777" w:rsidR="00660923" w:rsidRDefault="00660923" w:rsidP="00660923">
      <w:pPr>
        <w:spacing w:before="120" w:line="240" w:lineRule="atLeast"/>
      </w:pPr>
    </w:p>
    <w:p w14:paraId="37217922" w14:textId="77777777" w:rsidR="00660923" w:rsidRDefault="00660923" w:rsidP="00660923">
      <w:pPr>
        <w:pStyle w:val="Nadpis3"/>
        <w:numPr>
          <w:ilvl w:val="0"/>
          <w:numId w:val="10"/>
        </w:numPr>
        <w:autoSpaceDE w:val="0"/>
        <w:autoSpaceDN w:val="0"/>
      </w:pPr>
      <w:r>
        <w:t>Předmět a účel nájmu</w:t>
      </w:r>
    </w:p>
    <w:p w14:paraId="1A30CE2B" w14:textId="77777777" w:rsidR="00660923" w:rsidRDefault="00660923" w:rsidP="00660923"/>
    <w:p w14:paraId="5D61FFAA" w14:textId="77777777"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14:paraId="42DB9A0E" w14:textId="3420FFD8" w:rsidR="00AA1D8C" w:rsidRPr="007B3DF3" w:rsidRDefault="00AA1D8C" w:rsidP="00AA1D8C">
      <w:pPr>
        <w:numPr>
          <w:ilvl w:val="4"/>
          <w:numId w:val="10"/>
        </w:numPr>
        <w:tabs>
          <w:tab w:val="clear" w:pos="3600"/>
        </w:tabs>
        <w:autoSpaceDE w:val="0"/>
        <w:autoSpaceDN w:val="0"/>
        <w:ind w:left="426"/>
        <w:rPr>
          <w:sz w:val="22"/>
        </w:rPr>
      </w:pPr>
      <w:r>
        <w:rPr>
          <w:sz w:val="22"/>
        </w:rPr>
        <w:t xml:space="preserve">jednotlivé nebytové </w:t>
      </w:r>
      <w:proofErr w:type="gramStart"/>
      <w:r>
        <w:rPr>
          <w:sz w:val="22"/>
        </w:rPr>
        <w:t>prostory  (</w:t>
      </w:r>
      <w:proofErr w:type="gramEnd"/>
      <w:r>
        <w:rPr>
          <w:sz w:val="22"/>
        </w:rPr>
        <w:t>místn</w:t>
      </w:r>
      <w:r w:rsidRPr="00044756">
        <w:rPr>
          <w:sz w:val="22"/>
        </w:rPr>
        <w:t>osti)</w:t>
      </w:r>
      <w:r>
        <w:rPr>
          <w:sz w:val="22"/>
        </w:rPr>
        <w:t xml:space="preserve"> v termínu</w:t>
      </w:r>
      <w:r>
        <w:rPr>
          <w:b/>
          <w:sz w:val="22"/>
        </w:rPr>
        <w:t xml:space="preserve"> </w:t>
      </w:r>
      <w:r w:rsidR="00FF2B29">
        <w:rPr>
          <w:b/>
          <w:sz w:val="22"/>
        </w:rPr>
        <w:t>3</w:t>
      </w:r>
      <w:r>
        <w:rPr>
          <w:b/>
          <w:sz w:val="22"/>
        </w:rPr>
        <w:t>.4.20</w:t>
      </w:r>
      <w:r w:rsidR="009A0A98">
        <w:rPr>
          <w:b/>
          <w:sz w:val="22"/>
        </w:rPr>
        <w:t>2</w:t>
      </w:r>
      <w:r w:rsidR="00FF2B29">
        <w:rPr>
          <w:b/>
          <w:sz w:val="22"/>
        </w:rPr>
        <w:t>4</w:t>
      </w:r>
      <w:r>
        <w:rPr>
          <w:b/>
          <w:sz w:val="22"/>
        </w:rPr>
        <w:t xml:space="preserve"> </w:t>
      </w:r>
      <w:r w:rsidRPr="00E87D25">
        <w:rPr>
          <w:sz w:val="22"/>
        </w:rPr>
        <w:t>v</w:t>
      </w:r>
      <w:r>
        <w:rPr>
          <w:b/>
          <w:sz w:val="22"/>
        </w:rPr>
        <w:t xml:space="preserve"> 1 patře </w:t>
      </w:r>
      <w:r w:rsidRPr="00E87D25">
        <w:rPr>
          <w:sz w:val="22"/>
          <w:szCs w:val="22"/>
        </w:rPr>
        <w:t>budovy</w:t>
      </w:r>
      <w:r>
        <w:rPr>
          <w:sz w:val="22"/>
          <w:szCs w:val="22"/>
        </w:rPr>
        <w:t xml:space="preserve">, a to: </w:t>
      </w:r>
      <w:r w:rsidRPr="00E87D25">
        <w:rPr>
          <w:b/>
          <w:sz w:val="22"/>
          <w:szCs w:val="22"/>
        </w:rPr>
        <w:t>Velký sál</w:t>
      </w:r>
      <w:r>
        <w:rPr>
          <w:sz w:val="22"/>
        </w:rPr>
        <w:t xml:space="preserve"> (místnost č. 134) a </w:t>
      </w:r>
      <w:r w:rsidRPr="002D4072">
        <w:rPr>
          <w:b/>
          <w:sz w:val="22"/>
        </w:rPr>
        <w:t>Recepční</w:t>
      </w:r>
      <w:r>
        <w:rPr>
          <w:sz w:val="22"/>
        </w:rPr>
        <w:t xml:space="preserve"> </w:t>
      </w:r>
      <w:r w:rsidRPr="002D4072">
        <w:rPr>
          <w:b/>
          <w:sz w:val="22"/>
        </w:rPr>
        <w:t>salonky</w:t>
      </w:r>
      <w:r w:rsidRPr="00E25B19">
        <w:rPr>
          <w:sz w:val="22"/>
        </w:rPr>
        <w:t xml:space="preserve"> (</w:t>
      </w:r>
      <w:r>
        <w:rPr>
          <w:sz w:val="22"/>
        </w:rPr>
        <w:t xml:space="preserve">místnost č. 113-115) a </w:t>
      </w:r>
      <w:r>
        <w:rPr>
          <w:b/>
          <w:sz w:val="22"/>
        </w:rPr>
        <w:t xml:space="preserve">Žulový bar </w:t>
      </w:r>
      <w:r w:rsidRPr="00E25B19">
        <w:rPr>
          <w:sz w:val="22"/>
        </w:rPr>
        <w:t>(</w:t>
      </w:r>
      <w:r>
        <w:rPr>
          <w:sz w:val="22"/>
        </w:rPr>
        <w:t xml:space="preserve">místnost č. 122) a v </w:t>
      </w:r>
      <w:r w:rsidRPr="00D6379F">
        <w:rPr>
          <w:b/>
          <w:sz w:val="22"/>
        </w:rPr>
        <w:t>přízemí</w:t>
      </w:r>
      <w:r>
        <w:rPr>
          <w:sz w:val="22"/>
        </w:rPr>
        <w:t xml:space="preserve"> budovy a to: </w:t>
      </w:r>
      <w:proofErr w:type="spellStart"/>
      <w:r w:rsidRPr="00D6379F">
        <w:rPr>
          <w:b/>
          <w:sz w:val="22"/>
        </w:rPr>
        <w:t>Mázhaus</w:t>
      </w:r>
      <w:proofErr w:type="spellEnd"/>
      <w:r w:rsidR="00D72550">
        <w:rPr>
          <w:sz w:val="22"/>
        </w:rPr>
        <w:t>.</w:t>
      </w:r>
    </w:p>
    <w:p w14:paraId="5FFFF888" w14:textId="032582ED" w:rsidR="008A4D0B" w:rsidRDefault="008A4D0B" w:rsidP="008A4D0B">
      <w:pPr>
        <w:numPr>
          <w:ilvl w:val="4"/>
          <w:numId w:val="10"/>
        </w:numPr>
        <w:tabs>
          <w:tab w:val="clear" w:pos="3600"/>
        </w:tabs>
        <w:autoSpaceDE w:val="0"/>
        <w:autoSpaceDN w:val="0"/>
        <w:ind w:left="426"/>
        <w:rPr>
          <w:sz w:val="22"/>
        </w:rPr>
      </w:pPr>
      <w:r>
        <w:rPr>
          <w:sz w:val="22"/>
        </w:rPr>
        <w:t>spolu s právem užití přístupových komunikací a sociálního zařízení (místnost č. 38,38-103,31-37,30,103-133,133,30-123,124-127,103) a zázemí (místnost č. 116-120,3,4</w:t>
      </w:r>
      <w:r w:rsidR="00F1498F">
        <w:rPr>
          <w:sz w:val="22"/>
        </w:rPr>
        <w:t>,41</w:t>
      </w:r>
      <w:r>
        <w:rPr>
          <w:sz w:val="22"/>
        </w:rPr>
        <w:t>)</w:t>
      </w:r>
    </w:p>
    <w:p w14:paraId="200CC776" w14:textId="5C165677" w:rsidR="00660923" w:rsidRDefault="00660923" w:rsidP="00660923">
      <w:pPr>
        <w:jc w:val="right"/>
        <w:rPr>
          <w:sz w:val="22"/>
        </w:rPr>
      </w:pPr>
      <w:r w:rsidRPr="00044756">
        <w:rPr>
          <w:sz w:val="22"/>
        </w:rPr>
        <w:t>(vše dále spolu též jako “</w:t>
      </w:r>
      <w:r w:rsidRPr="00044756">
        <w:rPr>
          <w:i/>
          <w:iCs/>
          <w:sz w:val="22"/>
        </w:rPr>
        <w:t>nebytov</w:t>
      </w:r>
      <w:r>
        <w:rPr>
          <w:i/>
          <w:iCs/>
          <w:sz w:val="22"/>
        </w:rPr>
        <w:t>é prostory</w:t>
      </w:r>
      <w:r>
        <w:rPr>
          <w:sz w:val="22"/>
        </w:rPr>
        <w:t>“).</w:t>
      </w:r>
    </w:p>
    <w:p w14:paraId="254CAE9E" w14:textId="77777777" w:rsidR="00660923" w:rsidRDefault="00660923" w:rsidP="00660923">
      <w:pPr>
        <w:rPr>
          <w:sz w:val="22"/>
        </w:rPr>
      </w:pPr>
    </w:p>
    <w:p w14:paraId="09D3B872" w14:textId="11918A2E" w:rsidR="00660923" w:rsidRDefault="00660923" w:rsidP="00660923">
      <w:pPr>
        <w:numPr>
          <w:ilvl w:val="3"/>
          <w:numId w:val="10"/>
        </w:numPr>
        <w:tabs>
          <w:tab w:val="clear" w:pos="2880"/>
          <w:tab w:val="num" w:pos="360"/>
        </w:tabs>
        <w:autoSpaceDE w:val="0"/>
        <w:autoSpaceDN w:val="0"/>
        <w:ind w:left="360"/>
        <w:rPr>
          <w:i/>
          <w:sz w:val="22"/>
        </w:rPr>
      </w:pPr>
      <w:r>
        <w:rPr>
          <w:sz w:val="22"/>
        </w:rPr>
        <w:t xml:space="preserve">Nájemce využije přenechané nebytové prostory výlučně pro uspořádání akce </w:t>
      </w:r>
      <w:r w:rsidR="00190363">
        <w:rPr>
          <w:b/>
          <w:sz w:val="22"/>
        </w:rPr>
        <w:t>konference</w:t>
      </w:r>
      <w:r>
        <w:rPr>
          <w:b/>
          <w:sz w:val="22"/>
        </w:rPr>
        <w:t xml:space="preserve"> </w:t>
      </w:r>
      <w:r>
        <w:rPr>
          <w:sz w:val="22"/>
        </w:rPr>
        <w:t>(dále jen „</w:t>
      </w:r>
      <w:r>
        <w:rPr>
          <w:i/>
          <w:iCs/>
          <w:sz w:val="22"/>
        </w:rPr>
        <w:t>účel nájmu</w:t>
      </w:r>
      <w:r>
        <w:rPr>
          <w:sz w:val="22"/>
        </w:rPr>
        <w:t xml:space="preserve">“). Nájemce je povinen užívat přenechané nebytové prostory k ujednanému účelu jako řádný hospodář. </w:t>
      </w:r>
    </w:p>
    <w:p w14:paraId="1A57A71D" w14:textId="77777777" w:rsidR="00660923" w:rsidRDefault="00660923" w:rsidP="00660923">
      <w:pPr>
        <w:rPr>
          <w:i/>
          <w:sz w:val="22"/>
        </w:rPr>
      </w:pPr>
    </w:p>
    <w:p w14:paraId="2FB2B1C4"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14:paraId="755A88D0" w14:textId="77777777" w:rsidR="00660923" w:rsidRDefault="00660923" w:rsidP="00660923">
      <w:pPr>
        <w:rPr>
          <w:sz w:val="22"/>
        </w:rPr>
      </w:pPr>
    </w:p>
    <w:p w14:paraId="2D3F80E2" w14:textId="77777777"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14:paraId="78403889" w14:textId="77777777" w:rsidR="00660923" w:rsidRDefault="00660923" w:rsidP="00660923">
      <w:pPr>
        <w:rPr>
          <w:sz w:val="22"/>
        </w:rPr>
      </w:pPr>
    </w:p>
    <w:p w14:paraId="52C5E930" w14:textId="77777777"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14:paraId="0D8FB560" w14:textId="77777777" w:rsidR="00660923" w:rsidRDefault="00660923" w:rsidP="00660923"/>
    <w:p w14:paraId="5D2DDCAB" w14:textId="77777777" w:rsidR="00660923" w:rsidRDefault="00660923" w:rsidP="00660923"/>
    <w:p w14:paraId="4377802F" w14:textId="77777777" w:rsidR="00660923" w:rsidRDefault="00660923" w:rsidP="00660923">
      <w:pPr>
        <w:pStyle w:val="Nadpis3"/>
        <w:numPr>
          <w:ilvl w:val="0"/>
          <w:numId w:val="10"/>
        </w:numPr>
        <w:autoSpaceDE w:val="0"/>
        <w:autoSpaceDN w:val="0"/>
      </w:pPr>
      <w:r>
        <w:t>Služby</w:t>
      </w:r>
    </w:p>
    <w:p w14:paraId="5A7D72C6" w14:textId="77777777" w:rsidR="00660923" w:rsidRDefault="00660923" w:rsidP="00660923">
      <w:pPr>
        <w:rPr>
          <w:sz w:val="22"/>
        </w:rPr>
      </w:pPr>
    </w:p>
    <w:p w14:paraId="19A8FEC2" w14:textId="77777777"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14:paraId="03421061" w14:textId="77777777" w:rsidR="00660923" w:rsidRDefault="00660923" w:rsidP="00660923">
      <w:pPr>
        <w:rPr>
          <w:sz w:val="22"/>
        </w:rPr>
      </w:pPr>
    </w:p>
    <w:p w14:paraId="187AF9AF" w14:textId="77777777"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14:paraId="40C97B01" w14:textId="77777777" w:rsidR="00660923" w:rsidRDefault="00660923" w:rsidP="00660923"/>
    <w:p w14:paraId="0C80AA56" w14:textId="77777777" w:rsidR="00660923" w:rsidRDefault="00660923" w:rsidP="00660923"/>
    <w:p w14:paraId="3F1357F8" w14:textId="77777777" w:rsidR="00660923" w:rsidRDefault="00660923" w:rsidP="00660923">
      <w:pPr>
        <w:pStyle w:val="Nadpis3"/>
        <w:numPr>
          <w:ilvl w:val="0"/>
          <w:numId w:val="10"/>
        </w:numPr>
        <w:autoSpaceDE w:val="0"/>
        <w:autoSpaceDN w:val="0"/>
      </w:pPr>
      <w:r>
        <w:t>Výše nájemného a úhrady za služby</w:t>
      </w:r>
    </w:p>
    <w:p w14:paraId="64229DCF" w14:textId="09EBF3B9"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D1478D">
        <w:rPr>
          <w:b/>
          <w:sz w:val="22"/>
        </w:rPr>
        <w:t>90</w:t>
      </w:r>
      <w:r w:rsidR="005450F3" w:rsidRPr="005450F3">
        <w:rPr>
          <w:b/>
          <w:sz w:val="22"/>
        </w:rPr>
        <w:t> 000,00</w:t>
      </w:r>
      <w:r w:rsidRPr="00B21516">
        <w:rPr>
          <w:b/>
          <w:bCs/>
          <w:sz w:val="22"/>
        </w:rPr>
        <w:t xml:space="preserve"> Kč </w:t>
      </w:r>
      <w:r w:rsidR="00726F6A">
        <w:rPr>
          <w:sz w:val="22"/>
        </w:rPr>
        <w:t>(</w:t>
      </w:r>
      <w:r w:rsidR="00BD3616">
        <w:rPr>
          <w:sz w:val="22"/>
        </w:rPr>
        <w:t xml:space="preserve"> </w:t>
      </w:r>
      <w:proofErr w:type="spellStart"/>
      <w:r w:rsidR="00BD3616">
        <w:rPr>
          <w:sz w:val="22"/>
        </w:rPr>
        <w:t>devadesáttisíc</w:t>
      </w:r>
      <w:proofErr w:type="spellEnd"/>
      <w:r w:rsidR="005450F3">
        <w:rPr>
          <w:sz w:val="22"/>
        </w:rPr>
        <w:t xml:space="preserve"> korun českých</w:t>
      </w:r>
      <w:r w:rsidR="009829BA">
        <w:rPr>
          <w:sz w:val="22"/>
        </w:rPr>
        <w:t xml:space="preserve"> </w:t>
      </w:r>
      <w:r>
        <w:rPr>
          <w:sz w:val="22"/>
        </w:rPr>
        <w:t>) + platná sazba DPH (</w:t>
      </w:r>
      <w:r w:rsidR="00703E95">
        <w:rPr>
          <w:sz w:val="22"/>
        </w:rPr>
        <w:t>1</w:t>
      </w:r>
      <w:r w:rsidR="000C4157">
        <w:rPr>
          <w:sz w:val="22"/>
        </w:rPr>
        <w:t>8</w:t>
      </w:r>
      <w:r w:rsidR="00601C42">
        <w:rPr>
          <w:sz w:val="22"/>
        </w:rPr>
        <w:t> </w:t>
      </w:r>
      <w:r w:rsidR="000C4157">
        <w:rPr>
          <w:sz w:val="22"/>
        </w:rPr>
        <w:t>900</w:t>
      </w:r>
      <w:r w:rsidR="00A0725D">
        <w:rPr>
          <w:sz w:val="22"/>
        </w:rPr>
        <w:t>,00</w:t>
      </w:r>
      <w:r w:rsidR="000C4157">
        <w:rPr>
          <w:sz w:val="22"/>
        </w:rPr>
        <w:t xml:space="preserve"> </w:t>
      </w:r>
      <w:r w:rsidRPr="00B21516">
        <w:rPr>
          <w:sz w:val="22"/>
        </w:rPr>
        <w:t xml:space="preserve">Kč), </w:t>
      </w:r>
      <w:r w:rsidR="00601C42">
        <w:rPr>
          <w:b/>
          <w:sz w:val="22"/>
        </w:rPr>
        <w:t>celkem tedy 1</w:t>
      </w:r>
      <w:r w:rsidR="008F4609">
        <w:rPr>
          <w:b/>
          <w:sz w:val="22"/>
        </w:rPr>
        <w:t>0</w:t>
      </w:r>
      <w:r w:rsidR="00D8629C">
        <w:rPr>
          <w:b/>
          <w:sz w:val="22"/>
        </w:rPr>
        <w:t>8</w:t>
      </w:r>
      <w:r w:rsidR="00601C42">
        <w:rPr>
          <w:b/>
          <w:sz w:val="22"/>
        </w:rPr>
        <w:t> </w:t>
      </w:r>
      <w:r w:rsidR="00D8629C">
        <w:rPr>
          <w:b/>
          <w:sz w:val="22"/>
        </w:rPr>
        <w:t>900</w:t>
      </w:r>
      <w:r w:rsidR="005450F3">
        <w:rPr>
          <w:b/>
          <w:sz w:val="22"/>
        </w:rPr>
        <w:t>,00</w:t>
      </w:r>
      <w:r>
        <w:rPr>
          <w:b/>
          <w:sz w:val="22"/>
        </w:rPr>
        <w:t xml:space="preserve"> </w:t>
      </w:r>
      <w:r w:rsidRPr="00B21516">
        <w:rPr>
          <w:b/>
          <w:sz w:val="22"/>
        </w:rPr>
        <w:t xml:space="preserve">Kč </w:t>
      </w:r>
      <w:r w:rsidR="000050D2">
        <w:rPr>
          <w:sz w:val="22"/>
        </w:rPr>
        <w:t xml:space="preserve">( </w:t>
      </w:r>
      <w:proofErr w:type="spellStart"/>
      <w:r w:rsidR="00DA29A3">
        <w:rPr>
          <w:sz w:val="22"/>
        </w:rPr>
        <w:t>sto</w:t>
      </w:r>
      <w:r w:rsidR="001C7E08">
        <w:rPr>
          <w:sz w:val="22"/>
        </w:rPr>
        <w:t>osmtisícdevědset</w:t>
      </w:r>
      <w:proofErr w:type="spellEnd"/>
      <w:r w:rsidR="005450F3">
        <w:rPr>
          <w:sz w:val="22"/>
        </w:rPr>
        <w:t xml:space="preserve"> korun českých</w:t>
      </w:r>
      <w:r w:rsidRPr="00B21516">
        <w:rPr>
          <w:sz w:val="22"/>
        </w:rPr>
        <w:t xml:space="preserve"> </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činí </w:t>
      </w:r>
      <w:r w:rsidR="008319A2">
        <w:rPr>
          <w:sz w:val="22"/>
        </w:rPr>
        <w:t>103</w:t>
      </w:r>
      <w:r w:rsidR="000050D2">
        <w:rPr>
          <w:sz w:val="22"/>
        </w:rPr>
        <w:t> </w:t>
      </w:r>
      <w:r w:rsidR="008319A2">
        <w:rPr>
          <w:sz w:val="22"/>
        </w:rPr>
        <w:t>756</w:t>
      </w:r>
      <w:r w:rsidR="000050D2">
        <w:rPr>
          <w:sz w:val="22"/>
        </w:rPr>
        <w:t>,</w:t>
      </w:r>
      <w:r w:rsidR="00600517">
        <w:rPr>
          <w:sz w:val="22"/>
        </w:rPr>
        <w:t>68</w:t>
      </w:r>
      <w:r w:rsidR="008319A2">
        <w:rPr>
          <w:sz w:val="22"/>
        </w:rPr>
        <w:t xml:space="preserve"> </w:t>
      </w:r>
      <w:r w:rsidRPr="003A72A6">
        <w:rPr>
          <w:sz w:val="22"/>
        </w:rPr>
        <w:t>Kč včetně platné sazby DPH, úhrada za poskytnuté služby činí</w:t>
      </w:r>
      <w:r w:rsidR="000050D2">
        <w:rPr>
          <w:sz w:val="22"/>
        </w:rPr>
        <w:t xml:space="preserve"> </w:t>
      </w:r>
      <w:r w:rsidR="00C14B15">
        <w:rPr>
          <w:sz w:val="22"/>
        </w:rPr>
        <w:t>5</w:t>
      </w:r>
      <w:r w:rsidR="000050D2">
        <w:rPr>
          <w:sz w:val="22"/>
        </w:rPr>
        <w:t> </w:t>
      </w:r>
      <w:r w:rsidR="00C14B15">
        <w:rPr>
          <w:sz w:val="22"/>
        </w:rPr>
        <w:t>143</w:t>
      </w:r>
      <w:r w:rsidR="000050D2">
        <w:rPr>
          <w:sz w:val="22"/>
        </w:rPr>
        <w:t>,</w:t>
      </w:r>
      <w:r w:rsidR="00C226AD">
        <w:rPr>
          <w:sz w:val="22"/>
        </w:rPr>
        <w:t>32</w:t>
      </w:r>
      <w:r w:rsidRPr="003A72A6">
        <w:rPr>
          <w:sz w:val="22"/>
        </w:rPr>
        <w:t xml:space="preserve"> Kč včetně platné sazby DPH.</w:t>
      </w:r>
      <w:r>
        <w:rPr>
          <w:sz w:val="22"/>
        </w:rPr>
        <w:t xml:space="preserve"> </w:t>
      </w:r>
      <w:r>
        <w:rPr>
          <w:sz w:val="22"/>
          <w:szCs w:val="22"/>
        </w:rPr>
        <w:t>Nájemné a úhrada za služby budou uhrazeny do 28 dní ode dne doručení faktury nájemci.</w:t>
      </w:r>
    </w:p>
    <w:p w14:paraId="1F0CEA70" w14:textId="77777777"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14:paraId="4D8A952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14:paraId="58895B3A"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14:paraId="287D9A49" w14:textId="77777777"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14:paraId="7594B0AB" w14:textId="77777777" w:rsidR="00660923" w:rsidRDefault="00660923" w:rsidP="00660923">
      <w:pPr>
        <w:pStyle w:val="Zkladntext"/>
        <w:tabs>
          <w:tab w:val="num" w:pos="525"/>
        </w:tabs>
        <w:rPr>
          <w:sz w:val="22"/>
        </w:rPr>
      </w:pPr>
    </w:p>
    <w:p w14:paraId="644A7B44" w14:textId="77777777" w:rsidR="00660923" w:rsidRDefault="00660923" w:rsidP="00660923">
      <w:pPr>
        <w:pStyle w:val="Nadpis3"/>
        <w:numPr>
          <w:ilvl w:val="0"/>
          <w:numId w:val="10"/>
        </w:numPr>
        <w:autoSpaceDE w:val="0"/>
        <w:autoSpaceDN w:val="0"/>
        <w:rPr>
          <w:szCs w:val="24"/>
        </w:rPr>
      </w:pPr>
      <w:r>
        <w:t xml:space="preserve"> Doba nájmu a skončení nájmu</w:t>
      </w:r>
    </w:p>
    <w:p w14:paraId="1867D651" w14:textId="189F2CB9"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CD4DBA">
        <w:rPr>
          <w:b/>
          <w:sz w:val="22"/>
        </w:rPr>
        <w:t xml:space="preserve"> od </w:t>
      </w:r>
      <w:r w:rsidR="00CF72CA">
        <w:rPr>
          <w:b/>
          <w:sz w:val="22"/>
        </w:rPr>
        <w:t>3</w:t>
      </w:r>
      <w:r w:rsidR="005F56DE">
        <w:rPr>
          <w:b/>
          <w:sz w:val="22"/>
        </w:rPr>
        <w:t>.</w:t>
      </w:r>
      <w:r w:rsidR="003C71E3">
        <w:rPr>
          <w:b/>
          <w:sz w:val="22"/>
        </w:rPr>
        <w:t>4</w:t>
      </w:r>
      <w:r w:rsidR="009C13CB">
        <w:rPr>
          <w:b/>
          <w:sz w:val="22"/>
        </w:rPr>
        <w:t>.</w:t>
      </w:r>
      <w:r>
        <w:rPr>
          <w:b/>
          <w:sz w:val="22"/>
        </w:rPr>
        <w:t>20</w:t>
      </w:r>
      <w:r w:rsidR="009438E2">
        <w:rPr>
          <w:b/>
          <w:sz w:val="22"/>
        </w:rPr>
        <w:t>2</w:t>
      </w:r>
      <w:r w:rsidR="00CF72CA">
        <w:rPr>
          <w:b/>
          <w:sz w:val="22"/>
        </w:rPr>
        <w:t>4</w:t>
      </w:r>
      <w:r w:rsidR="005F56DE">
        <w:rPr>
          <w:b/>
          <w:sz w:val="22"/>
        </w:rPr>
        <w:t xml:space="preserve"> od </w:t>
      </w:r>
      <w:r w:rsidR="00617322">
        <w:rPr>
          <w:b/>
          <w:sz w:val="22"/>
        </w:rPr>
        <w:t>6</w:t>
      </w:r>
      <w:r w:rsidR="009C13CB">
        <w:rPr>
          <w:b/>
          <w:sz w:val="22"/>
        </w:rPr>
        <w:t>:00</w:t>
      </w:r>
      <w:r>
        <w:rPr>
          <w:b/>
          <w:sz w:val="22"/>
        </w:rPr>
        <w:t xml:space="preserve"> hodin do </w:t>
      </w:r>
      <w:r w:rsidR="00CF72CA">
        <w:rPr>
          <w:b/>
          <w:sz w:val="22"/>
        </w:rPr>
        <w:t>3</w:t>
      </w:r>
      <w:r w:rsidR="005F56DE">
        <w:rPr>
          <w:b/>
          <w:sz w:val="22"/>
        </w:rPr>
        <w:t>.</w:t>
      </w:r>
      <w:r w:rsidR="003C71E3">
        <w:rPr>
          <w:b/>
          <w:sz w:val="22"/>
        </w:rPr>
        <w:t>4</w:t>
      </w:r>
      <w:r w:rsidR="009C13CB">
        <w:rPr>
          <w:b/>
          <w:sz w:val="22"/>
        </w:rPr>
        <w:t>.</w:t>
      </w:r>
      <w:r>
        <w:rPr>
          <w:b/>
          <w:sz w:val="22"/>
        </w:rPr>
        <w:t>20</w:t>
      </w:r>
      <w:r w:rsidR="009438E2">
        <w:rPr>
          <w:b/>
          <w:sz w:val="22"/>
        </w:rPr>
        <w:t>2</w:t>
      </w:r>
      <w:r w:rsidR="00CF72CA">
        <w:rPr>
          <w:b/>
          <w:sz w:val="22"/>
        </w:rPr>
        <w:t>4</w:t>
      </w:r>
      <w:r w:rsidR="009C13CB">
        <w:rPr>
          <w:b/>
          <w:sz w:val="22"/>
        </w:rPr>
        <w:t xml:space="preserve"> do </w:t>
      </w:r>
      <w:r w:rsidR="00650CEA">
        <w:rPr>
          <w:b/>
          <w:sz w:val="22"/>
        </w:rPr>
        <w:t>22</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14:paraId="6295A981"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14:paraId="2294B007"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14:paraId="3D31C12E"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14:paraId="38CCC3E0"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14:paraId="22832AC3" w14:textId="77777777"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14:paraId="1D0C5222" w14:textId="77777777" w:rsidR="00660923" w:rsidRDefault="00660923" w:rsidP="00660923">
      <w:pPr>
        <w:pStyle w:val="Zkladntext"/>
        <w:rPr>
          <w:sz w:val="22"/>
        </w:rPr>
      </w:pPr>
    </w:p>
    <w:p w14:paraId="7CB7AD47" w14:textId="77777777" w:rsidR="00660923" w:rsidRDefault="00660923" w:rsidP="00660923">
      <w:pPr>
        <w:pStyle w:val="Nadpis3"/>
        <w:numPr>
          <w:ilvl w:val="0"/>
          <w:numId w:val="10"/>
        </w:numPr>
        <w:autoSpaceDE w:val="0"/>
        <w:autoSpaceDN w:val="0"/>
        <w:rPr>
          <w:sz w:val="22"/>
        </w:rPr>
      </w:pPr>
      <w:r>
        <w:t>Přístup do některých prostor</w:t>
      </w:r>
    </w:p>
    <w:p w14:paraId="2D7F6F36" w14:textId="77777777" w:rsidR="00660923" w:rsidRDefault="00660923" w:rsidP="00660923"/>
    <w:p w14:paraId="0CDA2C2F" w14:textId="77777777"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14:paraId="28DDB814" w14:textId="77777777" w:rsidR="00660923" w:rsidRDefault="00660923" w:rsidP="00660923">
      <w:pPr>
        <w:pStyle w:val="Zkladntext"/>
      </w:pPr>
    </w:p>
    <w:p w14:paraId="5CEBA929" w14:textId="77777777" w:rsidR="00660923" w:rsidRDefault="00660923" w:rsidP="00660923">
      <w:pPr>
        <w:pStyle w:val="Nadpis3"/>
        <w:numPr>
          <w:ilvl w:val="0"/>
          <w:numId w:val="10"/>
        </w:numPr>
        <w:autoSpaceDE w:val="0"/>
        <w:autoSpaceDN w:val="0"/>
        <w:rPr>
          <w:szCs w:val="24"/>
        </w:rPr>
      </w:pPr>
      <w:r>
        <w:t>Práva a povinnosti NR a nájemce</w:t>
      </w:r>
    </w:p>
    <w:p w14:paraId="57C57830" w14:textId="77777777" w:rsidR="00660923" w:rsidRDefault="00660923" w:rsidP="00660923">
      <w:pPr>
        <w:rPr>
          <w:sz w:val="22"/>
        </w:rPr>
      </w:pPr>
    </w:p>
    <w:p w14:paraId="4DA0B1AA" w14:textId="77777777" w:rsidR="00660923" w:rsidRDefault="00660923" w:rsidP="00660923">
      <w:pPr>
        <w:numPr>
          <w:ilvl w:val="0"/>
          <w:numId w:val="14"/>
        </w:numPr>
        <w:autoSpaceDE w:val="0"/>
        <w:autoSpaceDN w:val="0"/>
        <w:rPr>
          <w:sz w:val="22"/>
        </w:rPr>
      </w:pPr>
      <w:r>
        <w:rPr>
          <w:sz w:val="22"/>
        </w:rPr>
        <w:t>Smluvní strany se dohodly, že NR je povinna:</w:t>
      </w:r>
    </w:p>
    <w:p w14:paraId="28CC93A3" w14:textId="77777777"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14:paraId="4B4895A0" w14:textId="77777777" w:rsidR="00660923" w:rsidRDefault="00660923" w:rsidP="00660923">
      <w:pPr>
        <w:numPr>
          <w:ilvl w:val="0"/>
          <w:numId w:val="13"/>
        </w:numPr>
        <w:autoSpaceDE w:val="0"/>
        <w:autoSpaceDN w:val="0"/>
        <w:rPr>
          <w:sz w:val="22"/>
        </w:rPr>
      </w:pPr>
      <w:r>
        <w:rPr>
          <w:sz w:val="22"/>
        </w:rPr>
        <w:t>seznámit nájemce s provozním řádem objektu;</w:t>
      </w:r>
    </w:p>
    <w:p w14:paraId="3AA10AEB" w14:textId="77777777"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14:paraId="4F2CB382" w14:textId="77777777"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14:paraId="00EF6FC7" w14:textId="77777777" w:rsidR="00660923" w:rsidRDefault="00660923" w:rsidP="00660923">
      <w:pPr>
        <w:numPr>
          <w:ilvl w:val="0"/>
          <w:numId w:val="13"/>
        </w:numPr>
        <w:autoSpaceDE w:val="0"/>
        <w:autoSpaceDN w:val="0"/>
        <w:rPr>
          <w:sz w:val="22"/>
        </w:rPr>
      </w:pPr>
      <w:r>
        <w:rPr>
          <w:sz w:val="22"/>
        </w:rPr>
        <w:t>zajistit otevření a uzamčení prostor před akcí a po akci;</w:t>
      </w:r>
    </w:p>
    <w:p w14:paraId="7C9FC7D5" w14:textId="77777777" w:rsidR="00660923" w:rsidRDefault="00660923" w:rsidP="00660923">
      <w:pPr>
        <w:numPr>
          <w:ilvl w:val="0"/>
          <w:numId w:val="13"/>
        </w:numPr>
        <w:autoSpaceDE w:val="0"/>
        <w:autoSpaceDN w:val="0"/>
        <w:rPr>
          <w:sz w:val="22"/>
        </w:rPr>
      </w:pPr>
      <w:r>
        <w:rPr>
          <w:sz w:val="22"/>
        </w:rPr>
        <w:t>zajistit úklid prostor před akcí;</w:t>
      </w:r>
    </w:p>
    <w:p w14:paraId="18C22C78" w14:textId="77777777"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14:paraId="6C30C0CC" w14:textId="77777777" w:rsidR="00660923" w:rsidRDefault="00660923" w:rsidP="00660923">
      <w:pPr>
        <w:numPr>
          <w:ilvl w:val="0"/>
          <w:numId w:val="13"/>
        </w:numPr>
        <w:autoSpaceDE w:val="0"/>
        <w:autoSpaceDN w:val="0"/>
        <w:rPr>
          <w:sz w:val="22"/>
        </w:rPr>
      </w:pPr>
      <w:r>
        <w:rPr>
          <w:sz w:val="22"/>
        </w:rPr>
        <w:t xml:space="preserve">zajistit dohled správce objektu během akce v rozsahu své pracovní doby. </w:t>
      </w:r>
    </w:p>
    <w:p w14:paraId="25613DB5" w14:textId="77777777" w:rsidR="00660923" w:rsidRDefault="00660923" w:rsidP="00660923">
      <w:pPr>
        <w:ind w:left="720"/>
        <w:rPr>
          <w:sz w:val="22"/>
        </w:rPr>
      </w:pPr>
    </w:p>
    <w:p w14:paraId="1E891C4D" w14:textId="77777777" w:rsidR="00660923" w:rsidRDefault="00660923" w:rsidP="00660923">
      <w:pPr>
        <w:spacing w:line="360" w:lineRule="auto"/>
        <w:ind w:left="284"/>
      </w:pPr>
    </w:p>
    <w:p w14:paraId="0D0F7DC2" w14:textId="77777777" w:rsidR="00660923" w:rsidRDefault="00660923" w:rsidP="00660923">
      <w:pPr>
        <w:numPr>
          <w:ilvl w:val="0"/>
          <w:numId w:val="14"/>
        </w:numPr>
        <w:autoSpaceDE w:val="0"/>
        <w:autoSpaceDN w:val="0"/>
        <w:rPr>
          <w:sz w:val="22"/>
        </w:rPr>
      </w:pPr>
      <w:r>
        <w:rPr>
          <w:sz w:val="22"/>
        </w:rPr>
        <w:t xml:space="preserve">Smluvní strany se dohodly, že nájemce je zejména povinen:     </w:t>
      </w:r>
    </w:p>
    <w:p w14:paraId="26582F67" w14:textId="77777777"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14:paraId="201F578A" w14:textId="77777777"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14:paraId="6D6E09CB" w14:textId="77777777" w:rsidR="00660923" w:rsidRDefault="00660923" w:rsidP="00660923">
      <w:pPr>
        <w:numPr>
          <w:ilvl w:val="1"/>
          <w:numId w:val="13"/>
        </w:numPr>
        <w:autoSpaceDE w:val="0"/>
        <w:autoSpaceDN w:val="0"/>
        <w:rPr>
          <w:sz w:val="22"/>
          <w:szCs w:val="22"/>
        </w:rPr>
      </w:pPr>
      <w:r>
        <w:rPr>
          <w:sz w:val="22"/>
          <w:szCs w:val="22"/>
        </w:rPr>
        <w:t>dodržovat zákaz parkování na nádvoří budovy;</w:t>
      </w:r>
    </w:p>
    <w:p w14:paraId="317AA795" w14:textId="77777777"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14:paraId="497BDC44" w14:textId="77777777"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14:paraId="2FBDEE14" w14:textId="4FB5CEFE"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w:t>
      </w:r>
      <w:proofErr w:type="gramStart"/>
      <w:r>
        <w:rPr>
          <w:sz w:val="22"/>
          <w:szCs w:val="22"/>
        </w:rPr>
        <w:t xml:space="preserve">prvky; </w:t>
      </w:r>
      <w:r w:rsidR="0071384F">
        <w:rPr>
          <w:sz w:val="22"/>
          <w:szCs w:val="22"/>
        </w:rPr>
        <w:t xml:space="preserve"> </w:t>
      </w:r>
      <w:r w:rsidR="001D0FAA">
        <w:rPr>
          <w:sz w:val="22"/>
          <w:szCs w:val="22"/>
        </w:rPr>
        <w:t>a</w:t>
      </w:r>
      <w:proofErr w:type="gramEnd"/>
      <w:r w:rsidR="001D0FAA">
        <w:rPr>
          <w:sz w:val="22"/>
          <w:szCs w:val="22"/>
        </w:rPr>
        <w:t xml:space="preserve"> s </w:t>
      </w:r>
      <w:proofErr w:type="spellStart"/>
      <w:r w:rsidR="001D0FAA">
        <w:rPr>
          <w:sz w:val="22"/>
          <w:szCs w:val="22"/>
        </w:rPr>
        <w:t>piánem</w:t>
      </w:r>
      <w:proofErr w:type="spellEnd"/>
      <w:r w:rsidR="001D0FAA">
        <w:rPr>
          <w:sz w:val="22"/>
          <w:szCs w:val="22"/>
        </w:rPr>
        <w:t xml:space="preserve"> v místnosti č. 134</w:t>
      </w:r>
    </w:p>
    <w:p w14:paraId="246332C9" w14:textId="77777777"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14:paraId="0CA0015E" w14:textId="77777777"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14:paraId="71613D66" w14:textId="77777777"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14:paraId="3A7D727C" w14:textId="77777777"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14:paraId="799DBF68" w14:textId="77777777"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14:paraId="33C4FA1C" w14:textId="77777777"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14:paraId="26BBCB6E" w14:textId="77777777"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14:paraId="0D780AD7" w14:textId="77777777"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14:paraId="51447F58" w14:textId="7E58BC08" w:rsidR="00EC2B15" w:rsidRPr="00EC2B15" w:rsidRDefault="00015B15" w:rsidP="00EC2B15">
      <w:pPr>
        <w:numPr>
          <w:ilvl w:val="0"/>
          <w:numId w:val="13"/>
        </w:numPr>
      </w:pPr>
      <w:r>
        <w:t>nájemce</w:t>
      </w:r>
      <w:r w:rsidR="00EC2B15">
        <w:t xml:space="preserve"> </w:t>
      </w:r>
      <w:proofErr w:type="gramStart"/>
      <w:r w:rsidR="00EC2B15">
        <w:t>( nebo</w:t>
      </w:r>
      <w:proofErr w:type="gramEnd"/>
      <w:r w:rsidR="00EC2B15">
        <w:t xml:space="preserve"> jak je nazvaný) je povinen na svůj náklad a na svojí odpovědnost dodržovat veškeré právní předpisy vztahující se na pořádání akce, a to zejména předpisy vztahující se k ochraně života a zdraví všech </w:t>
      </w:r>
      <w:proofErr w:type="spellStart"/>
      <w:r w:rsidR="00EC2B15">
        <w:t>zůčastněných</w:t>
      </w:r>
      <w:proofErr w:type="spellEnd"/>
      <w:r w:rsidR="00EC2B15">
        <w:t xml:space="preserve"> osob, hygienické předpisy apod.</w:t>
      </w:r>
    </w:p>
    <w:p w14:paraId="4BD6375F" w14:textId="77777777"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14:paraId="741720A2" w14:textId="77777777" w:rsidR="00B031CD" w:rsidRPr="00B031CD" w:rsidRDefault="00B031CD" w:rsidP="00B031CD">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14:paraId="364BE0FC" w14:textId="77777777" w:rsidR="00A95061" w:rsidRPr="00A95061" w:rsidRDefault="00A95061" w:rsidP="00A9506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14:paraId="18030063" w14:textId="77777777" w:rsidR="00546795" w:rsidRPr="00546795" w:rsidRDefault="00546795" w:rsidP="00546795">
      <w:pPr>
        <w:ind w:left="360"/>
        <w:rPr>
          <w:sz w:val="22"/>
          <w:szCs w:val="22"/>
        </w:rPr>
      </w:pPr>
    </w:p>
    <w:p w14:paraId="46328B77" w14:textId="77777777" w:rsidR="00660923" w:rsidRDefault="00660923" w:rsidP="00660923">
      <w:pPr>
        <w:pStyle w:val="Odstavecseseznamem"/>
        <w:autoSpaceDE/>
        <w:autoSpaceDN/>
        <w:jc w:val="both"/>
        <w:rPr>
          <w:sz w:val="22"/>
          <w:szCs w:val="22"/>
        </w:rPr>
      </w:pPr>
    </w:p>
    <w:p w14:paraId="1C1D223C" w14:textId="77777777"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14:paraId="24B70EA5" w14:textId="77777777" w:rsidR="00660923" w:rsidRPr="001C7A23" w:rsidRDefault="00660923" w:rsidP="00660923">
      <w:pPr>
        <w:spacing w:before="120"/>
        <w:rPr>
          <w:sz w:val="22"/>
          <w:szCs w:val="22"/>
        </w:rPr>
      </w:pPr>
    </w:p>
    <w:p w14:paraId="1DB9A849" w14:textId="77777777" w:rsidR="00660923" w:rsidRDefault="00660923" w:rsidP="00660923">
      <w:pPr>
        <w:pStyle w:val="Nadpis3"/>
        <w:numPr>
          <w:ilvl w:val="0"/>
          <w:numId w:val="10"/>
        </w:numPr>
        <w:autoSpaceDE w:val="0"/>
        <w:autoSpaceDN w:val="0"/>
        <w:rPr>
          <w:szCs w:val="24"/>
        </w:rPr>
      </w:pPr>
      <w:r>
        <w:t xml:space="preserve"> Oprávnění ke vstupu a pokyny NR</w:t>
      </w:r>
    </w:p>
    <w:p w14:paraId="7679B1E9" w14:textId="77777777" w:rsidR="00660923" w:rsidRDefault="00660923" w:rsidP="005951BE">
      <w:pPr>
        <w:pStyle w:val="Zkladntext2"/>
        <w:spacing w:line="240" w:lineRule="auto"/>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14:paraId="35AB3D18" w14:textId="77777777" w:rsidR="00660923" w:rsidRDefault="00660923" w:rsidP="00660923">
      <w:pPr>
        <w:spacing w:before="120" w:line="240" w:lineRule="atLeast"/>
      </w:pPr>
    </w:p>
    <w:p w14:paraId="05538888" w14:textId="77777777" w:rsidR="00660923" w:rsidRDefault="00660923" w:rsidP="00660923">
      <w:pPr>
        <w:pStyle w:val="Nadpis3"/>
        <w:numPr>
          <w:ilvl w:val="0"/>
          <w:numId w:val="10"/>
        </w:numPr>
        <w:autoSpaceDE w:val="0"/>
        <w:autoSpaceDN w:val="0"/>
        <w:rPr>
          <w:szCs w:val="24"/>
        </w:rPr>
      </w:pPr>
      <w:r>
        <w:t xml:space="preserve"> Závěrečná ustanovení</w:t>
      </w:r>
    </w:p>
    <w:p w14:paraId="70A96F78" w14:textId="77777777" w:rsidR="00660923" w:rsidRDefault="00660923" w:rsidP="00660923">
      <w:pPr>
        <w:rPr>
          <w:sz w:val="22"/>
        </w:rPr>
      </w:pPr>
    </w:p>
    <w:p w14:paraId="2F2632ED" w14:textId="77777777"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14:paraId="677C69F7" w14:textId="77777777" w:rsidR="00660923" w:rsidRDefault="00660923" w:rsidP="00660923">
      <w:pPr>
        <w:ind w:left="360"/>
        <w:rPr>
          <w:sz w:val="22"/>
        </w:rPr>
      </w:pPr>
    </w:p>
    <w:p w14:paraId="2AFA0797" w14:textId="77777777" w:rsidR="00660923" w:rsidRPr="00C41679" w:rsidRDefault="00660923" w:rsidP="00660923">
      <w:pPr>
        <w:numPr>
          <w:ilvl w:val="0"/>
          <w:numId w:val="15"/>
        </w:numPr>
        <w:autoSpaceDE w:val="0"/>
        <w:autoSpaceDN w:val="0"/>
        <w:rPr>
          <w:sz w:val="22"/>
          <w:szCs w:val="22"/>
        </w:rPr>
      </w:pPr>
      <w:r w:rsidRPr="00E277B5">
        <w:rPr>
          <w:sz w:val="22"/>
          <w:szCs w:val="22"/>
        </w:rPr>
        <w:lastRenderedPageBreak/>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502040C" w14:textId="77777777" w:rsidR="00660923" w:rsidRDefault="00660923" w:rsidP="00660923">
      <w:pPr>
        <w:ind w:left="360"/>
        <w:rPr>
          <w:sz w:val="22"/>
        </w:rPr>
      </w:pPr>
    </w:p>
    <w:p w14:paraId="4962122E" w14:textId="77777777"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14:paraId="52605609" w14:textId="77777777" w:rsidR="00660923" w:rsidRDefault="00660923" w:rsidP="00660923">
      <w:pPr>
        <w:pStyle w:val="Odstavecseseznamem"/>
        <w:rPr>
          <w:sz w:val="22"/>
        </w:rPr>
      </w:pPr>
    </w:p>
    <w:p w14:paraId="54D1839D" w14:textId="77777777"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14:paraId="04B310E7" w14:textId="77777777" w:rsidR="00660923" w:rsidRDefault="00660923" w:rsidP="00660923">
      <w:pPr>
        <w:rPr>
          <w:sz w:val="22"/>
        </w:rPr>
      </w:pPr>
    </w:p>
    <w:p w14:paraId="649C32DA" w14:textId="77777777" w:rsidR="00660923" w:rsidRDefault="00660923" w:rsidP="00660923">
      <w:pPr>
        <w:pStyle w:val="Zkladntextodsazen"/>
        <w:numPr>
          <w:ilvl w:val="0"/>
          <w:numId w:val="15"/>
        </w:numPr>
        <w:tabs>
          <w:tab w:val="left" w:pos="709"/>
          <w:tab w:val="left" w:pos="851"/>
        </w:tabs>
        <w:autoSpaceDE w:val="0"/>
        <w:autoSpaceDN w:val="0"/>
      </w:pPr>
      <w:r>
        <w:t>Nájemce uděluje NR souhlas, aby veškeré informace obsažené v této smlouvě byly poskytnuty vlastníku nebo správci nebytových prostor na jejich žádost a v souladu se zákonem též třetím osobám.</w:t>
      </w:r>
    </w:p>
    <w:p w14:paraId="5757B33B" w14:textId="77777777" w:rsidR="00660923" w:rsidRDefault="00660923" w:rsidP="00660923">
      <w:pPr>
        <w:pStyle w:val="Zkladntextodsazen"/>
        <w:tabs>
          <w:tab w:val="left" w:pos="709"/>
          <w:tab w:val="left" w:pos="851"/>
        </w:tabs>
        <w:ind w:left="0" w:firstLine="0"/>
      </w:pPr>
    </w:p>
    <w:p w14:paraId="5A83B6B3" w14:textId="77777777" w:rsidR="00660923" w:rsidRDefault="00660923" w:rsidP="00660923">
      <w:pPr>
        <w:pStyle w:val="Zkladntextodsazen"/>
        <w:numPr>
          <w:ilvl w:val="0"/>
          <w:numId w:val="15"/>
        </w:numPr>
        <w:tabs>
          <w:tab w:val="left" w:pos="709"/>
          <w:tab w:val="left" w:pos="851"/>
        </w:tabs>
        <w:autoSpaceDE w:val="0"/>
        <w:autoSpaceDN w:val="0"/>
      </w:pPr>
      <w:r>
        <w:t>Smlouva je vyhotovena ve dvou vyhotoveních, z nichž NR i nájemce obdrží jeden stejnopis.</w:t>
      </w:r>
    </w:p>
    <w:p w14:paraId="0A04C9D2" w14:textId="77777777" w:rsidR="00660923" w:rsidRDefault="00660923" w:rsidP="00660923">
      <w:pPr>
        <w:pStyle w:val="Odstavecseseznamem"/>
      </w:pPr>
    </w:p>
    <w:p w14:paraId="74BF3A21" w14:textId="77777777" w:rsidR="00660923" w:rsidRDefault="00660923" w:rsidP="00660923">
      <w:pPr>
        <w:pStyle w:val="Zkladntextodsazen"/>
        <w:numPr>
          <w:ilvl w:val="0"/>
          <w:numId w:val="15"/>
        </w:numPr>
        <w:tabs>
          <w:tab w:val="left" w:pos="709"/>
          <w:tab w:val="left" w:pos="851"/>
        </w:tabs>
        <w:autoSpaceDE w:val="0"/>
        <w:autoSpaceDN w:val="0"/>
      </w:pPr>
      <w:r>
        <w:t>Vztahy výslovně neupravené touto smlouvou se řídí příslušnými ustanoveními zákona č. 89/2012 Sb., občanský zákoník, příp. příslušnými ustanoveními ostatních obecně závazných právních předpisů.</w:t>
      </w:r>
    </w:p>
    <w:p w14:paraId="6725F0B5" w14:textId="77777777" w:rsidR="00660923" w:rsidRDefault="00660923" w:rsidP="00660923">
      <w:pPr>
        <w:pStyle w:val="Odstavecseseznamem"/>
        <w:ind w:left="0"/>
      </w:pPr>
    </w:p>
    <w:p w14:paraId="35903F2C" w14:textId="77777777" w:rsidR="00660923" w:rsidRDefault="00660923" w:rsidP="00660923">
      <w:pPr>
        <w:pStyle w:val="Zkladntextodsazen"/>
        <w:numPr>
          <w:ilvl w:val="0"/>
          <w:numId w:val="15"/>
        </w:numPr>
        <w:tabs>
          <w:tab w:val="left" w:pos="426"/>
        </w:tabs>
        <w:autoSpaceDE w:val="0"/>
        <w:autoSpaceDN w:val="0"/>
      </w:pPr>
      <w:r>
        <w:t xml:space="preserve">Pokud by se některé ustanovení této smlouvy ukázalo jako zcela nebo zčásti právně neúčinné, není tímto dotčena platnost ostatních ujednání. V takovém případě je třeba smlouvu vykládat (provádět) dle jejího obsahu (účelu). </w:t>
      </w:r>
    </w:p>
    <w:p w14:paraId="79D458A4" w14:textId="77777777" w:rsidR="00660923" w:rsidRDefault="00660923" w:rsidP="00660923">
      <w:pPr>
        <w:pStyle w:val="Odstavecseseznamem"/>
      </w:pPr>
    </w:p>
    <w:p w14:paraId="62598DBA" w14:textId="77777777" w:rsidR="00660923" w:rsidRDefault="00660923" w:rsidP="00660923">
      <w:pPr>
        <w:pStyle w:val="Zkladntextodsazen"/>
        <w:tabs>
          <w:tab w:val="left" w:pos="426"/>
        </w:tabs>
      </w:pPr>
    </w:p>
    <w:p w14:paraId="209F060B" w14:textId="77777777" w:rsidR="00660923" w:rsidRDefault="00660923" w:rsidP="00660923">
      <w:pPr>
        <w:spacing w:before="120" w:line="240" w:lineRule="atLeast"/>
      </w:pPr>
      <w:r>
        <w:t xml:space="preserve">                        </w:t>
      </w:r>
    </w:p>
    <w:p w14:paraId="0FB795F0" w14:textId="77777777"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14:paraId="10FFC5AC" w14:textId="77777777" w:rsidR="00660923" w:rsidRDefault="00660923" w:rsidP="00660923">
      <w:pPr>
        <w:spacing w:before="120" w:line="240" w:lineRule="atLeast"/>
        <w:rPr>
          <w:sz w:val="22"/>
        </w:rPr>
      </w:pPr>
    </w:p>
    <w:p w14:paraId="3F4F14C7" w14:textId="77777777" w:rsidR="00660923" w:rsidRDefault="00660923" w:rsidP="00660923">
      <w:pPr>
        <w:spacing w:before="120" w:line="240" w:lineRule="atLeast"/>
        <w:rPr>
          <w:sz w:val="22"/>
        </w:rPr>
      </w:pPr>
      <w:r>
        <w:rPr>
          <w:sz w:val="22"/>
        </w:rPr>
        <w:t xml:space="preserve">........................……                                                                  </w:t>
      </w:r>
      <w:r>
        <w:rPr>
          <w:sz w:val="22"/>
        </w:rPr>
        <w:tab/>
        <w:t>.........................……….</w:t>
      </w:r>
    </w:p>
    <w:p w14:paraId="57DCE019" w14:textId="4E095328" w:rsidR="00660923" w:rsidRDefault="00660923" w:rsidP="00660923">
      <w:pPr>
        <w:spacing w:before="120" w:line="240" w:lineRule="atLeast"/>
      </w:pPr>
      <w:r>
        <w:rPr>
          <w:sz w:val="22"/>
        </w:rPr>
        <w:t>N</w:t>
      </w:r>
      <w:r w:rsidR="00A9147B">
        <w:rPr>
          <w:sz w:val="22"/>
        </w:rPr>
        <w:t>ájemce</w:t>
      </w:r>
      <w:r>
        <w:rPr>
          <w:sz w:val="22"/>
        </w:rPr>
        <w:t xml:space="preserve">                                                                               </w:t>
      </w:r>
      <w:r w:rsidR="00A9147B">
        <w:rPr>
          <w:sz w:val="22"/>
        </w:rPr>
        <w:tab/>
        <w:t>NR</w:t>
      </w:r>
    </w:p>
    <w:p w14:paraId="4F8DF5B3" w14:textId="77777777" w:rsidR="00660923" w:rsidRDefault="00660923" w:rsidP="00660923"/>
    <w:p w14:paraId="1417ACF8" w14:textId="77777777" w:rsidR="00483157" w:rsidRPr="00660923" w:rsidRDefault="00483157" w:rsidP="00660923"/>
    <w:sectPr w:rsidR="00483157" w:rsidRPr="00660923" w:rsidSect="009C3A04">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FDC8E" w14:textId="77777777" w:rsidR="00371CA4" w:rsidRDefault="00371CA4" w:rsidP="00EB744B">
      <w:r>
        <w:separator/>
      </w:r>
    </w:p>
  </w:endnote>
  <w:endnote w:type="continuationSeparator" w:id="0">
    <w:p w14:paraId="50A27ECA" w14:textId="77777777" w:rsidR="00371CA4" w:rsidRDefault="00371CA4"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E152"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end"/>
    </w:r>
  </w:p>
  <w:p w14:paraId="753BE618" w14:textId="77777777" w:rsidR="00726F6A" w:rsidRDefault="00726F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FA61" w14:textId="77777777" w:rsidR="00726F6A" w:rsidRDefault="00DA383B">
    <w:pPr>
      <w:pStyle w:val="Zpat"/>
      <w:framePr w:wrap="around" w:vAnchor="text" w:hAnchor="margin" w:xAlign="center" w:y="1"/>
      <w:rPr>
        <w:rStyle w:val="slostrnky"/>
      </w:rPr>
    </w:pPr>
    <w:r>
      <w:rPr>
        <w:rStyle w:val="slostrnky"/>
      </w:rPr>
      <w:fldChar w:fldCharType="begin"/>
    </w:r>
    <w:r w:rsidR="00726F6A">
      <w:rPr>
        <w:rStyle w:val="slostrnky"/>
      </w:rPr>
      <w:instrText xml:space="preserve">PAGE  </w:instrText>
    </w:r>
    <w:r>
      <w:rPr>
        <w:rStyle w:val="slostrnky"/>
      </w:rPr>
      <w:fldChar w:fldCharType="separate"/>
    </w:r>
    <w:r w:rsidR="008C25AD">
      <w:rPr>
        <w:rStyle w:val="slostrnky"/>
        <w:noProof/>
      </w:rPr>
      <w:t>3</w:t>
    </w:r>
    <w:r>
      <w:rPr>
        <w:rStyle w:val="slostrnky"/>
      </w:rPr>
      <w:fldChar w:fldCharType="end"/>
    </w:r>
  </w:p>
  <w:p w14:paraId="094F256C" w14:textId="77777777" w:rsidR="00726F6A" w:rsidRDefault="00726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9D54" w14:textId="77777777" w:rsidR="00371CA4" w:rsidRDefault="00371CA4" w:rsidP="00EB744B">
      <w:r>
        <w:separator/>
      </w:r>
    </w:p>
  </w:footnote>
  <w:footnote w:type="continuationSeparator" w:id="0">
    <w:p w14:paraId="4BA94ED5" w14:textId="77777777" w:rsidR="00371CA4" w:rsidRDefault="00371CA4" w:rsidP="00EB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5A"/>
    <w:rsid w:val="000050D2"/>
    <w:rsid w:val="00015B15"/>
    <w:rsid w:val="00027E49"/>
    <w:rsid w:val="00035C81"/>
    <w:rsid w:val="000C4157"/>
    <w:rsid w:val="000D47CC"/>
    <w:rsid w:val="000F5FED"/>
    <w:rsid w:val="00101B1C"/>
    <w:rsid w:val="00106DAB"/>
    <w:rsid w:val="00120E61"/>
    <w:rsid w:val="00145BCC"/>
    <w:rsid w:val="00146381"/>
    <w:rsid w:val="001523BE"/>
    <w:rsid w:val="00153E3F"/>
    <w:rsid w:val="0015571F"/>
    <w:rsid w:val="001773BC"/>
    <w:rsid w:val="00190363"/>
    <w:rsid w:val="0019408D"/>
    <w:rsid w:val="001A6ED4"/>
    <w:rsid w:val="001C7E08"/>
    <w:rsid w:val="001D0FAA"/>
    <w:rsid w:val="00215856"/>
    <w:rsid w:val="00227006"/>
    <w:rsid w:val="00244074"/>
    <w:rsid w:val="0024425A"/>
    <w:rsid w:val="002536C1"/>
    <w:rsid w:val="002871C1"/>
    <w:rsid w:val="002B142D"/>
    <w:rsid w:val="0031460A"/>
    <w:rsid w:val="00355B68"/>
    <w:rsid w:val="00357CF4"/>
    <w:rsid w:val="00360139"/>
    <w:rsid w:val="00371CA4"/>
    <w:rsid w:val="00376EAC"/>
    <w:rsid w:val="00385693"/>
    <w:rsid w:val="00393575"/>
    <w:rsid w:val="003C4D9D"/>
    <w:rsid w:val="003C71E3"/>
    <w:rsid w:val="00483157"/>
    <w:rsid w:val="004856C5"/>
    <w:rsid w:val="004A1FE6"/>
    <w:rsid w:val="004A47A1"/>
    <w:rsid w:val="004B0DB5"/>
    <w:rsid w:val="004E38E7"/>
    <w:rsid w:val="004F77CA"/>
    <w:rsid w:val="0051578F"/>
    <w:rsid w:val="00540147"/>
    <w:rsid w:val="005429F5"/>
    <w:rsid w:val="005450F3"/>
    <w:rsid w:val="00546795"/>
    <w:rsid w:val="00575C7B"/>
    <w:rsid w:val="00575F1E"/>
    <w:rsid w:val="005951BE"/>
    <w:rsid w:val="005B7D5A"/>
    <w:rsid w:val="005E3335"/>
    <w:rsid w:val="005F2243"/>
    <w:rsid w:val="005F56DE"/>
    <w:rsid w:val="00600517"/>
    <w:rsid w:val="00601C42"/>
    <w:rsid w:val="00602AF4"/>
    <w:rsid w:val="00617322"/>
    <w:rsid w:val="00633341"/>
    <w:rsid w:val="00650CEA"/>
    <w:rsid w:val="00660923"/>
    <w:rsid w:val="00665876"/>
    <w:rsid w:val="006B5553"/>
    <w:rsid w:val="006C00D3"/>
    <w:rsid w:val="006C59C9"/>
    <w:rsid w:val="006D07E9"/>
    <w:rsid w:val="006D5C0F"/>
    <w:rsid w:val="006F08DE"/>
    <w:rsid w:val="00703E95"/>
    <w:rsid w:val="0071384F"/>
    <w:rsid w:val="00723BA9"/>
    <w:rsid w:val="00726909"/>
    <w:rsid w:val="00726F6A"/>
    <w:rsid w:val="007431EE"/>
    <w:rsid w:val="00750D84"/>
    <w:rsid w:val="00764852"/>
    <w:rsid w:val="007B3DF3"/>
    <w:rsid w:val="007D7C2A"/>
    <w:rsid w:val="007E7FF9"/>
    <w:rsid w:val="00822813"/>
    <w:rsid w:val="008319A2"/>
    <w:rsid w:val="00846C56"/>
    <w:rsid w:val="00880606"/>
    <w:rsid w:val="008A0112"/>
    <w:rsid w:val="008A4D0B"/>
    <w:rsid w:val="008B54D7"/>
    <w:rsid w:val="008C25AD"/>
    <w:rsid w:val="008C2F5C"/>
    <w:rsid w:val="008E3FDA"/>
    <w:rsid w:val="008F4609"/>
    <w:rsid w:val="009438E2"/>
    <w:rsid w:val="009566CE"/>
    <w:rsid w:val="00963A2F"/>
    <w:rsid w:val="0096522B"/>
    <w:rsid w:val="00981044"/>
    <w:rsid w:val="009829BA"/>
    <w:rsid w:val="009A0A98"/>
    <w:rsid w:val="009B36EB"/>
    <w:rsid w:val="009C13CB"/>
    <w:rsid w:val="009C3A04"/>
    <w:rsid w:val="00A0725D"/>
    <w:rsid w:val="00A40BA4"/>
    <w:rsid w:val="00A47407"/>
    <w:rsid w:val="00A60DD5"/>
    <w:rsid w:val="00A9147B"/>
    <w:rsid w:val="00A95061"/>
    <w:rsid w:val="00AA1D8C"/>
    <w:rsid w:val="00AB4037"/>
    <w:rsid w:val="00AC3680"/>
    <w:rsid w:val="00AF0CFF"/>
    <w:rsid w:val="00AF1CA6"/>
    <w:rsid w:val="00B031CD"/>
    <w:rsid w:val="00B10997"/>
    <w:rsid w:val="00B77F4E"/>
    <w:rsid w:val="00BA5130"/>
    <w:rsid w:val="00BB3DFD"/>
    <w:rsid w:val="00BB5638"/>
    <w:rsid w:val="00BD3616"/>
    <w:rsid w:val="00C00C20"/>
    <w:rsid w:val="00C102D8"/>
    <w:rsid w:val="00C11CDF"/>
    <w:rsid w:val="00C14B15"/>
    <w:rsid w:val="00C226AD"/>
    <w:rsid w:val="00C23509"/>
    <w:rsid w:val="00C3044C"/>
    <w:rsid w:val="00C34490"/>
    <w:rsid w:val="00C4016B"/>
    <w:rsid w:val="00C63248"/>
    <w:rsid w:val="00C969CA"/>
    <w:rsid w:val="00CA1893"/>
    <w:rsid w:val="00CD4DBA"/>
    <w:rsid w:val="00CE0E7C"/>
    <w:rsid w:val="00CF72CA"/>
    <w:rsid w:val="00D05718"/>
    <w:rsid w:val="00D1478D"/>
    <w:rsid w:val="00D60395"/>
    <w:rsid w:val="00D652BB"/>
    <w:rsid w:val="00D72550"/>
    <w:rsid w:val="00D8629C"/>
    <w:rsid w:val="00D9347B"/>
    <w:rsid w:val="00DA29A3"/>
    <w:rsid w:val="00DA383B"/>
    <w:rsid w:val="00DC4D21"/>
    <w:rsid w:val="00DC6029"/>
    <w:rsid w:val="00DE164E"/>
    <w:rsid w:val="00DE7A2D"/>
    <w:rsid w:val="00E077F0"/>
    <w:rsid w:val="00E556E2"/>
    <w:rsid w:val="00EB744B"/>
    <w:rsid w:val="00EC2B15"/>
    <w:rsid w:val="00F1498F"/>
    <w:rsid w:val="00F32E30"/>
    <w:rsid w:val="00F4253A"/>
    <w:rsid w:val="00F50FD3"/>
    <w:rsid w:val="00F55362"/>
    <w:rsid w:val="00F603BC"/>
    <w:rsid w:val="00F63121"/>
    <w:rsid w:val="00F660F3"/>
    <w:rsid w:val="00FE45B4"/>
    <w:rsid w:val="00FF2B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89DBE8"/>
  <w15:docId w15:val="{25A8C297-8AA3-46FA-BE5F-7F87F942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semiHidden/>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DC4D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D2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2134</Words>
  <Characters>12594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Zuzana Menhartová</cp:lastModifiedBy>
  <cp:revision>3</cp:revision>
  <cp:lastPrinted>2020-06-03T10:22:00Z</cp:lastPrinted>
  <dcterms:created xsi:type="dcterms:W3CDTF">2024-03-27T07:32:00Z</dcterms:created>
  <dcterms:modified xsi:type="dcterms:W3CDTF">2024-03-27T07:36:00Z</dcterms:modified>
</cp:coreProperties>
</file>