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C9" w:rsidRDefault="00710603" w:rsidP="00710603">
      <w:pPr>
        <w:tabs>
          <w:tab w:val="left" w:pos="6804"/>
        </w:tabs>
        <w:spacing w:after="0" w:line="254" w:lineRule="auto"/>
        <w:ind w:left="1898" w:right="0" w:firstLine="0"/>
        <w:jc w:val="right"/>
      </w:pPr>
      <w:r>
        <w:rPr>
          <w:b/>
          <w:bCs/>
          <w:sz w:val="28"/>
          <w:szCs w:val="28"/>
        </w:rPr>
        <w:t xml:space="preserve">č. </w:t>
      </w:r>
      <w:r w:rsidR="003717F9">
        <w:rPr>
          <w:b/>
          <w:bCs/>
          <w:sz w:val="28"/>
          <w:szCs w:val="28"/>
        </w:rPr>
        <w:t>1183/2024/1P-2024/K</w:t>
      </w:r>
    </w:p>
    <w:p w:rsidR="00201FC9" w:rsidRDefault="00201FC9">
      <w:pPr>
        <w:spacing w:after="0" w:line="254" w:lineRule="auto"/>
        <w:ind w:left="537" w:right="0" w:firstLine="0"/>
        <w:jc w:val="center"/>
      </w:pPr>
      <w:r>
        <w:rPr>
          <w:b/>
          <w:sz w:val="28"/>
        </w:rPr>
        <w:t>Kupní smlouva</w:t>
      </w:r>
    </w:p>
    <w:p w:rsidR="00201FC9" w:rsidRPr="00111468" w:rsidRDefault="00201FC9">
      <w:pPr>
        <w:spacing w:after="0" w:line="254" w:lineRule="auto"/>
        <w:ind w:left="0" w:right="0" w:firstLine="0"/>
        <w:jc w:val="left"/>
        <w:rPr>
          <w:sz w:val="10"/>
        </w:rPr>
      </w:pPr>
      <w:r>
        <w:rPr>
          <w:sz w:val="28"/>
        </w:rPr>
        <w:t xml:space="preserve"> </w:t>
      </w:r>
    </w:p>
    <w:p w:rsidR="00201FC9" w:rsidRDefault="00201FC9">
      <w:pPr>
        <w:spacing w:after="3" w:line="254" w:lineRule="auto"/>
        <w:ind w:left="-5" w:right="0"/>
        <w:jc w:val="left"/>
      </w:pPr>
      <w:r>
        <w:rPr>
          <w:b/>
        </w:rPr>
        <w:t xml:space="preserve">Smluvní strany:   </w:t>
      </w:r>
    </w:p>
    <w:p w:rsidR="00201FC9" w:rsidRPr="00B159F9" w:rsidRDefault="00201FC9">
      <w:pPr>
        <w:spacing w:after="31" w:line="254" w:lineRule="auto"/>
        <w:ind w:left="0" w:right="0" w:firstLine="0"/>
        <w:jc w:val="left"/>
        <w:rPr>
          <w:sz w:val="14"/>
        </w:rPr>
      </w:pPr>
      <w:r>
        <w:t xml:space="preserve"> </w:t>
      </w:r>
    </w:p>
    <w:p w:rsidR="00201FC9" w:rsidRDefault="00201FC9" w:rsidP="00DB1A5C">
      <w:pPr>
        <w:tabs>
          <w:tab w:val="left" w:pos="1701"/>
        </w:tabs>
        <w:ind w:left="-5" w:right="0"/>
        <w:rPr>
          <w:szCs w:val="24"/>
        </w:rPr>
      </w:pPr>
      <w:r w:rsidRPr="636FE156">
        <w:rPr>
          <w:b/>
          <w:bCs/>
          <w:szCs w:val="24"/>
        </w:rPr>
        <w:t>Prodávající:</w:t>
      </w:r>
      <w:r w:rsidR="20BED5BA" w:rsidRPr="636FE156">
        <w:rPr>
          <w:b/>
          <w:bCs/>
          <w:szCs w:val="24"/>
        </w:rPr>
        <w:t xml:space="preserve"> </w:t>
      </w:r>
      <w:r w:rsidR="00DB1A5C">
        <w:rPr>
          <w:b/>
          <w:bCs/>
          <w:szCs w:val="24"/>
        </w:rPr>
        <w:tab/>
      </w:r>
      <w:r w:rsidR="20BED5BA" w:rsidRPr="636FE156">
        <w:rPr>
          <w:b/>
          <w:bCs/>
          <w:szCs w:val="24"/>
          <w:lang w:val="en-US"/>
        </w:rPr>
        <w:t>AUDIOPRO s.r.o.</w:t>
      </w:r>
    </w:p>
    <w:p w:rsidR="00201FC9" w:rsidRDefault="0023635A" w:rsidP="0023635A">
      <w:pPr>
        <w:tabs>
          <w:tab w:val="left" w:pos="1701"/>
        </w:tabs>
        <w:ind w:left="-5" w:right="0"/>
        <w:rPr>
          <w:szCs w:val="24"/>
        </w:rPr>
      </w:pPr>
      <w:r>
        <w:rPr>
          <w:szCs w:val="24"/>
        </w:rPr>
        <w:tab/>
      </w:r>
      <w:r w:rsidR="00260E45">
        <w:rPr>
          <w:szCs w:val="24"/>
        </w:rPr>
        <w:tab/>
      </w:r>
      <w:r w:rsidR="17CB81E8" w:rsidRPr="636FE156">
        <w:rPr>
          <w:szCs w:val="24"/>
        </w:rPr>
        <w:t>Mladoboleslavská 1108, 197 00 Praha 9</w:t>
      </w:r>
      <w:r w:rsidR="00201FC9" w:rsidRPr="636FE156">
        <w:rPr>
          <w:szCs w:val="24"/>
        </w:rPr>
        <w:t xml:space="preserve"> </w:t>
      </w:r>
    </w:p>
    <w:p w:rsidR="00201FC9" w:rsidRDefault="00260E45" w:rsidP="00260E45">
      <w:pPr>
        <w:tabs>
          <w:tab w:val="left" w:pos="1701"/>
        </w:tabs>
        <w:ind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01FC9" w:rsidRPr="636FE156">
        <w:rPr>
          <w:szCs w:val="24"/>
        </w:rPr>
        <w:t xml:space="preserve">zastoupená: </w:t>
      </w:r>
    </w:p>
    <w:p w:rsidR="00201FC9" w:rsidRDefault="00260E45" w:rsidP="00260E45">
      <w:pPr>
        <w:tabs>
          <w:tab w:val="left" w:pos="1701"/>
        </w:tabs>
        <w:ind w:left="0" w:right="0" w:firstLine="0"/>
        <w:rPr>
          <w:szCs w:val="24"/>
        </w:rPr>
      </w:pPr>
      <w:r>
        <w:rPr>
          <w:szCs w:val="24"/>
        </w:rPr>
        <w:tab/>
      </w:r>
      <w:r w:rsidR="00201FC9" w:rsidRPr="636FE156">
        <w:rPr>
          <w:szCs w:val="24"/>
        </w:rPr>
        <w:t xml:space="preserve">IČO: </w:t>
      </w:r>
      <w:r w:rsidR="0F8C1B94" w:rsidRPr="636FE156">
        <w:rPr>
          <w:szCs w:val="24"/>
        </w:rPr>
        <w:t>26702371</w:t>
      </w:r>
    </w:p>
    <w:p w:rsidR="00201FC9" w:rsidRDefault="00260E45" w:rsidP="00260E45">
      <w:pPr>
        <w:tabs>
          <w:tab w:val="left" w:pos="1701"/>
        </w:tabs>
        <w:ind w:left="-5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01FC9" w:rsidRPr="636FE156">
        <w:rPr>
          <w:szCs w:val="24"/>
        </w:rPr>
        <w:t xml:space="preserve">DIČ: </w:t>
      </w:r>
      <w:r w:rsidR="2235AAA8" w:rsidRPr="636FE156">
        <w:rPr>
          <w:szCs w:val="24"/>
        </w:rPr>
        <w:t>CZ26702371</w:t>
      </w:r>
    </w:p>
    <w:p w:rsidR="00201FC9" w:rsidRDefault="00260E45" w:rsidP="00260E45">
      <w:pPr>
        <w:tabs>
          <w:tab w:val="left" w:pos="1701"/>
        </w:tabs>
        <w:ind w:left="-5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01FC9" w:rsidRPr="636FE156">
        <w:rPr>
          <w:szCs w:val="24"/>
        </w:rPr>
        <w:t>tel.:</w:t>
      </w:r>
      <w:r w:rsidR="6D00E877" w:rsidRPr="636FE156">
        <w:rPr>
          <w:szCs w:val="24"/>
        </w:rPr>
        <w:t xml:space="preserve"> </w:t>
      </w:r>
    </w:p>
    <w:p w:rsidR="00201FC9" w:rsidRDefault="00260E45" w:rsidP="00260E45">
      <w:pPr>
        <w:tabs>
          <w:tab w:val="left" w:pos="1701"/>
        </w:tabs>
        <w:ind w:left="0" w:right="1" w:firstLine="0"/>
        <w:rPr>
          <w:szCs w:val="24"/>
        </w:rPr>
      </w:pPr>
      <w:r>
        <w:rPr>
          <w:szCs w:val="24"/>
        </w:rPr>
        <w:tab/>
      </w:r>
      <w:r w:rsidR="00201FC9" w:rsidRPr="636FE156">
        <w:rPr>
          <w:szCs w:val="24"/>
        </w:rPr>
        <w:t>bankovní spojení:</w:t>
      </w:r>
      <w:r w:rsidR="6EDE8E2C" w:rsidRPr="636FE156">
        <w:rPr>
          <w:szCs w:val="24"/>
        </w:rPr>
        <w:t xml:space="preserve"> </w:t>
      </w:r>
    </w:p>
    <w:p w:rsidR="00201FC9" w:rsidRDefault="00DB1A5C" w:rsidP="00DB1A5C">
      <w:pPr>
        <w:tabs>
          <w:tab w:val="left" w:pos="1701"/>
        </w:tabs>
        <w:ind w:left="0" w:right="3719" w:firstLine="0"/>
        <w:rPr>
          <w:szCs w:val="24"/>
        </w:rPr>
      </w:pPr>
      <w:r>
        <w:rPr>
          <w:szCs w:val="24"/>
        </w:rPr>
        <w:tab/>
      </w:r>
      <w:r w:rsidR="00201FC9" w:rsidRPr="636FE156">
        <w:rPr>
          <w:szCs w:val="24"/>
        </w:rPr>
        <w:t>číslo účtu:</w:t>
      </w:r>
      <w:r w:rsidR="64B88B9F" w:rsidRPr="636FE156">
        <w:rPr>
          <w:szCs w:val="24"/>
        </w:rPr>
        <w:t xml:space="preserve"> </w:t>
      </w:r>
    </w:p>
    <w:p w:rsidR="00201FC9" w:rsidRPr="00B159F9" w:rsidRDefault="00201FC9">
      <w:pPr>
        <w:spacing w:after="0" w:line="254" w:lineRule="auto"/>
        <w:ind w:left="0" w:right="0" w:firstLine="0"/>
        <w:jc w:val="left"/>
        <w:rPr>
          <w:sz w:val="16"/>
        </w:rPr>
      </w:pPr>
    </w:p>
    <w:p w:rsidR="00201FC9" w:rsidRDefault="008A1FFF">
      <w:pPr>
        <w:spacing w:after="24" w:line="254" w:lineRule="auto"/>
        <w:ind w:left="0" w:right="0" w:firstLine="0"/>
        <w:jc w:val="left"/>
      </w:pPr>
      <w:r>
        <w:rPr>
          <w:b/>
        </w:rPr>
        <w:t>a</w:t>
      </w:r>
    </w:p>
    <w:p w:rsidR="008A1FFF" w:rsidRPr="00B159F9" w:rsidRDefault="008A1FFF">
      <w:pPr>
        <w:spacing w:after="24" w:line="254" w:lineRule="auto"/>
        <w:ind w:left="0" w:right="0" w:firstLine="0"/>
        <w:jc w:val="left"/>
        <w:rPr>
          <w:sz w:val="14"/>
        </w:rPr>
      </w:pPr>
    </w:p>
    <w:p w:rsidR="00201FC9" w:rsidRPr="00111468" w:rsidRDefault="00405F21" w:rsidP="00DB1A5C">
      <w:pPr>
        <w:tabs>
          <w:tab w:val="left" w:pos="1701"/>
        </w:tabs>
        <w:ind w:left="-5" w:right="0"/>
        <w:rPr>
          <w:b/>
        </w:rPr>
      </w:pPr>
      <w:r>
        <w:rPr>
          <w:b/>
        </w:rPr>
        <w:t>Kupující:</w:t>
      </w:r>
      <w:r w:rsidR="00DB1A5C">
        <w:rPr>
          <w:b/>
        </w:rPr>
        <w:tab/>
      </w:r>
      <w:r w:rsidR="00201FC9" w:rsidRPr="00111468">
        <w:rPr>
          <w:b/>
        </w:rPr>
        <w:t xml:space="preserve">Hotelová škola </w:t>
      </w:r>
      <w:r w:rsidR="00B53EF8" w:rsidRPr="00111468">
        <w:rPr>
          <w:b/>
        </w:rPr>
        <w:t xml:space="preserve">a Gymnázium </w:t>
      </w:r>
      <w:r w:rsidR="00201FC9" w:rsidRPr="00111468">
        <w:rPr>
          <w:b/>
        </w:rPr>
        <w:t xml:space="preserve">Radlická </w:t>
      </w:r>
    </w:p>
    <w:p w:rsidR="00201FC9" w:rsidRDefault="00DB1A5C" w:rsidP="00DB1A5C">
      <w:pPr>
        <w:tabs>
          <w:tab w:val="left" w:pos="1701"/>
        </w:tabs>
        <w:ind w:left="-5" w:right="0"/>
      </w:pPr>
      <w:r>
        <w:tab/>
      </w:r>
      <w:r>
        <w:tab/>
      </w:r>
      <w:r w:rsidR="00201FC9">
        <w:t>Rad</w:t>
      </w:r>
      <w:r w:rsidR="00405F21">
        <w:t xml:space="preserve">lická </w:t>
      </w:r>
      <w:r w:rsidR="00B53EF8">
        <w:t>591/</w:t>
      </w:r>
      <w:r w:rsidR="00405F21">
        <w:t xml:space="preserve">115, 158 00 </w:t>
      </w:r>
      <w:r w:rsidR="00201FC9">
        <w:t xml:space="preserve">Praha 5 </w:t>
      </w:r>
    </w:p>
    <w:p w:rsidR="00201FC9" w:rsidRDefault="00DB1A5C" w:rsidP="00DB1A5C">
      <w:pPr>
        <w:tabs>
          <w:tab w:val="left" w:pos="1701"/>
        </w:tabs>
        <w:ind w:left="-5" w:right="0"/>
      </w:pPr>
      <w:r>
        <w:tab/>
      </w:r>
      <w:r>
        <w:tab/>
      </w:r>
      <w:r w:rsidR="00201FC9">
        <w:t xml:space="preserve">zastoupená: </w:t>
      </w:r>
    </w:p>
    <w:p w:rsidR="00201FC9" w:rsidRDefault="00DB1A5C" w:rsidP="00DB1A5C">
      <w:pPr>
        <w:tabs>
          <w:tab w:val="left" w:pos="1701"/>
        </w:tabs>
        <w:ind w:right="0"/>
        <w:jc w:val="left"/>
      </w:pPr>
      <w:r>
        <w:tab/>
      </w:r>
      <w:r>
        <w:tab/>
      </w:r>
      <w:r w:rsidR="00201FC9">
        <w:t xml:space="preserve">IČO: 60446242 </w:t>
      </w:r>
    </w:p>
    <w:p w:rsidR="00201FC9" w:rsidRDefault="00DB1A5C" w:rsidP="00DB1A5C">
      <w:pPr>
        <w:tabs>
          <w:tab w:val="left" w:pos="1701"/>
        </w:tabs>
        <w:ind w:left="-5" w:right="0"/>
      </w:pPr>
      <w:r>
        <w:tab/>
      </w:r>
      <w:r>
        <w:tab/>
      </w:r>
      <w:r w:rsidR="00405F21">
        <w:t xml:space="preserve">tel.: </w:t>
      </w:r>
      <w:r w:rsidR="00201FC9">
        <w:t xml:space="preserve">251 172 112   </w:t>
      </w:r>
    </w:p>
    <w:p w:rsidR="00405F21" w:rsidRDefault="00DB1A5C" w:rsidP="00DB1A5C">
      <w:pPr>
        <w:tabs>
          <w:tab w:val="left" w:pos="1701"/>
        </w:tabs>
        <w:ind w:left="0" w:right="3719" w:firstLine="0"/>
      </w:pPr>
      <w:r>
        <w:tab/>
      </w:r>
      <w:r w:rsidR="00201FC9">
        <w:t>bankovní spojení</w:t>
      </w:r>
      <w:r w:rsidR="00405F21">
        <w:t xml:space="preserve">:  </w:t>
      </w:r>
    </w:p>
    <w:p w:rsidR="00201FC9" w:rsidRDefault="00DB1A5C" w:rsidP="00DB1A5C">
      <w:pPr>
        <w:tabs>
          <w:tab w:val="left" w:pos="1701"/>
        </w:tabs>
        <w:ind w:right="3719"/>
      </w:pPr>
      <w:r>
        <w:tab/>
      </w:r>
      <w:r>
        <w:tab/>
      </w:r>
      <w:r w:rsidR="00405F21">
        <w:t>číslo účtu</w:t>
      </w:r>
      <w:r w:rsidR="00201FC9">
        <w:t xml:space="preserve">: </w:t>
      </w:r>
    </w:p>
    <w:p w:rsidR="00201FC9" w:rsidRDefault="00201FC9">
      <w:pPr>
        <w:spacing w:after="0" w:line="254" w:lineRule="auto"/>
        <w:ind w:left="0" w:right="0" w:firstLine="0"/>
        <w:jc w:val="left"/>
      </w:pPr>
      <w:r>
        <w:t xml:space="preserve"> </w:t>
      </w:r>
    </w:p>
    <w:p w:rsidR="00201FC9" w:rsidRDefault="00201FC9">
      <w:pPr>
        <w:ind w:left="-5" w:right="0"/>
      </w:pPr>
      <w:r>
        <w:t xml:space="preserve">uzavírají v souladu s ustanovením § 2079 zákona č. 89/2012 Sb., občanský zákoník, ve znění pozdějších předpisů, tuto </w:t>
      </w:r>
      <w:r w:rsidRPr="0084367D">
        <w:rPr>
          <w:b/>
          <w:szCs w:val="24"/>
        </w:rPr>
        <w:t>kupní smlouvu.</w:t>
      </w:r>
      <w:r>
        <w:rPr>
          <w:b/>
          <w:sz w:val="26"/>
        </w:rPr>
        <w:t xml:space="preserve"> </w:t>
      </w:r>
    </w:p>
    <w:p w:rsidR="00201FC9" w:rsidRDefault="00201FC9">
      <w:pPr>
        <w:spacing w:after="0" w:line="254" w:lineRule="auto"/>
        <w:ind w:left="0" w:right="0" w:firstLine="0"/>
        <w:jc w:val="left"/>
      </w:pPr>
      <w:r>
        <w:t xml:space="preserve"> </w:t>
      </w:r>
    </w:p>
    <w:p w:rsidR="00201FC9" w:rsidRDefault="00201FC9">
      <w:pPr>
        <w:spacing w:after="26" w:line="254" w:lineRule="auto"/>
        <w:ind w:right="0"/>
        <w:jc w:val="center"/>
      </w:pPr>
      <w:r>
        <w:rPr>
          <w:b/>
        </w:rPr>
        <w:t xml:space="preserve">I. </w:t>
      </w:r>
    </w:p>
    <w:p w:rsidR="00201FC9" w:rsidRDefault="00201FC9">
      <w:pPr>
        <w:ind w:left="-15" w:right="1039" w:firstLine="3639"/>
        <w:rPr>
          <w:b/>
        </w:rPr>
      </w:pPr>
      <w:r>
        <w:rPr>
          <w:b/>
        </w:rPr>
        <w:t>Předmět smlouvy</w:t>
      </w:r>
    </w:p>
    <w:p w:rsidR="00930F80" w:rsidRDefault="00930F80">
      <w:pPr>
        <w:ind w:left="-15" w:right="1039" w:firstLine="3639"/>
      </w:pPr>
    </w:p>
    <w:p w:rsidR="008A1FFF" w:rsidRDefault="008A1FFF" w:rsidP="00930F80">
      <w:pPr>
        <w:spacing w:after="12" w:line="254" w:lineRule="auto"/>
        <w:ind w:left="0" w:right="0" w:firstLine="0"/>
      </w:pPr>
      <w:r w:rsidRPr="008A1FFF">
        <w:t xml:space="preserve">Prodávající prohlašuje, že je výlučným vlastníkem níže specifikovaných movitých věcí, které jsou předmětem této smlouvy (dále též „předmět koupě“ nebo „zboží“) a že předmět koupě není zatížen právem třetí osoby či osob, tedy, že předmět koupě je bez právních vad. Prodávající odevzdá kupujícímu předmět koupě v ujednaném množství, jakosti a provedení.  </w:t>
      </w:r>
    </w:p>
    <w:p w:rsidR="000E707E" w:rsidRDefault="000E707E" w:rsidP="00930F80">
      <w:pPr>
        <w:spacing w:after="12" w:line="254" w:lineRule="auto"/>
        <w:ind w:left="0" w:right="0" w:firstLine="0"/>
      </w:pPr>
    </w:p>
    <w:p w:rsidR="00F26277" w:rsidRPr="00F26277" w:rsidRDefault="000E707E" w:rsidP="00F26277">
      <w:pPr>
        <w:tabs>
          <w:tab w:val="center" w:pos="4268"/>
        </w:tabs>
        <w:ind w:left="-15" w:right="0" w:firstLine="0"/>
        <w:jc w:val="left"/>
        <w:rPr>
          <w:b/>
          <w:bCs/>
          <w:color w:val="auto"/>
          <w:w w:val="111"/>
          <w:kern w:val="1"/>
          <w:szCs w:val="19"/>
          <w:lang w:bidi="hi-IN"/>
        </w:rPr>
      </w:pPr>
      <w:r>
        <w:rPr>
          <w:b/>
          <w:bCs/>
          <w:color w:val="auto"/>
          <w:w w:val="111"/>
          <w:kern w:val="1"/>
          <w:szCs w:val="19"/>
          <w:lang w:bidi="hi-IN"/>
        </w:rPr>
        <w:t xml:space="preserve">Specifikace předmětu kupní smlouvy: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4411"/>
        <w:gridCol w:w="767"/>
        <w:gridCol w:w="777"/>
      </w:tblGrid>
      <w:tr w:rsidR="000E707E" w:rsidRPr="00F1010B" w:rsidTr="00F1010B">
        <w:trPr>
          <w:trHeight w:val="690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Stojanový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rack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42U vč. Revidovaného rackového rozvaděče pro jištění použitých spotřebičů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Stojanový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rack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42U vč. Revidovaného rackového rozvaděče pro jištění použitých spotřebičů, provedení musí odpovídat instalovaným zařízením vč. hloubky a hmotnosti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  <w:tr w:rsidR="000E707E" w:rsidRPr="00F1010B" w:rsidTr="00F1010B">
        <w:trPr>
          <w:trHeight w:val="1590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MXE5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zvuková matice, 12 mikrofonních vstupů a 8 výstupů analog symetrický, rozhraní Dante PRI/SEC, nezávislý řídicí port mimo DANTE IP, provozní signalizační relé, 8x GPI/GPO, interní 24x24 DANTE matice s možností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loopback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, dva režimy funkční topologie (pevný a volně editovatelný), display se zobrazením stavových </w:t>
            </w: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lastRenderedPageBreak/>
              <w:t>informací a předvoleb, možnost ovládání ovládacími panely po síti i z aplikace (tablet, mobil, PC), latence analog-analog max 0,5ms, velikost 1U, uživatelská konfigurace zařízení a systému v ceně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lastRenderedPageBreak/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  <w:tr w:rsidR="000E707E" w:rsidRPr="00F1010B" w:rsidTr="00F1010B">
        <w:trPr>
          <w:trHeight w:val="690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lastRenderedPageBreak/>
              <w:t>Ubiquiti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U6-PRO -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UniFi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6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PRro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Access Point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Dvoupásmový Wi-Fi AP s podporou frekvenčních pásem 2,4 i 5 GHz a přenosovou rychlostí až 5,3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Gbps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,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PoE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+ napájení 802.3at, 4×4 MIMO, Izolace provozu hostů, krytí IP54, podpora WPA/WPA/WPA3, VLAN (802.1Q),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Advanced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QoS</w:t>
            </w:r>
            <w:proofErr w:type="spellEnd"/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  <w:tr w:rsidR="000E707E" w:rsidRPr="00F1010B" w:rsidTr="00F1010B">
        <w:trPr>
          <w:trHeight w:val="1140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WPN1-EU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ovládací panel s enkodérem pro ovládání zvukové </w:t>
            </w:r>
            <w:proofErr w:type="gram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matice,  připojení</w:t>
            </w:r>
            <w:proofErr w:type="gram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po CAT5, velikost úhlopříčky barevného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dipleje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min. 1,7 palce, strukturované uživatelské rozhraní  s podporou stránkování, možnost uzamčení přístupu heslem/kódem, napájení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PoE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, instalační hloubka do krabice max. 60mm, barva černá, kabeláž a instalační materiál v ceně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  <w:tr w:rsidR="000E707E" w:rsidRPr="00F1010B" w:rsidTr="00F1010B">
        <w:trPr>
          <w:trHeight w:val="465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TP-Link TL-SG1008MP 8xGb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steel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case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rack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switch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153W POE+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Datový switch k montáži do racku, 8 portů 10/100/1000 RJ45 s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PoE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+, podpora 802.3at/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af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,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PoE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+, energetický budget min. 150 W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  <w:tr w:rsidR="000E707E" w:rsidRPr="00F1010B" w:rsidTr="00F1010B">
        <w:trPr>
          <w:trHeight w:val="1590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RE3-ND86-5H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Sada ručního bezdrátového mikrofonu s přijímačem, anténní diverzita, přepínatelný vysílací výkon 10/50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mW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, pracovní rozsah v pásmu 560-596 MHz, odnímatelné prutové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půlvlnné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antény s konektorem BNC, min. 8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předkoordinovaných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RF skupin + 22 nosných, přenos provozního stavu baterie se zobrazením na display, synchronizace ultrazvukovým přenosem vč. a nastavení, napájecí zdroj součástí sady, ruční mikrofon s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kovovoým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tělem a odnímatelnou hlavou osazenou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superkardioidní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dynamickou vložkou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  <w:tr w:rsidR="000E707E" w:rsidRPr="00F1010B" w:rsidTr="00F1010B">
        <w:trPr>
          <w:trHeight w:val="465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Boční přípojný panel jeviště (2x XLRF, 2X RJ45, 1x 230V, HDMI)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Nástěnný přípojný panel jeviště (2x XLRF, 2X RJ45, 1x 230V, HDMI), pevná konstrukce (nesmí se při zasouvání konektoru prolamovat)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  <w:tr w:rsidR="000E707E" w:rsidRPr="00F1010B" w:rsidTr="00F1010B">
        <w:trPr>
          <w:trHeight w:val="465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Nástěnný přípojný panel FOH (4X RJ45, 2X XLRF, 2x 230V, HDMI)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Nástěnný přípojný panel FOH (4X RJ45, 2X XLRF, 2x 230V, HDMI), pevná konstrukce (nesmí se při </w:t>
            </w: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lastRenderedPageBreak/>
              <w:t>zasouvání konektoru prolamovat)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lastRenderedPageBreak/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kpl</w:t>
            </w:r>
            <w:proofErr w:type="spellEnd"/>
          </w:p>
        </w:tc>
      </w:tr>
      <w:tr w:rsidR="000E707E" w:rsidRPr="00F1010B" w:rsidTr="00F1010B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lastRenderedPageBreak/>
              <w:t>HD400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Dvojice izolačních transformátorů pro linkové signály (dva kanály)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  <w:tr w:rsidR="000E707E" w:rsidRPr="00F1010B" w:rsidTr="00F1010B">
        <w:trPr>
          <w:trHeight w:val="690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Přepojovací panel datový - 12x RJ45-neutrik + propojovací kabeláž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Kovový rackový přepojovací panel data, 1U, osazený 12X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zodolněnou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průchozí s datovou zásuvkou RJ45 s kovovým tělem typu D-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size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a kovovou aretační páčkou z čelní strany a RJ45 zásuvkou ze zadní strany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  <w:tr w:rsidR="000E707E" w:rsidRPr="00F1010B" w:rsidTr="00F1010B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Panel napájecí (zásuvková lišta) do 19" racku, 9x230V, 2m kabel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Panel napájecí (zásuvková lišta) do 19" racku, 9x230V, 2m kabel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  <w:tr w:rsidR="000E707E" w:rsidRPr="00F1010B" w:rsidTr="00F1010B">
        <w:trPr>
          <w:trHeight w:val="1590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DSA 8212/ 230V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Dvoukanálový instalační výkonový zesilovač technologie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class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H, RMS 2x 1100W do 4 Ohmů, vestavěný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low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-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cut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filtr na 50Hz, ochranný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limiter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, tepelná ochrana,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aktivná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chlazení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chlazení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a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chasis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min. 2U, proudění chladicího vzduchu zepředu-dozadu, symetrické linkové vstupy, výkonové připojení standardními konektory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Phoenix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,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přepínatelé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odzemnění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, zpožděné zapínání nastavitelné ve více krocích (alespoň 14 kroků, nejdelší alespoň 1,5s), stavový kontakt pro vzdálené zapínání, napájení kabelem typu IEC, kabeláž a instalace v ceně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  <w:tr w:rsidR="000E707E" w:rsidRPr="00F1010B" w:rsidTr="00F1010B">
        <w:trPr>
          <w:trHeight w:val="1590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EVF-1122D/96-BLKE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Výkonný dvoupásmový reprobox osazený 12"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hlubokotónovým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reproduktorem s litým košem a 3" titanovým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vysokotónovým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měničem do otočného zvukovodu 90x60 stupňů, impedance 8 ohmů, kmitočtový rozsah min. 60Hz až 17kHz,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zatižitelnost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min 400W programový resp. 1600W špičkový výkon, rigidní dřevěná vícevrstvá konstrukce skříně, citlivost alespoň 96dB, připojení konektory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Euroblock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, montážní body na všech kromě čelní strany, možnost zavěšení do clusteru se subwooferem, barva černá, kabeláž a instalace v ceně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  <w:tr w:rsidR="000E707E" w:rsidRPr="00F1010B" w:rsidTr="00F1010B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EBK-M10-4PACK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Sada 4ks závěsných ok pro zavěšení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preproboxů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v předchozích položkách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set</w:t>
            </w:r>
          </w:p>
        </w:tc>
      </w:tr>
      <w:tr w:rsidR="000E707E" w:rsidRPr="00F1010B" w:rsidTr="00F1010B">
        <w:trPr>
          <w:trHeight w:val="2265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lastRenderedPageBreak/>
              <w:t>Midas M32 LIVE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Digirální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mixážní pult, 32 XLR vstupů a 16 XLR výstupů, 25 Mix sběrnic, 8 DCA podskupin a 6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Mute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skupin, 8 stereo efektů, 25 motorizovaných 100 mm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faderů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, 7" barevný displej bezdotykový, USB audio rozhraní 32x32 kanálů, připojení další infrastruktury promocí dvojice rozhraní AES50 A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a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 B, možnost použít pro dálkové ovládání DAW, možnost bezdrátového dálkového  ovládání po síti z příslušné aplikace, interní nahrávání jednotlivých kanálů na SD karty, ergonomicky skloněná horní sekce v celé šíři zařízení alespoň 45 stupňů od roviny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faderů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, km. rozsah min. 15Hz-21kHz, výstupní impedance XLR max 50 ohm, maximální vstupní úroveň na TRS vstupech min +20dBu, rozměry max, 900 x 610 x 260 mm, hmotnost 22-25kg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  <w:tr w:rsidR="000E707E" w:rsidRPr="00F1010B" w:rsidTr="00F1010B">
        <w:trPr>
          <w:trHeight w:val="480"/>
        </w:trPr>
        <w:tc>
          <w:tcPr>
            <w:tcW w:w="534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XLR-XLR kabel 7m (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Gotham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 xml:space="preserve">, </w:t>
            </w:r>
            <w:proofErr w:type="spellStart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Neutrik</w:t>
            </w:r>
            <w:proofErr w:type="spellEnd"/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)</w:t>
            </w:r>
          </w:p>
        </w:tc>
        <w:tc>
          <w:tcPr>
            <w:tcW w:w="598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Kabel XLRM-XLRF délky 7m z kvalitního dvojitě plošně stíněného mikrofonního kabelu, osazený značkovými XLR konektory</w:t>
            </w:r>
          </w:p>
        </w:tc>
        <w:tc>
          <w:tcPr>
            <w:tcW w:w="100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30</w:t>
            </w:r>
          </w:p>
        </w:tc>
        <w:tc>
          <w:tcPr>
            <w:tcW w:w="960" w:type="dxa"/>
            <w:shd w:val="clear" w:color="auto" w:fill="auto"/>
            <w:hideMark/>
          </w:tcPr>
          <w:p w:rsidR="000E707E" w:rsidRPr="00F1010B" w:rsidRDefault="000E707E" w:rsidP="00F1010B">
            <w:pPr>
              <w:tabs>
                <w:tab w:val="center" w:pos="4268"/>
              </w:tabs>
              <w:ind w:left="-15" w:right="0" w:firstLine="0"/>
              <w:jc w:val="left"/>
              <w:rPr>
                <w:bCs/>
                <w:color w:val="auto"/>
                <w:w w:val="111"/>
                <w:kern w:val="1"/>
                <w:szCs w:val="19"/>
                <w:lang w:bidi="hi-IN"/>
              </w:rPr>
            </w:pPr>
            <w:r w:rsidRPr="00F1010B">
              <w:rPr>
                <w:bCs/>
                <w:color w:val="auto"/>
                <w:w w:val="111"/>
                <w:kern w:val="1"/>
                <w:szCs w:val="19"/>
                <w:lang w:bidi="hi-IN"/>
              </w:rPr>
              <w:t>ks</w:t>
            </w:r>
          </w:p>
        </w:tc>
      </w:tr>
    </w:tbl>
    <w:p w:rsidR="00F26277" w:rsidRDefault="00F26277" w:rsidP="0020641C">
      <w:pPr>
        <w:tabs>
          <w:tab w:val="center" w:pos="4268"/>
        </w:tabs>
        <w:ind w:left="-15" w:right="0" w:firstLine="0"/>
        <w:jc w:val="left"/>
        <w:rPr>
          <w:b/>
        </w:rPr>
      </w:pPr>
    </w:p>
    <w:p w:rsidR="003D4A56" w:rsidRDefault="000E707E" w:rsidP="0020641C">
      <w:pPr>
        <w:tabs>
          <w:tab w:val="center" w:pos="4268"/>
        </w:tabs>
        <w:ind w:left="-15" w:right="0" w:firstLine="0"/>
        <w:jc w:val="left"/>
        <w:rPr>
          <w:b/>
        </w:rPr>
      </w:pPr>
      <w:r>
        <w:rPr>
          <w:b/>
        </w:rPr>
        <w:t>Nákup ozvučení školní auly</w:t>
      </w:r>
      <w:r w:rsidR="00481BA7">
        <w:rPr>
          <w:b/>
        </w:rPr>
        <w:t>:</w:t>
      </w:r>
    </w:p>
    <w:p w:rsidR="00696542" w:rsidRDefault="00696542" w:rsidP="0020641C">
      <w:pPr>
        <w:tabs>
          <w:tab w:val="center" w:pos="4268"/>
        </w:tabs>
        <w:ind w:left="-15" w:right="0" w:firstLine="0"/>
        <w:jc w:val="left"/>
        <w:rPr>
          <w:b/>
        </w:rPr>
      </w:pPr>
    </w:p>
    <w:p w:rsidR="0020641C" w:rsidRDefault="0020641C" w:rsidP="00481BA7">
      <w:pPr>
        <w:tabs>
          <w:tab w:val="left" w:pos="5670"/>
        </w:tabs>
        <w:ind w:left="-15" w:right="0" w:firstLine="0"/>
        <w:jc w:val="left"/>
      </w:pPr>
      <w:r>
        <w:t>Celková kupní cena zboží bez DPH</w:t>
      </w:r>
      <w:r w:rsidR="00481BA7">
        <w:tab/>
      </w:r>
      <w:r w:rsidR="753D2339">
        <w:t xml:space="preserve">543 220,- </w:t>
      </w:r>
      <w:r>
        <w:t>Kč</w:t>
      </w:r>
    </w:p>
    <w:p w:rsidR="0020641C" w:rsidRDefault="006327A9" w:rsidP="00696542">
      <w:pPr>
        <w:ind w:right="0"/>
      </w:pPr>
      <w:r>
        <w:t>(slovy:</w:t>
      </w:r>
      <w:r w:rsidR="16FEC77D">
        <w:t xml:space="preserve"> pět set čtyřicet tři tisíc dvě stě dvacet korun českých</w:t>
      </w:r>
      <w:r w:rsidR="0020641C">
        <w:t>)</w:t>
      </w:r>
    </w:p>
    <w:p w:rsidR="00E7477F" w:rsidRDefault="00E7477F" w:rsidP="00836F78">
      <w:pPr>
        <w:ind w:right="0" w:firstLine="698"/>
      </w:pPr>
    </w:p>
    <w:p w:rsidR="00E7477F" w:rsidRDefault="0020641C" w:rsidP="00D83F7A">
      <w:pPr>
        <w:tabs>
          <w:tab w:val="left" w:pos="5670"/>
        </w:tabs>
        <w:ind w:right="0"/>
      </w:pPr>
      <w:r>
        <w:t>DPH 21%</w:t>
      </w:r>
      <w:r w:rsidR="00481BA7">
        <w:tab/>
      </w:r>
      <w:r w:rsidR="78D1F997">
        <w:t xml:space="preserve">114 076,20 </w:t>
      </w:r>
      <w:r>
        <w:t>Kč</w:t>
      </w:r>
    </w:p>
    <w:p w:rsidR="00D83F7A" w:rsidRDefault="00D83F7A" w:rsidP="00D83F7A">
      <w:pPr>
        <w:tabs>
          <w:tab w:val="left" w:pos="5670"/>
        </w:tabs>
        <w:ind w:right="0"/>
      </w:pPr>
    </w:p>
    <w:p w:rsidR="00D83F7A" w:rsidRDefault="0020641C" w:rsidP="00D83F7A">
      <w:pPr>
        <w:tabs>
          <w:tab w:val="left" w:pos="5670"/>
        </w:tabs>
        <w:ind w:right="0"/>
        <w:jc w:val="left"/>
      </w:pPr>
      <w:r>
        <w:t>Celková kupní cena</w:t>
      </w:r>
      <w:r w:rsidR="00836F78">
        <w:t xml:space="preserve"> </w:t>
      </w:r>
      <w:r>
        <w:t>zboží vč. DPH 21%</w:t>
      </w:r>
      <w:r w:rsidR="00481BA7">
        <w:tab/>
      </w:r>
      <w:r w:rsidR="3031A7A4">
        <w:t xml:space="preserve">657 296,20 </w:t>
      </w:r>
      <w:r>
        <w:t>Kč</w:t>
      </w:r>
    </w:p>
    <w:p w:rsidR="0020641C" w:rsidRDefault="00DC7F99" w:rsidP="00D83F7A">
      <w:pPr>
        <w:tabs>
          <w:tab w:val="left" w:pos="5670"/>
        </w:tabs>
        <w:ind w:right="0"/>
        <w:jc w:val="left"/>
      </w:pPr>
      <w:r>
        <w:t xml:space="preserve">(slovy: </w:t>
      </w:r>
      <w:r w:rsidR="66FD288B">
        <w:t>šest set padesát sedm tisíc dvě stě devadesát šest korun českých dvacet haléřů</w:t>
      </w:r>
      <w:r w:rsidR="00AA4AB8">
        <w:t>)</w:t>
      </w:r>
    </w:p>
    <w:p w:rsidR="00E7477F" w:rsidRDefault="00E7477F" w:rsidP="00836F78">
      <w:pPr>
        <w:spacing w:after="22" w:line="254" w:lineRule="auto"/>
        <w:ind w:left="718" w:right="0" w:firstLine="0"/>
        <w:jc w:val="left"/>
      </w:pPr>
    </w:p>
    <w:p w:rsidR="00201FC9" w:rsidRPr="00DC7F99" w:rsidRDefault="0020641C" w:rsidP="00DC7F99">
      <w:pPr>
        <w:ind w:right="0"/>
      </w:pPr>
      <w:r>
        <w:t>Záruční doba: 24 měsí</w:t>
      </w:r>
      <w:r w:rsidR="00DC7F99">
        <w:t>ců o</w:t>
      </w:r>
      <w:r w:rsidR="000920E8">
        <w:t xml:space="preserve">d předání a převzetí zboží. </w:t>
      </w:r>
    </w:p>
    <w:p w:rsidR="00910294" w:rsidRDefault="00910294">
      <w:pPr>
        <w:spacing w:after="0" w:line="254" w:lineRule="auto"/>
        <w:ind w:left="0" w:right="0" w:firstLine="0"/>
        <w:jc w:val="left"/>
        <w:rPr>
          <w:szCs w:val="24"/>
        </w:rPr>
      </w:pPr>
    </w:p>
    <w:p w:rsidR="00FC4B92" w:rsidRPr="008A1FFF" w:rsidRDefault="00FC4B92">
      <w:pPr>
        <w:spacing w:after="0" w:line="254" w:lineRule="auto"/>
        <w:ind w:left="0" w:right="0" w:firstLine="0"/>
        <w:jc w:val="left"/>
        <w:rPr>
          <w:szCs w:val="24"/>
        </w:rPr>
      </w:pPr>
    </w:p>
    <w:p w:rsidR="00201FC9" w:rsidRDefault="00201FC9">
      <w:pPr>
        <w:spacing w:after="26" w:line="254" w:lineRule="auto"/>
        <w:ind w:right="3"/>
        <w:jc w:val="center"/>
      </w:pPr>
      <w:r>
        <w:rPr>
          <w:b/>
        </w:rPr>
        <w:t xml:space="preserve">II. </w:t>
      </w:r>
    </w:p>
    <w:p w:rsidR="00A025E9" w:rsidRDefault="00DC7F99" w:rsidP="00DC7F99">
      <w:pPr>
        <w:ind w:left="-5" w:right="0"/>
        <w:jc w:val="center"/>
        <w:rPr>
          <w:b/>
        </w:rPr>
      </w:pPr>
      <w:r>
        <w:rPr>
          <w:b/>
        </w:rPr>
        <w:t>Finanční ujednání</w:t>
      </w:r>
    </w:p>
    <w:p w:rsidR="00E7477F" w:rsidRPr="00A025E9" w:rsidRDefault="00E7477F" w:rsidP="00DC7F99">
      <w:pPr>
        <w:ind w:left="-5" w:right="0"/>
        <w:jc w:val="center"/>
        <w:rPr>
          <w:b/>
        </w:rPr>
      </w:pPr>
    </w:p>
    <w:p w:rsidR="00A025E9" w:rsidRDefault="00A025E9" w:rsidP="636FE156">
      <w:pPr>
        <w:ind w:left="-5" w:right="0"/>
      </w:pPr>
      <w:r>
        <w:t xml:space="preserve">Touto smlouvou prodávající prodává předmět koupě do vlastnictví kupujícímu, který je do svého vlastnictví přijímá a kupuje za dohodnutou celkovou kupní cenu celkem </w:t>
      </w:r>
      <w:r w:rsidR="7A2C8CAF">
        <w:t xml:space="preserve">657 296,20 </w:t>
      </w:r>
      <w:r>
        <w:t xml:space="preserve">Kč vč. DPH (slovy: </w:t>
      </w:r>
      <w:r w:rsidR="74AB7879">
        <w:t xml:space="preserve">šest set padesát sedm tisíc dvě stě devadesát šest korun českých dvacet haléřů) </w:t>
      </w:r>
      <w:r>
        <w:t>včetně daně z přidané hodnoty), kdy podrobný rozpis celkové kupní ceny je uveden v čl. I. výše.</w:t>
      </w:r>
    </w:p>
    <w:p w:rsidR="000E707E" w:rsidRDefault="000E707E" w:rsidP="00A025E9">
      <w:pPr>
        <w:ind w:left="-5" w:right="0"/>
      </w:pPr>
    </w:p>
    <w:p w:rsidR="000E707E" w:rsidRDefault="000E707E" w:rsidP="00A025E9">
      <w:pPr>
        <w:ind w:left="-5" w:right="0"/>
      </w:pPr>
    </w:p>
    <w:p w:rsidR="000E707E" w:rsidRDefault="000E707E" w:rsidP="00A025E9">
      <w:pPr>
        <w:ind w:left="-5" w:right="0"/>
      </w:pPr>
    </w:p>
    <w:p w:rsidR="000E707E" w:rsidRPr="00A025E9" w:rsidRDefault="000E707E" w:rsidP="00A025E9">
      <w:pPr>
        <w:ind w:left="-5" w:right="0"/>
      </w:pPr>
    </w:p>
    <w:p w:rsidR="00A025E9" w:rsidRPr="00A025E9" w:rsidRDefault="00A025E9" w:rsidP="00A025E9">
      <w:pPr>
        <w:ind w:left="-5" w:right="0"/>
      </w:pPr>
      <w:r w:rsidRPr="00A025E9">
        <w:t xml:space="preserve">Obě smluvní strany se dohodly, že kupující uhradí fakturu nejpozději do </w:t>
      </w:r>
      <w:r w:rsidR="000920E8">
        <w:t>30</w:t>
      </w:r>
      <w:r w:rsidRPr="00A025E9">
        <w:t xml:space="preserve"> dnů po jejím převzetí bankovním převodem na účet prodávajícího při splnění podmínky předchozího řádného a včasného dodání předmětu koupě kupujícímu vč. uvedení do provozu. Uhrazením faktury se rozumí připsání celé uvedené částky na účet prodávajícího. Kupující uhradí tuto částku po řádném a včasném předání předmětu koupě potvrzeném kupujícím na dodacích listech vč. uvedení do provozu, potvrzeném kupujícím.</w:t>
      </w:r>
    </w:p>
    <w:p w:rsidR="0020641C" w:rsidRDefault="00A025E9" w:rsidP="0020641C">
      <w:pPr>
        <w:ind w:left="-5" w:right="0"/>
      </w:pPr>
      <w:r w:rsidRPr="0440A09F">
        <w:rPr>
          <w:b/>
          <w:bCs/>
        </w:rPr>
        <w:t>Kupující nep</w:t>
      </w:r>
      <w:r w:rsidR="0020641C" w:rsidRPr="0440A09F">
        <w:rPr>
          <w:b/>
          <w:bCs/>
        </w:rPr>
        <w:t>oskytuje žádné zálohové platby.</w:t>
      </w:r>
    </w:p>
    <w:p w:rsidR="00201FC9" w:rsidRDefault="00A025E9" w:rsidP="0020641C">
      <w:pPr>
        <w:ind w:left="-5" w:right="0"/>
      </w:pPr>
      <w:r w:rsidRPr="00A025E9">
        <w:t>Vlastnická práva přechází na stranu kupujícího dodáním předmětu koupě. O</w:t>
      </w:r>
      <w:r w:rsidR="00910294">
        <w:t xml:space="preserve">d data převzetí předmětu koupě </w:t>
      </w:r>
      <w:r w:rsidRPr="00A025E9">
        <w:t>odpovídá za případné šk</w:t>
      </w:r>
      <w:r w:rsidR="00910294">
        <w:t>ody na předmětu koupě kupující,</w:t>
      </w:r>
      <w:r w:rsidRPr="00A025E9">
        <w:t xml:space="preserve"> s výjimkou doby uvádění předmětu koupě do pr</w:t>
      </w:r>
      <w:r w:rsidR="00910294">
        <w:t>ovozu, kdy odpovídá prodávající</w:t>
      </w:r>
      <w:r w:rsidRPr="00A025E9">
        <w:t>.</w:t>
      </w:r>
      <w:r w:rsidRPr="00A025E9">
        <w:rPr>
          <w:b/>
        </w:rPr>
        <w:t xml:space="preserve"> </w:t>
      </w:r>
    </w:p>
    <w:p w:rsidR="00E7477F" w:rsidRDefault="00E7477F" w:rsidP="006327A9">
      <w:pPr>
        <w:spacing w:after="3" w:line="254" w:lineRule="auto"/>
        <w:ind w:left="0" w:right="0" w:firstLine="0"/>
        <w:jc w:val="left"/>
      </w:pPr>
    </w:p>
    <w:p w:rsidR="00201FC9" w:rsidRDefault="00201FC9">
      <w:pPr>
        <w:spacing w:after="3" w:line="254" w:lineRule="auto"/>
        <w:ind w:left="-5" w:right="0"/>
        <w:jc w:val="left"/>
      </w:pPr>
      <w:r>
        <w:rPr>
          <w:b/>
        </w:rPr>
        <w:t>Ostatní práce zahrnuté v ceně s termínem plnění v den dodání</w:t>
      </w:r>
      <w:r>
        <w:t xml:space="preserve"> </w:t>
      </w:r>
    </w:p>
    <w:p w:rsidR="006327A9" w:rsidRDefault="006327A9">
      <w:pPr>
        <w:spacing w:after="3" w:line="254" w:lineRule="auto"/>
        <w:ind w:left="-5" w:right="0"/>
        <w:jc w:val="left"/>
      </w:pPr>
    </w:p>
    <w:p w:rsidR="00201FC9" w:rsidRDefault="00FC4B92">
      <w:pPr>
        <w:numPr>
          <w:ilvl w:val="0"/>
          <w:numId w:val="3"/>
        </w:numPr>
        <w:ind w:right="0" w:hanging="139"/>
      </w:pPr>
      <w:r>
        <w:t xml:space="preserve"> </w:t>
      </w:r>
      <w:r w:rsidR="00201FC9">
        <w:t xml:space="preserve">předání technických podkladů pro instalaci zařízení </w:t>
      </w:r>
    </w:p>
    <w:p w:rsidR="00201FC9" w:rsidRDefault="00FC4B92">
      <w:pPr>
        <w:numPr>
          <w:ilvl w:val="0"/>
          <w:numId w:val="3"/>
        </w:numPr>
        <w:ind w:right="0" w:hanging="139"/>
      </w:pPr>
      <w:r>
        <w:t xml:space="preserve"> </w:t>
      </w:r>
      <w:r w:rsidR="00201FC9">
        <w:t xml:space="preserve">doprava zařízení na místo </w:t>
      </w:r>
    </w:p>
    <w:p w:rsidR="00201FC9" w:rsidRDefault="00FC4B92">
      <w:pPr>
        <w:numPr>
          <w:ilvl w:val="0"/>
          <w:numId w:val="3"/>
        </w:numPr>
        <w:ind w:right="0" w:hanging="139"/>
      </w:pPr>
      <w:r>
        <w:t xml:space="preserve"> </w:t>
      </w:r>
      <w:r w:rsidR="00201FC9">
        <w:t xml:space="preserve">manipulace, rozbalení, ustavení </w:t>
      </w:r>
    </w:p>
    <w:p w:rsidR="00201FC9" w:rsidRDefault="00FC4B92" w:rsidP="00FC4B92">
      <w:pPr>
        <w:ind w:left="993" w:right="0" w:hanging="284"/>
      </w:pPr>
      <w:r>
        <w:t xml:space="preserve">-  </w:t>
      </w:r>
      <w:r w:rsidRPr="00FC4B92">
        <w:t xml:space="preserve">připojení včetně montážního materiálu </w:t>
      </w:r>
    </w:p>
    <w:p w:rsidR="00930F80" w:rsidRPr="000E707E" w:rsidRDefault="00FC4B92" w:rsidP="000E707E">
      <w:pPr>
        <w:ind w:left="708" w:right="2"/>
        <w:jc w:val="left"/>
        <w:rPr>
          <w:szCs w:val="24"/>
        </w:rPr>
      </w:pPr>
      <w:r w:rsidRPr="00FC4B92">
        <w:rPr>
          <w:szCs w:val="24"/>
        </w:rPr>
        <w:t>-</w:t>
      </w:r>
      <w:r w:rsidR="006327A9">
        <w:rPr>
          <w:szCs w:val="24"/>
        </w:rPr>
        <w:t xml:space="preserve"> </w:t>
      </w:r>
      <w:r w:rsidRPr="00FC4B92">
        <w:rPr>
          <w:szCs w:val="24"/>
        </w:rPr>
        <w:t xml:space="preserve"> technické zaškolení a seznáme</w:t>
      </w:r>
      <w:r w:rsidR="003D4A56">
        <w:rPr>
          <w:szCs w:val="24"/>
        </w:rPr>
        <w:t>ní se správnou provozní údržbou</w:t>
      </w:r>
    </w:p>
    <w:p w:rsidR="00930F80" w:rsidRDefault="00930F80" w:rsidP="00910294">
      <w:pPr>
        <w:spacing w:after="0" w:line="254" w:lineRule="auto"/>
        <w:ind w:left="0" w:right="0" w:firstLine="0"/>
        <w:jc w:val="left"/>
      </w:pPr>
    </w:p>
    <w:p w:rsidR="00930F80" w:rsidRDefault="00930F80" w:rsidP="00910294">
      <w:pPr>
        <w:spacing w:after="0" w:line="254" w:lineRule="auto"/>
        <w:ind w:left="0" w:right="0" w:firstLine="0"/>
        <w:jc w:val="left"/>
      </w:pPr>
    </w:p>
    <w:p w:rsidR="00201FC9" w:rsidRDefault="00201FC9">
      <w:pPr>
        <w:spacing w:after="26" w:line="254" w:lineRule="auto"/>
        <w:ind w:right="0"/>
        <w:jc w:val="center"/>
      </w:pPr>
      <w:r>
        <w:rPr>
          <w:b/>
        </w:rPr>
        <w:t xml:space="preserve">III. </w:t>
      </w:r>
    </w:p>
    <w:p w:rsidR="00201FC9" w:rsidRDefault="00201FC9" w:rsidP="00DC7F99">
      <w:pPr>
        <w:spacing w:after="0" w:line="254" w:lineRule="auto"/>
        <w:ind w:right="2"/>
        <w:jc w:val="center"/>
        <w:rPr>
          <w:b/>
        </w:rPr>
      </w:pPr>
      <w:r>
        <w:rPr>
          <w:b/>
        </w:rPr>
        <w:t xml:space="preserve">Termíny předání zboží  </w:t>
      </w:r>
    </w:p>
    <w:p w:rsidR="00E7477F" w:rsidRDefault="00E7477F" w:rsidP="00DC7F99">
      <w:pPr>
        <w:spacing w:after="0" w:line="254" w:lineRule="auto"/>
        <w:ind w:right="2"/>
        <w:jc w:val="center"/>
      </w:pPr>
    </w:p>
    <w:p w:rsidR="0020641C" w:rsidRPr="0020641C" w:rsidRDefault="00201FC9" w:rsidP="006327A9">
      <w:pPr>
        <w:ind w:left="-15" w:right="0" w:firstLine="0"/>
      </w:pPr>
      <w:r>
        <w:t>Uvedené zboží bude dodáno nejpozději do</w:t>
      </w:r>
      <w:r>
        <w:rPr>
          <w:b/>
        </w:rPr>
        <w:t xml:space="preserve"> </w:t>
      </w:r>
      <w:r w:rsidR="000E707E">
        <w:t>30. 4. 2024</w:t>
      </w:r>
      <w:r>
        <w:t>. Dodáním zboží se rozumí jeho fyzické převzetí stranou kupující (stvr</w:t>
      </w:r>
      <w:r w:rsidR="0020641C">
        <w:t>zené podepsaným dodacím listem)</w:t>
      </w:r>
      <w:r>
        <w:t xml:space="preserve"> </w:t>
      </w:r>
      <w:r w:rsidR="0020641C" w:rsidRPr="0020641C">
        <w:t>na adrese kupujícího, uvedené v záhlaví této smlouvy. Doprava zboží do sídla kupujícího je plně zahrnuta v kupní ceně zboží.</w:t>
      </w:r>
    </w:p>
    <w:p w:rsidR="00DC020E" w:rsidRDefault="00DC020E" w:rsidP="0020641C">
      <w:pPr>
        <w:ind w:left="0" w:right="0" w:firstLine="0"/>
      </w:pPr>
    </w:p>
    <w:p w:rsidR="00201FC9" w:rsidRDefault="00201FC9">
      <w:pPr>
        <w:spacing w:after="26" w:line="254" w:lineRule="auto"/>
        <w:ind w:right="0"/>
        <w:jc w:val="center"/>
      </w:pPr>
      <w:r>
        <w:rPr>
          <w:b/>
        </w:rPr>
        <w:t xml:space="preserve">IV. </w:t>
      </w:r>
    </w:p>
    <w:p w:rsidR="00201FC9" w:rsidRDefault="00201FC9" w:rsidP="00DC7F99">
      <w:pPr>
        <w:spacing w:after="0" w:line="254" w:lineRule="auto"/>
        <w:ind w:right="6"/>
        <w:jc w:val="center"/>
        <w:rPr>
          <w:b/>
        </w:rPr>
      </w:pPr>
      <w:r>
        <w:rPr>
          <w:b/>
        </w:rPr>
        <w:t xml:space="preserve">Záruční a pozáruční podmínky, servis </w:t>
      </w:r>
    </w:p>
    <w:p w:rsidR="00E7477F" w:rsidRDefault="00E7477F" w:rsidP="00DC7F99">
      <w:pPr>
        <w:spacing w:after="0" w:line="254" w:lineRule="auto"/>
        <w:ind w:right="6"/>
        <w:jc w:val="center"/>
      </w:pPr>
    </w:p>
    <w:p w:rsidR="0020641C" w:rsidRPr="0020641C" w:rsidRDefault="0020641C" w:rsidP="003D4A56">
      <w:pPr>
        <w:spacing w:after="0" w:line="100" w:lineRule="atLeast"/>
        <w:ind w:left="0" w:right="0" w:firstLine="0"/>
        <w:rPr>
          <w:color w:val="auto"/>
          <w:kern w:val="1"/>
          <w:szCs w:val="24"/>
          <w:lang w:bidi="hi-IN"/>
        </w:rPr>
      </w:pPr>
      <w:r w:rsidRPr="0020641C">
        <w:rPr>
          <w:color w:val="auto"/>
          <w:kern w:val="1"/>
          <w:szCs w:val="24"/>
          <w:lang w:bidi="hi-IN"/>
        </w:rPr>
        <w:t xml:space="preserve">Záruka ve smyslu </w:t>
      </w:r>
      <w:r w:rsidR="00DC020E">
        <w:rPr>
          <w:color w:val="auto"/>
          <w:kern w:val="1"/>
          <w:szCs w:val="24"/>
          <w:lang w:bidi="hi-IN"/>
        </w:rPr>
        <w:t>zákona</w:t>
      </w:r>
      <w:r w:rsidRPr="0020641C">
        <w:rPr>
          <w:color w:val="auto"/>
          <w:kern w:val="1"/>
          <w:szCs w:val="24"/>
          <w:lang w:bidi="hi-IN"/>
        </w:rPr>
        <w:t xml:space="preserve"> na výše uvedený předmět smlouvy je </w:t>
      </w:r>
      <w:r w:rsidRPr="0020641C">
        <w:rPr>
          <w:b/>
          <w:color w:val="auto"/>
          <w:kern w:val="1"/>
          <w:szCs w:val="24"/>
          <w:lang w:bidi="hi-IN"/>
        </w:rPr>
        <w:t>24 měsíců</w:t>
      </w:r>
      <w:r w:rsidRPr="0020641C">
        <w:rPr>
          <w:color w:val="auto"/>
          <w:kern w:val="1"/>
          <w:szCs w:val="24"/>
          <w:lang w:bidi="hi-IN"/>
        </w:rPr>
        <w:t>. Záruka začíná běžet ode dne podepsání předávacího protokolu kupujícím.</w:t>
      </w:r>
    </w:p>
    <w:p w:rsidR="00FC4B92" w:rsidRDefault="00201FC9" w:rsidP="003D4A56">
      <w:pPr>
        <w:spacing w:after="4" w:line="266" w:lineRule="auto"/>
        <w:ind w:left="-15" w:right="4" w:firstLine="0"/>
      </w:pPr>
      <w:r>
        <w:t xml:space="preserve">Veškerý záruční servis bude </w:t>
      </w:r>
      <w:r w:rsidR="00AA74EE">
        <w:t xml:space="preserve">zahájen </w:t>
      </w:r>
      <w:r>
        <w:t xml:space="preserve">nejpozději do </w:t>
      </w:r>
      <w:r w:rsidR="003D4A56">
        <w:t>2</w:t>
      </w:r>
      <w:r>
        <w:t xml:space="preserve"> </w:t>
      </w:r>
      <w:r w:rsidR="0021681B">
        <w:t xml:space="preserve">pracovních </w:t>
      </w:r>
      <w:r>
        <w:t xml:space="preserve">dnů ode dne oznámení závady. Reklamace uplatňuje kupující neprodleně písemnou formou u prodávajícího. Dodavatel je povinen zahájit bezplatné odstraňování oprávněné reklamované vady neprodleně a odstranit ji v co nejkratším možném termínu, nejpozději však do </w:t>
      </w:r>
      <w:r w:rsidR="0056704E">
        <w:t>14</w:t>
      </w:r>
      <w:r>
        <w:t xml:space="preserve"> dnů ode dne doručení písemné reklamace, je-li to technicky a technologicky možné, jinak do data dohodnutého smluvními stranami. </w:t>
      </w:r>
    </w:p>
    <w:p w:rsidR="0031086C" w:rsidRDefault="0031086C" w:rsidP="00710603">
      <w:pPr>
        <w:spacing w:after="4" w:line="266" w:lineRule="auto"/>
        <w:ind w:left="-15" w:right="4" w:firstLine="0"/>
        <w:jc w:val="left"/>
      </w:pPr>
    </w:p>
    <w:p w:rsidR="00201FC9" w:rsidRDefault="00201FC9">
      <w:pPr>
        <w:spacing w:after="26" w:line="254" w:lineRule="auto"/>
        <w:ind w:right="3"/>
        <w:jc w:val="center"/>
      </w:pPr>
      <w:r>
        <w:rPr>
          <w:b/>
        </w:rPr>
        <w:t xml:space="preserve">V. </w:t>
      </w:r>
    </w:p>
    <w:p w:rsidR="00201FC9" w:rsidRDefault="00201FC9">
      <w:pPr>
        <w:spacing w:after="26" w:line="254" w:lineRule="auto"/>
        <w:ind w:right="1"/>
        <w:jc w:val="center"/>
      </w:pPr>
      <w:r>
        <w:rPr>
          <w:b/>
        </w:rPr>
        <w:t>Smluvní sankce</w:t>
      </w:r>
      <w:r>
        <w:t xml:space="preserve"> </w:t>
      </w:r>
    </w:p>
    <w:p w:rsidR="00E7477F" w:rsidRDefault="00E7477F">
      <w:pPr>
        <w:spacing w:after="26" w:line="254" w:lineRule="auto"/>
        <w:ind w:right="1"/>
        <w:jc w:val="center"/>
      </w:pPr>
    </w:p>
    <w:p w:rsidR="00201FC9" w:rsidRPr="00710603" w:rsidRDefault="00201FC9" w:rsidP="00710603">
      <w:pPr>
        <w:pStyle w:val="Nadpis1"/>
        <w:numPr>
          <w:ilvl w:val="0"/>
          <w:numId w:val="0"/>
        </w:numPr>
        <w:rPr>
          <w:i w:val="0"/>
        </w:rPr>
      </w:pPr>
      <w:r w:rsidRPr="00710603">
        <w:rPr>
          <w:i w:val="0"/>
        </w:rPr>
        <w:t xml:space="preserve">Prodávající je povinen zaplatit kupujícímu smluvní pokutu ve výši </w:t>
      </w:r>
      <w:r w:rsidR="001B76FA" w:rsidRPr="00710603">
        <w:rPr>
          <w:i w:val="0"/>
        </w:rPr>
        <w:t>0,05</w:t>
      </w:r>
      <w:r w:rsidR="00CD38F2" w:rsidRPr="00710603">
        <w:rPr>
          <w:i w:val="0"/>
        </w:rPr>
        <w:t xml:space="preserve">% </w:t>
      </w:r>
      <w:r w:rsidR="0033136C" w:rsidRPr="00710603">
        <w:rPr>
          <w:i w:val="0"/>
        </w:rPr>
        <w:t xml:space="preserve">tj. </w:t>
      </w:r>
      <w:r w:rsidR="00710603" w:rsidRPr="00710603">
        <w:rPr>
          <w:i w:val="0"/>
        </w:rPr>
        <w:t>328,65</w:t>
      </w:r>
      <w:r w:rsidR="0033136C" w:rsidRPr="00710603">
        <w:rPr>
          <w:i w:val="0"/>
        </w:rPr>
        <w:t xml:space="preserve">Kč z celkové ceny díla vč. DPH </w:t>
      </w:r>
      <w:r w:rsidRPr="00710603">
        <w:rPr>
          <w:i w:val="0"/>
        </w:rPr>
        <w:t xml:space="preserve">z nedodaného předmětu plnění, a to za každý den prodlení. </w:t>
      </w:r>
    </w:p>
    <w:p w:rsidR="00201FC9" w:rsidRDefault="00201FC9">
      <w:pPr>
        <w:ind w:left="-5" w:right="0"/>
      </w:pPr>
      <w:r>
        <w:t xml:space="preserve">Prodávající je povinen zaplatit kupujícímu smluvní pokutu ve výši </w:t>
      </w:r>
      <w:r w:rsidR="009E2EC3">
        <w:t>0,05%</w:t>
      </w:r>
      <w:r>
        <w:t xml:space="preserve"> tj. </w:t>
      </w:r>
      <w:r w:rsidR="00710603" w:rsidRPr="00710603">
        <w:t>328,6</w:t>
      </w:r>
      <w:r w:rsidR="00710603">
        <w:t>5</w:t>
      </w:r>
      <w:r>
        <w:t xml:space="preserve"> Kč</w:t>
      </w:r>
    </w:p>
    <w:p w:rsidR="00201FC9" w:rsidRDefault="00201FC9">
      <w:pPr>
        <w:ind w:left="-5" w:right="0"/>
      </w:pPr>
      <w:r>
        <w:t xml:space="preserve">vč. DPH za pozdní záruční servis, a to za každý den prodlení. (viz čl. IV) </w:t>
      </w:r>
    </w:p>
    <w:p w:rsidR="00201FC9" w:rsidRDefault="00201FC9">
      <w:pPr>
        <w:tabs>
          <w:tab w:val="center" w:pos="4391"/>
        </w:tabs>
        <w:ind w:left="-15" w:right="0" w:firstLine="0"/>
        <w:jc w:val="left"/>
      </w:pPr>
      <w:r>
        <w:t>Úhradou smluvní pokuty není dotčen nárok prodávajícího na náhradu škody.</w:t>
      </w:r>
    </w:p>
    <w:p w:rsidR="00E7477F" w:rsidRDefault="00201FC9" w:rsidP="0025765E">
      <w:pPr>
        <w:ind w:left="-5" w:right="0"/>
      </w:pPr>
      <w:r>
        <w:lastRenderedPageBreak/>
        <w:t xml:space="preserve">V případě prodlení prodávajícího s řádným dodáním, instalací zboží a/nebo s vyřízením reklamace delším než </w:t>
      </w:r>
      <w:r w:rsidR="008C42DB">
        <w:t xml:space="preserve">30 </w:t>
      </w:r>
      <w:r>
        <w:t>dnů je kupující oprávněn od smlouvy odstoupit. Ustanovením předchozí věty není dotčeno právo kupujícího na odstoupení od smlouvy z jiný</w:t>
      </w:r>
      <w:r w:rsidR="00DC7F99">
        <w:t xml:space="preserve">ch, v zákoně uvedených důvodů. </w:t>
      </w:r>
    </w:p>
    <w:p w:rsidR="00E7477F" w:rsidRDefault="00E7477F" w:rsidP="00E7477F">
      <w:pPr>
        <w:ind w:left="0" w:right="0" w:firstLine="0"/>
      </w:pPr>
    </w:p>
    <w:p w:rsidR="00201FC9" w:rsidRDefault="00201FC9">
      <w:pPr>
        <w:spacing w:after="26" w:line="254" w:lineRule="auto"/>
        <w:ind w:right="0"/>
        <w:jc w:val="center"/>
      </w:pPr>
      <w:r>
        <w:rPr>
          <w:b/>
        </w:rPr>
        <w:t xml:space="preserve">VI. </w:t>
      </w:r>
    </w:p>
    <w:p w:rsidR="00201FC9" w:rsidRDefault="00201FC9" w:rsidP="003D4A56">
      <w:pPr>
        <w:spacing w:after="0" w:line="254" w:lineRule="auto"/>
        <w:ind w:left="284" w:right="3" w:hanging="284"/>
        <w:jc w:val="center"/>
      </w:pPr>
      <w:r>
        <w:rPr>
          <w:b/>
        </w:rPr>
        <w:t xml:space="preserve">Závěrečná ustanovení </w:t>
      </w:r>
    </w:p>
    <w:p w:rsidR="00201FC9" w:rsidRDefault="00201FC9" w:rsidP="003D4A56">
      <w:pPr>
        <w:numPr>
          <w:ilvl w:val="0"/>
          <w:numId w:val="2"/>
        </w:numPr>
        <w:tabs>
          <w:tab w:val="clear" w:pos="0"/>
          <w:tab w:val="num" w:pos="284"/>
        </w:tabs>
        <w:ind w:left="284" w:right="0" w:hanging="284"/>
      </w:pPr>
      <w:r>
        <w:t xml:space="preserve">Tato smlouva může být změněna nebo doplněna pouze oboustranně podepsaným písemným dodatkem.  </w:t>
      </w:r>
    </w:p>
    <w:p w:rsidR="00201FC9" w:rsidRDefault="00201FC9" w:rsidP="003D4A56">
      <w:pPr>
        <w:numPr>
          <w:ilvl w:val="0"/>
          <w:numId w:val="2"/>
        </w:numPr>
        <w:tabs>
          <w:tab w:val="left" w:pos="284"/>
        </w:tabs>
        <w:ind w:left="284" w:right="0" w:hanging="284"/>
      </w:pPr>
      <w:r>
        <w:t xml:space="preserve">Smluvní strany prohlašují, že je jim znám celý obsah kupní smlouvy a že tuto kupní smlouvu uzavřely na základě své svobodné a vážené vůle. Na základě této skutečnosti připojují svoje podpisy.  </w:t>
      </w:r>
    </w:p>
    <w:p w:rsidR="00910294" w:rsidRDefault="00201FC9" w:rsidP="003D4A56">
      <w:pPr>
        <w:numPr>
          <w:ilvl w:val="0"/>
          <w:numId w:val="2"/>
        </w:numPr>
        <w:tabs>
          <w:tab w:val="left" w:pos="284"/>
        </w:tabs>
        <w:ind w:left="284" w:right="0" w:hanging="284"/>
      </w:pPr>
      <w:r>
        <w:t xml:space="preserve">Smlouva je vyhotovena ve 3 výtiscích - prodávající obdrží 1 </w:t>
      </w:r>
      <w:proofErr w:type="spellStart"/>
      <w:r>
        <w:t>paré</w:t>
      </w:r>
      <w:proofErr w:type="spellEnd"/>
      <w:r>
        <w:t xml:space="preserve"> a kupující 2 </w:t>
      </w:r>
      <w:proofErr w:type="spellStart"/>
      <w:r>
        <w:t>paré</w:t>
      </w:r>
      <w:proofErr w:type="spellEnd"/>
      <w:r>
        <w:t xml:space="preserve">. </w:t>
      </w:r>
    </w:p>
    <w:p w:rsidR="00201FC9" w:rsidRDefault="00201FC9" w:rsidP="003D4A56">
      <w:pPr>
        <w:numPr>
          <w:ilvl w:val="0"/>
          <w:numId w:val="2"/>
        </w:numPr>
        <w:tabs>
          <w:tab w:val="left" w:pos="284"/>
        </w:tabs>
        <w:ind w:left="284" w:right="0" w:hanging="284"/>
      </w:pPr>
      <w:r>
        <w:t xml:space="preserve">Smlouva nabývá platnosti a účinnosti dnem podpisu obou smluvních stran. </w:t>
      </w:r>
    </w:p>
    <w:p w:rsidR="00201FC9" w:rsidRDefault="00201FC9" w:rsidP="003D4A56">
      <w:pPr>
        <w:pStyle w:val="Zkladntext21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 xml:space="preserve"> Smluvní strany výslovně sjednávají, že uveřejnění této smlouvy v registru smluv dle zákona č. 340/2015., o zvláštních podmínkách účinnosti některých smluv, uveřejňování </w:t>
      </w:r>
      <w:r w:rsidR="00B53EF8">
        <w:t>těchto smluv a o registru (</w:t>
      </w:r>
      <w:r>
        <w:t xml:space="preserve">zákon o registru) </w:t>
      </w:r>
      <w:r w:rsidR="00910294" w:rsidRPr="00910294">
        <w:t xml:space="preserve">v platném znění </w:t>
      </w:r>
      <w:r w:rsidR="00910294">
        <w:t xml:space="preserve">zajistí Hotelová škola </w:t>
      </w:r>
      <w:r w:rsidR="00DC020E">
        <w:t xml:space="preserve">a Gymnázium </w:t>
      </w:r>
      <w:r w:rsidR="00910294">
        <w:t xml:space="preserve">Radlická </w:t>
      </w:r>
      <w:r w:rsidR="00910294" w:rsidRPr="00910294">
        <w:t>bez zbytečného odk</w:t>
      </w:r>
      <w:r w:rsidR="00B53EF8">
        <w:t>ladu, nejpozději však do 30 dnů</w:t>
      </w:r>
      <w:r w:rsidR="00910294" w:rsidRPr="00910294">
        <w:t xml:space="preserve"> po jejím uzavření.</w:t>
      </w:r>
    </w:p>
    <w:p w:rsidR="00201FC9" w:rsidRDefault="00910294" w:rsidP="003D4A56">
      <w:pPr>
        <w:pStyle w:val="Zkladntext21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Prodávající</w:t>
      </w:r>
      <w:r w:rsidR="00201FC9">
        <w:t xml:space="preserve"> souhlasí s tím, že Hotelová škola </w:t>
      </w:r>
      <w:r w:rsidR="00E7477F">
        <w:t xml:space="preserve">a Gymnázium </w:t>
      </w:r>
      <w:r w:rsidR="00201FC9">
        <w:t>Radlická může o předmětné smlouvě</w:t>
      </w:r>
      <w:r w:rsidR="00E7477F">
        <w:t xml:space="preserve"> </w:t>
      </w:r>
      <w:r w:rsidR="00201FC9">
        <w:t>poskytovat informace v rozsahu zákona č. 106/1999 Sb., o svobodném přístupu k informacím v plném znění</w:t>
      </w:r>
      <w:r w:rsidR="00B14148">
        <w:t xml:space="preserve"> s výjimkou </w:t>
      </w:r>
      <w:r w:rsidR="0045287C">
        <w:t>cen jednotlivých položek</w:t>
      </w:r>
      <w:r w:rsidR="00957291">
        <w:t xml:space="preserve"> v položkovém rozpočtu</w:t>
      </w:r>
      <w:r w:rsidR="00201FC9">
        <w:t>.</w:t>
      </w:r>
    </w:p>
    <w:p w:rsidR="00696542" w:rsidRDefault="00696542" w:rsidP="000E707E">
      <w:pPr>
        <w:pStyle w:val="Zkladntext21"/>
        <w:tabs>
          <w:tab w:val="left" w:pos="284"/>
        </w:tabs>
        <w:jc w:val="both"/>
      </w:pPr>
    </w:p>
    <w:p w:rsidR="006327A9" w:rsidRDefault="0025765E">
      <w:pPr>
        <w:pStyle w:val="Zkladntext21"/>
      </w:pPr>
      <w:r>
        <w:t xml:space="preserve">Přílohy: Příloha č. 1 </w:t>
      </w:r>
      <w:r w:rsidR="006327A9">
        <w:t>–</w:t>
      </w:r>
      <w:r>
        <w:t xml:space="preserve"> </w:t>
      </w:r>
      <w:r w:rsidR="00856921">
        <w:t>Položkový rozpočet – cenová nabídka</w:t>
      </w:r>
    </w:p>
    <w:p w:rsidR="00201FC9" w:rsidRDefault="00201FC9">
      <w:pPr>
        <w:pStyle w:val="Zkladntext21"/>
      </w:pPr>
    </w:p>
    <w:p w:rsidR="00696542" w:rsidRDefault="00696542">
      <w:pPr>
        <w:pStyle w:val="Zkladntext21"/>
      </w:pPr>
    </w:p>
    <w:p w:rsidR="00201FC9" w:rsidRDefault="00DC7F99" w:rsidP="00957291">
      <w:pPr>
        <w:tabs>
          <w:tab w:val="left" w:pos="5103"/>
        </w:tabs>
        <w:ind w:left="-5" w:right="0"/>
      </w:pPr>
      <w:r>
        <w:t>V Praze dne</w:t>
      </w:r>
      <w:r w:rsidR="00C17815">
        <w:t xml:space="preserve"> 18. 3. 2024</w:t>
      </w:r>
      <w:r w:rsidR="00957291">
        <w:tab/>
      </w:r>
      <w:r>
        <w:t>V Praze dne</w:t>
      </w:r>
      <w:r w:rsidR="00C17815">
        <w:t xml:space="preserve"> 26. 3. 2024</w:t>
      </w:r>
    </w:p>
    <w:p w:rsidR="00E7477F" w:rsidRDefault="00E7477F" w:rsidP="0025765E">
      <w:pPr>
        <w:ind w:left="0" w:right="0" w:firstLine="0"/>
      </w:pPr>
    </w:p>
    <w:p w:rsidR="00201FC9" w:rsidRDefault="00201FC9" w:rsidP="00957291">
      <w:pPr>
        <w:tabs>
          <w:tab w:val="left" w:pos="5103"/>
        </w:tabs>
        <w:ind w:left="-5" w:right="0"/>
      </w:pPr>
      <w:r>
        <w:t>Kupující:</w:t>
      </w:r>
      <w:r w:rsidR="00957291">
        <w:tab/>
      </w:r>
      <w:r w:rsidR="00910294">
        <w:t>Prodávající:</w:t>
      </w:r>
    </w:p>
    <w:p w:rsidR="00DC7F99" w:rsidRDefault="00DC7F99" w:rsidP="00E7477F">
      <w:pPr>
        <w:ind w:left="0" w:right="0" w:firstLine="0"/>
      </w:pPr>
    </w:p>
    <w:p w:rsidR="00930F80" w:rsidRDefault="00930F80" w:rsidP="00E7477F">
      <w:pPr>
        <w:ind w:left="0" w:right="0" w:firstLine="0"/>
      </w:pPr>
    </w:p>
    <w:p w:rsidR="00930F80" w:rsidRDefault="00930F80" w:rsidP="00E7477F">
      <w:pPr>
        <w:ind w:left="0" w:right="0" w:firstLine="0"/>
      </w:pPr>
    </w:p>
    <w:p w:rsidR="00201FC9" w:rsidRDefault="00151BE4" w:rsidP="00E42E8F">
      <w:pPr>
        <w:tabs>
          <w:tab w:val="left" w:leader="dot" w:pos="2835"/>
          <w:tab w:val="left" w:pos="5103"/>
          <w:tab w:val="left" w:leader="dot" w:pos="7938"/>
        </w:tabs>
        <w:ind w:left="-5" w:right="0"/>
      </w:pPr>
      <w:r>
        <w:tab/>
      </w:r>
      <w:r>
        <w:tab/>
      </w:r>
      <w:r>
        <w:tab/>
      </w:r>
      <w:r w:rsidR="00E42E8F">
        <w:tab/>
      </w:r>
    </w:p>
    <w:p w:rsidR="00201FC9" w:rsidRDefault="00201FC9" w:rsidP="009D5792">
      <w:pPr>
        <w:tabs>
          <w:tab w:val="center" w:pos="6521"/>
        </w:tabs>
        <w:ind w:left="-5" w:right="0"/>
      </w:pPr>
      <w:r>
        <w:t xml:space="preserve">Hotelová škola </w:t>
      </w:r>
      <w:r w:rsidR="00B53EF8">
        <w:t xml:space="preserve">a Gymnázium </w:t>
      </w:r>
      <w:r>
        <w:t>Radlická</w:t>
      </w:r>
      <w:r w:rsidR="009D5792">
        <w:tab/>
        <w:t>A</w:t>
      </w:r>
      <w:r w:rsidR="5106205E">
        <w:t>UDIOPRO s.r</w:t>
      </w:r>
      <w:r w:rsidR="33CF07D0">
        <w:t>.</w:t>
      </w:r>
      <w:r w:rsidR="5106205E">
        <w:t>o.</w:t>
      </w:r>
    </w:p>
    <w:p w:rsidR="00201FC9" w:rsidRDefault="00371915" w:rsidP="00C953DF">
      <w:pPr>
        <w:tabs>
          <w:tab w:val="center" w:pos="1418"/>
          <w:tab w:val="center" w:pos="6521"/>
        </w:tabs>
        <w:ind w:left="-5" w:right="0" w:firstLine="5"/>
      </w:pPr>
      <w:r>
        <w:tab/>
      </w:r>
      <w:r w:rsidR="00D253B9">
        <w:t>Ing. Milan</w:t>
      </w:r>
      <w:r w:rsidR="00201FC9">
        <w:t xml:space="preserve"> Novotný, ředitel</w:t>
      </w:r>
      <w:r w:rsidR="00C953DF">
        <w:tab/>
      </w:r>
      <w:r w:rsidR="642B8C47">
        <w:t>Jana Hroncová, jednatelka</w:t>
      </w:r>
    </w:p>
    <w:p w:rsidR="00BE1077" w:rsidRDefault="00BE1077">
      <w:pPr>
        <w:ind w:left="-5" w:right="0"/>
      </w:pPr>
    </w:p>
    <w:p w:rsidR="00BE1077" w:rsidRDefault="00BE1077">
      <w:pPr>
        <w:ind w:left="-5" w:right="0"/>
      </w:pPr>
    </w:p>
    <w:p w:rsidR="00BE1077" w:rsidRDefault="00BE1077">
      <w:pPr>
        <w:ind w:left="-5" w:right="0"/>
      </w:pPr>
      <w:bookmarkStart w:id="0" w:name="_GoBack"/>
      <w:bookmarkEnd w:id="0"/>
    </w:p>
    <w:p w:rsidR="00BE1077" w:rsidRDefault="00BE1077">
      <w:pPr>
        <w:ind w:left="-5" w:right="0"/>
      </w:pPr>
    </w:p>
    <w:p w:rsidR="00BE1077" w:rsidRDefault="00BE1077">
      <w:pPr>
        <w:ind w:left="-5" w:right="0"/>
      </w:pPr>
    </w:p>
    <w:p w:rsidR="00C54686" w:rsidRDefault="00C54686" w:rsidP="00C54686">
      <w:pPr>
        <w:tabs>
          <w:tab w:val="left" w:leader="dot" w:pos="2835"/>
          <w:tab w:val="left" w:pos="3828"/>
        </w:tabs>
        <w:ind w:left="-5" w:right="4679"/>
      </w:pPr>
      <w:r>
        <w:tab/>
      </w:r>
      <w:r>
        <w:tab/>
      </w:r>
    </w:p>
    <w:p w:rsidR="00201FC9" w:rsidRDefault="00C54686" w:rsidP="00C54686">
      <w:pPr>
        <w:tabs>
          <w:tab w:val="center" w:pos="1418"/>
          <w:tab w:val="left" w:pos="3828"/>
        </w:tabs>
        <w:ind w:left="-5" w:right="4679"/>
      </w:pPr>
      <w:r>
        <w:tab/>
      </w:r>
      <w:r>
        <w:tab/>
      </w:r>
      <w:r w:rsidR="00201FC9">
        <w:t>Kateřina Markupová</w:t>
      </w:r>
    </w:p>
    <w:p w:rsidR="00856921" w:rsidRDefault="00C54686" w:rsidP="00C54686">
      <w:pPr>
        <w:tabs>
          <w:tab w:val="center" w:pos="1418"/>
        </w:tabs>
        <w:ind w:left="-5" w:right="4679"/>
      </w:pPr>
      <w:r>
        <w:tab/>
      </w:r>
      <w:r>
        <w:tab/>
      </w:r>
      <w:r w:rsidR="00201FC9">
        <w:t xml:space="preserve">správce rozpočtu </w:t>
      </w:r>
      <w:r w:rsidR="008C42DB">
        <w:t>6</w:t>
      </w:r>
    </w:p>
    <w:sectPr w:rsidR="00856921" w:rsidSect="00111468">
      <w:footerReference w:type="default" r:id="rId10"/>
      <w:pgSz w:w="11906" w:h="16838"/>
      <w:pgMar w:top="851" w:right="991" w:bottom="993" w:left="1416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79" w:rsidRDefault="00B16079">
      <w:pPr>
        <w:spacing w:after="0" w:line="240" w:lineRule="auto"/>
      </w:pPr>
      <w:r>
        <w:separator/>
      </w:r>
    </w:p>
  </w:endnote>
  <w:endnote w:type="continuationSeparator" w:id="0">
    <w:p w:rsidR="00B16079" w:rsidRDefault="00B1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C9" w:rsidRDefault="005854CD">
    <w:pPr>
      <w:spacing w:after="0" w:line="254" w:lineRule="auto"/>
      <w:ind w:left="0" w:right="0" w:firstLine="0"/>
      <w:jc w:val="center"/>
    </w:pPr>
    <w:r>
      <w:rPr>
        <w:color w:val="2B579A"/>
        <w:shd w:val="clear" w:color="auto" w:fill="E6E6E6"/>
      </w:rPr>
      <w:fldChar w:fldCharType="begin"/>
    </w:r>
    <w:r w:rsidR="00201FC9">
      <w:instrText xml:space="preserve"> PAGE </w:instrText>
    </w:r>
    <w:r>
      <w:rPr>
        <w:color w:val="2B579A"/>
        <w:shd w:val="clear" w:color="auto" w:fill="E6E6E6"/>
      </w:rPr>
      <w:fldChar w:fldCharType="separate"/>
    </w:r>
    <w:r w:rsidR="007B0996">
      <w:rPr>
        <w:noProof/>
      </w:rPr>
      <w:t>6</w:t>
    </w:r>
    <w:r>
      <w:rPr>
        <w:color w:val="2B579A"/>
        <w:shd w:val="clear" w:color="auto" w:fill="E6E6E6"/>
      </w:rPr>
      <w:fldChar w:fldCharType="end"/>
    </w:r>
    <w:r w:rsidR="00201FC9">
      <w:t xml:space="preserve"> </w:t>
    </w:r>
  </w:p>
  <w:p w:rsidR="00201FC9" w:rsidRDefault="00201FC9">
    <w:pPr>
      <w:spacing w:after="0" w:line="254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79" w:rsidRDefault="00B16079">
      <w:pPr>
        <w:spacing w:after="0" w:line="240" w:lineRule="auto"/>
      </w:pPr>
      <w:r>
        <w:separator/>
      </w:r>
    </w:p>
  </w:footnote>
  <w:footnote w:type="continuationSeparator" w:id="0">
    <w:p w:rsidR="00B16079" w:rsidRDefault="00B1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84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003C3E2F"/>
    <w:multiLevelType w:val="hybridMultilevel"/>
    <w:tmpl w:val="A42E0C24"/>
    <w:lvl w:ilvl="0" w:tplc="5008A8E6">
      <w:numFmt w:val="bullet"/>
      <w:lvlText w:val="-"/>
      <w:lvlJc w:val="left"/>
      <w:pPr>
        <w:ind w:left="705" w:hanging="360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16D51C93"/>
    <w:multiLevelType w:val="hybridMultilevel"/>
    <w:tmpl w:val="EAB0E3AE"/>
    <w:lvl w:ilvl="0" w:tplc="74C674C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1130106"/>
    <w:multiLevelType w:val="hybridMultilevel"/>
    <w:tmpl w:val="C2C6A45A"/>
    <w:lvl w:ilvl="0" w:tplc="424CBC64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>
    <w:nsid w:val="4160334E"/>
    <w:multiLevelType w:val="hybridMultilevel"/>
    <w:tmpl w:val="916A0DD2"/>
    <w:lvl w:ilvl="0" w:tplc="C15A4F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C15A4FB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49426E4"/>
    <w:multiLevelType w:val="hybridMultilevel"/>
    <w:tmpl w:val="6C8C92EC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j Hronec">
    <w15:presenceInfo w15:providerId="AD" w15:userId="S::andrej.hronec@audiopro.cz::a17f67f3-ffab-4f71-ae5d-78f9ac70ce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FF"/>
    <w:rsid w:val="000920E8"/>
    <w:rsid w:val="000C7679"/>
    <w:rsid w:val="000E707E"/>
    <w:rsid w:val="00111468"/>
    <w:rsid w:val="001124E0"/>
    <w:rsid w:val="00151BE4"/>
    <w:rsid w:val="001B76FA"/>
    <w:rsid w:val="00201FC9"/>
    <w:rsid w:val="0020641C"/>
    <w:rsid w:val="0021681B"/>
    <w:rsid w:val="0023635A"/>
    <w:rsid w:val="0025765E"/>
    <w:rsid w:val="00260E45"/>
    <w:rsid w:val="002D1CBD"/>
    <w:rsid w:val="002D2D8C"/>
    <w:rsid w:val="00303A12"/>
    <w:rsid w:val="00304AA5"/>
    <w:rsid w:val="0031086C"/>
    <w:rsid w:val="0033136C"/>
    <w:rsid w:val="0036165B"/>
    <w:rsid w:val="003717F9"/>
    <w:rsid w:val="00371915"/>
    <w:rsid w:val="003B2648"/>
    <w:rsid w:val="003D4A56"/>
    <w:rsid w:val="003E36F9"/>
    <w:rsid w:val="00405F21"/>
    <w:rsid w:val="0045287C"/>
    <w:rsid w:val="00471EA4"/>
    <w:rsid w:val="00481BA7"/>
    <w:rsid w:val="00564606"/>
    <w:rsid w:val="0056704E"/>
    <w:rsid w:val="005854CD"/>
    <w:rsid w:val="005B66ED"/>
    <w:rsid w:val="005E4E7B"/>
    <w:rsid w:val="005E61EC"/>
    <w:rsid w:val="006327A9"/>
    <w:rsid w:val="00657135"/>
    <w:rsid w:val="00662846"/>
    <w:rsid w:val="0068502D"/>
    <w:rsid w:val="00696542"/>
    <w:rsid w:val="00710603"/>
    <w:rsid w:val="00733225"/>
    <w:rsid w:val="00766D90"/>
    <w:rsid w:val="007B0996"/>
    <w:rsid w:val="007F094C"/>
    <w:rsid w:val="00803CF8"/>
    <w:rsid w:val="00812694"/>
    <w:rsid w:val="00836F78"/>
    <w:rsid w:val="0084367D"/>
    <w:rsid w:val="00856921"/>
    <w:rsid w:val="00857233"/>
    <w:rsid w:val="008A1FFF"/>
    <w:rsid w:val="008C42DB"/>
    <w:rsid w:val="00910294"/>
    <w:rsid w:val="0091300E"/>
    <w:rsid w:val="00930F80"/>
    <w:rsid w:val="00957291"/>
    <w:rsid w:val="00965AD8"/>
    <w:rsid w:val="009957DE"/>
    <w:rsid w:val="009D5792"/>
    <w:rsid w:val="009E2373"/>
    <w:rsid w:val="009E2EC3"/>
    <w:rsid w:val="00A025E9"/>
    <w:rsid w:val="00A60962"/>
    <w:rsid w:val="00AA4AB8"/>
    <w:rsid w:val="00AA74EE"/>
    <w:rsid w:val="00AD41BD"/>
    <w:rsid w:val="00B14148"/>
    <w:rsid w:val="00B159F9"/>
    <w:rsid w:val="00B16079"/>
    <w:rsid w:val="00B53EF8"/>
    <w:rsid w:val="00BE1077"/>
    <w:rsid w:val="00BE6140"/>
    <w:rsid w:val="00C11410"/>
    <w:rsid w:val="00C17815"/>
    <w:rsid w:val="00C54686"/>
    <w:rsid w:val="00C953DF"/>
    <w:rsid w:val="00CD38F2"/>
    <w:rsid w:val="00D253B9"/>
    <w:rsid w:val="00D83F7A"/>
    <w:rsid w:val="00DB1A5C"/>
    <w:rsid w:val="00DC020E"/>
    <w:rsid w:val="00DC7F99"/>
    <w:rsid w:val="00DE5F15"/>
    <w:rsid w:val="00E42E8F"/>
    <w:rsid w:val="00E72E3C"/>
    <w:rsid w:val="00E7477F"/>
    <w:rsid w:val="00EA7623"/>
    <w:rsid w:val="00F07066"/>
    <w:rsid w:val="00F1010B"/>
    <w:rsid w:val="00F26277"/>
    <w:rsid w:val="00F61839"/>
    <w:rsid w:val="00FC1E1A"/>
    <w:rsid w:val="00FC4B92"/>
    <w:rsid w:val="00FD603B"/>
    <w:rsid w:val="016925D1"/>
    <w:rsid w:val="0231CA1D"/>
    <w:rsid w:val="0440A09F"/>
    <w:rsid w:val="087976FC"/>
    <w:rsid w:val="0D351EB3"/>
    <w:rsid w:val="0F8C1B94"/>
    <w:rsid w:val="10614D58"/>
    <w:rsid w:val="13D21DCF"/>
    <w:rsid w:val="1632949A"/>
    <w:rsid w:val="16FEC77D"/>
    <w:rsid w:val="1750466A"/>
    <w:rsid w:val="17CB81E8"/>
    <w:rsid w:val="188F0FF9"/>
    <w:rsid w:val="1991CA01"/>
    <w:rsid w:val="1B0605BD"/>
    <w:rsid w:val="1C4743A2"/>
    <w:rsid w:val="1E383DA2"/>
    <w:rsid w:val="1F057D48"/>
    <w:rsid w:val="1F607D9B"/>
    <w:rsid w:val="200EDAC6"/>
    <w:rsid w:val="20BC5111"/>
    <w:rsid w:val="20BED5BA"/>
    <w:rsid w:val="2235AAA8"/>
    <w:rsid w:val="258BFF80"/>
    <w:rsid w:val="268F75BB"/>
    <w:rsid w:val="286F1082"/>
    <w:rsid w:val="298846AC"/>
    <w:rsid w:val="2C0FEC7A"/>
    <w:rsid w:val="2C11108D"/>
    <w:rsid w:val="2D7DE908"/>
    <w:rsid w:val="3031A7A4"/>
    <w:rsid w:val="33CF07D0"/>
    <w:rsid w:val="36DEE448"/>
    <w:rsid w:val="387AB4A9"/>
    <w:rsid w:val="39854219"/>
    <w:rsid w:val="3CBCE2DB"/>
    <w:rsid w:val="3DFF3211"/>
    <w:rsid w:val="3FB30AAF"/>
    <w:rsid w:val="3FF4839D"/>
    <w:rsid w:val="4829A31D"/>
    <w:rsid w:val="4C50A0AB"/>
    <w:rsid w:val="4E4E5996"/>
    <w:rsid w:val="4E903981"/>
    <w:rsid w:val="5106205E"/>
    <w:rsid w:val="51EB0A10"/>
    <w:rsid w:val="53346751"/>
    <w:rsid w:val="574E9B81"/>
    <w:rsid w:val="5C6EB1FB"/>
    <w:rsid w:val="5DCBB28B"/>
    <w:rsid w:val="5E0A825C"/>
    <w:rsid w:val="5F174464"/>
    <w:rsid w:val="5F6782EC"/>
    <w:rsid w:val="62116164"/>
    <w:rsid w:val="636FE156"/>
    <w:rsid w:val="638CC6BB"/>
    <w:rsid w:val="63C05D01"/>
    <w:rsid w:val="642B8C47"/>
    <w:rsid w:val="64B88B9F"/>
    <w:rsid w:val="655C2D62"/>
    <w:rsid w:val="65D6C470"/>
    <w:rsid w:val="66FD288B"/>
    <w:rsid w:val="68FC29EA"/>
    <w:rsid w:val="6B8D6621"/>
    <w:rsid w:val="6D00E877"/>
    <w:rsid w:val="6DEB9360"/>
    <w:rsid w:val="6E7F990F"/>
    <w:rsid w:val="6EB994C6"/>
    <w:rsid w:val="6EDE8E2C"/>
    <w:rsid w:val="74837230"/>
    <w:rsid w:val="74AB7879"/>
    <w:rsid w:val="753D2339"/>
    <w:rsid w:val="77A3051D"/>
    <w:rsid w:val="78D1F997"/>
    <w:rsid w:val="7A2C8CAF"/>
    <w:rsid w:val="7C721DEA"/>
    <w:rsid w:val="7D2218DE"/>
    <w:rsid w:val="7DFCA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4CD"/>
    <w:pPr>
      <w:suppressAutoHyphens/>
      <w:spacing w:after="5" w:line="264" w:lineRule="auto"/>
      <w:ind w:left="10" w:right="3946" w:hanging="10"/>
      <w:jc w:val="both"/>
    </w:pPr>
    <w:rPr>
      <w:color w:val="000000"/>
      <w:sz w:val="24"/>
      <w:szCs w:val="22"/>
      <w:lang w:eastAsia="zh-CN"/>
    </w:rPr>
  </w:style>
  <w:style w:type="paragraph" w:styleId="Nadpis1">
    <w:name w:val="heading 1"/>
    <w:next w:val="Normln"/>
    <w:qFormat/>
    <w:rsid w:val="005854CD"/>
    <w:pPr>
      <w:keepNext/>
      <w:keepLines/>
      <w:numPr>
        <w:numId w:val="1"/>
      </w:numPr>
      <w:suppressAutoHyphens/>
      <w:spacing w:line="254" w:lineRule="auto"/>
      <w:ind w:left="718" w:hanging="10"/>
      <w:outlineLvl w:val="0"/>
    </w:pPr>
    <w:rPr>
      <w:i/>
      <w:color w:val="000000"/>
      <w:sz w:val="24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854CD"/>
  </w:style>
  <w:style w:type="character" w:customStyle="1" w:styleId="WW8Num1z1">
    <w:name w:val="WW8Num1z1"/>
    <w:rsid w:val="005854CD"/>
  </w:style>
  <w:style w:type="character" w:customStyle="1" w:styleId="WW8Num1z2">
    <w:name w:val="WW8Num1z2"/>
    <w:rsid w:val="005854CD"/>
  </w:style>
  <w:style w:type="character" w:customStyle="1" w:styleId="WW8Num1z3">
    <w:name w:val="WW8Num1z3"/>
    <w:rsid w:val="005854CD"/>
  </w:style>
  <w:style w:type="character" w:customStyle="1" w:styleId="WW8Num1z4">
    <w:name w:val="WW8Num1z4"/>
    <w:rsid w:val="005854CD"/>
  </w:style>
  <w:style w:type="character" w:customStyle="1" w:styleId="WW8Num1z5">
    <w:name w:val="WW8Num1z5"/>
    <w:rsid w:val="005854CD"/>
  </w:style>
  <w:style w:type="character" w:customStyle="1" w:styleId="WW8Num1z6">
    <w:name w:val="WW8Num1z6"/>
    <w:rsid w:val="005854CD"/>
  </w:style>
  <w:style w:type="character" w:customStyle="1" w:styleId="WW8Num1z7">
    <w:name w:val="WW8Num1z7"/>
    <w:rsid w:val="005854CD"/>
  </w:style>
  <w:style w:type="character" w:customStyle="1" w:styleId="WW8Num1z8">
    <w:name w:val="WW8Num1z8"/>
    <w:rsid w:val="005854CD"/>
  </w:style>
  <w:style w:type="character" w:customStyle="1" w:styleId="WW8Num2z0">
    <w:name w:val="WW8Num2z0"/>
    <w:rsid w:val="005854C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5854CD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5854CD"/>
    <w:rPr>
      <w:rFonts w:ascii="Symbol" w:hAnsi="Symbol" w:cs="OpenSymbol"/>
    </w:rPr>
  </w:style>
  <w:style w:type="character" w:customStyle="1" w:styleId="WW8Num4z1">
    <w:name w:val="WW8Num4z1"/>
    <w:rsid w:val="005854CD"/>
    <w:rPr>
      <w:rFonts w:ascii="OpenSymbol" w:hAnsi="OpenSymbol" w:cs="OpenSymbol"/>
    </w:rPr>
  </w:style>
  <w:style w:type="character" w:customStyle="1" w:styleId="WW8Num5z0">
    <w:name w:val="WW8Num5z0"/>
    <w:rsid w:val="005854CD"/>
  </w:style>
  <w:style w:type="character" w:customStyle="1" w:styleId="WW8Num5z1">
    <w:name w:val="WW8Num5z1"/>
    <w:rsid w:val="005854CD"/>
  </w:style>
  <w:style w:type="character" w:customStyle="1" w:styleId="WW8Num5z2">
    <w:name w:val="WW8Num5z2"/>
    <w:rsid w:val="005854CD"/>
  </w:style>
  <w:style w:type="character" w:customStyle="1" w:styleId="WW8Num5z3">
    <w:name w:val="WW8Num5z3"/>
    <w:rsid w:val="005854CD"/>
  </w:style>
  <w:style w:type="character" w:customStyle="1" w:styleId="WW8Num5z4">
    <w:name w:val="WW8Num5z4"/>
    <w:rsid w:val="005854CD"/>
  </w:style>
  <w:style w:type="character" w:customStyle="1" w:styleId="WW8Num5z5">
    <w:name w:val="WW8Num5z5"/>
    <w:rsid w:val="005854CD"/>
  </w:style>
  <w:style w:type="character" w:customStyle="1" w:styleId="WW8Num5z6">
    <w:name w:val="WW8Num5z6"/>
    <w:rsid w:val="005854CD"/>
  </w:style>
  <w:style w:type="character" w:customStyle="1" w:styleId="WW8Num5z7">
    <w:name w:val="WW8Num5z7"/>
    <w:rsid w:val="005854CD"/>
  </w:style>
  <w:style w:type="character" w:customStyle="1" w:styleId="WW8Num5z8">
    <w:name w:val="WW8Num5z8"/>
    <w:rsid w:val="005854CD"/>
  </w:style>
  <w:style w:type="character" w:customStyle="1" w:styleId="Standardnpsmoodstavce1">
    <w:name w:val="Standardní písmo odstavce1"/>
    <w:rsid w:val="005854CD"/>
  </w:style>
  <w:style w:type="character" w:customStyle="1" w:styleId="Nadpis1Char">
    <w:name w:val="Nadpis 1 Char"/>
    <w:rsid w:val="005854CD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Odrky">
    <w:name w:val="Odrážky"/>
    <w:rsid w:val="005854CD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5854CD"/>
  </w:style>
  <w:style w:type="paragraph" w:customStyle="1" w:styleId="Nadpis">
    <w:name w:val="Nadpis"/>
    <w:basedOn w:val="Normln"/>
    <w:next w:val="Zkladntext"/>
    <w:rsid w:val="005854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854CD"/>
    <w:pPr>
      <w:spacing w:after="140" w:line="276" w:lineRule="auto"/>
    </w:pPr>
  </w:style>
  <w:style w:type="paragraph" w:styleId="Seznam">
    <w:name w:val="List"/>
    <w:basedOn w:val="Zkladntext"/>
    <w:rsid w:val="005854CD"/>
    <w:rPr>
      <w:rFonts w:cs="Arial"/>
    </w:rPr>
  </w:style>
  <w:style w:type="paragraph" w:styleId="Titulek">
    <w:name w:val="caption"/>
    <w:basedOn w:val="Normln"/>
    <w:qFormat/>
    <w:rsid w:val="005854C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rsid w:val="005854CD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rsid w:val="005854CD"/>
    <w:pPr>
      <w:overflowPunct w:val="0"/>
      <w:autoSpaceDE w:val="0"/>
      <w:spacing w:after="0" w:line="240" w:lineRule="auto"/>
      <w:ind w:left="0" w:right="0" w:firstLine="0"/>
      <w:jc w:val="left"/>
      <w:textAlignment w:val="baseline"/>
    </w:pPr>
    <w:rPr>
      <w:color w:val="auto"/>
      <w:szCs w:val="20"/>
    </w:rPr>
  </w:style>
  <w:style w:type="paragraph" w:styleId="Zpat">
    <w:name w:val="footer"/>
    <w:basedOn w:val="Normln"/>
    <w:rsid w:val="005854CD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rsid w:val="008A1FFF"/>
    <w:pPr>
      <w:widowControl w:val="0"/>
      <w:suppressAutoHyphens/>
      <w:spacing w:line="100" w:lineRule="atLeast"/>
    </w:pPr>
    <w:rPr>
      <w:rFonts w:ascii="Arial" w:hAnsi="Arial" w:cs="Arial"/>
      <w:kern w:val="1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102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10294"/>
    <w:rPr>
      <w:color w:val="000000"/>
      <w:sz w:val="24"/>
      <w:szCs w:val="22"/>
      <w:lang w:eastAsia="zh-CN"/>
    </w:rPr>
  </w:style>
  <w:style w:type="table" w:styleId="Mkatabulky">
    <w:name w:val="Table Grid"/>
    <w:basedOn w:val="Normlntabulka"/>
    <w:uiPriority w:val="59"/>
    <w:rsid w:val="00856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2D8C"/>
    <w:rPr>
      <w:rFonts w:ascii="Tahoma" w:hAnsi="Tahoma" w:cs="Tahoma"/>
      <w:color w:val="000000"/>
      <w:sz w:val="16"/>
      <w:szCs w:val="16"/>
      <w:lang w:eastAsia="zh-CN"/>
    </w:rPr>
  </w:style>
  <w:style w:type="character" w:customStyle="1" w:styleId="Mention">
    <w:name w:val="Mention"/>
    <w:basedOn w:val="Standardnpsmoodstavce"/>
    <w:uiPriority w:val="99"/>
    <w:unhideWhenUsed/>
    <w:rsid w:val="005854CD"/>
    <w:rPr>
      <w:color w:val="2B579A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4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4CD"/>
    <w:rPr>
      <w:color w:val="00000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854CD"/>
    <w:rPr>
      <w:sz w:val="16"/>
      <w:szCs w:val="16"/>
    </w:rPr>
  </w:style>
  <w:style w:type="paragraph" w:styleId="Revize">
    <w:name w:val="Revision"/>
    <w:hidden/>
    <w:uiPriority w:val="99"/>
    <w:semiHidden/>
    <w:rsid w:val="00F61839"/>
    <w:rPr>
      <w:color w:val="000000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5" w:line="264" w:lineRule="auto"/>
      <w:ind w:left="10" w:right="3946" w:hanging="10"/>
      <w:jc w:val="both"/>
    </w:pPr>
    <w:rPr>
      <w:color w:val="000000"/>
      <w:sz w:val="24"/>
      <w:szCs w:val="22"/>
      <w:lang w:eastAsia="zh-CN"/>
    </w:rPr>
  </w:style>
  <w:style w:type="paragraph" w:styleId="Nadpis1">
    <w:name w:val="heading 1"/>
    <w:next w:val="Normln"/>
    <w:qFormat/>
    <w:pPr>
      <w:keepNext/>
      <w:keepLines/>
      <w:numPr>
        <w:numId w:val="1"/>
      </w:numPr>
      <w:suppressAutoHyphens/>
      <w:spacing w:line="254" w:lineRule="auto"/>
      <w:ind w:left="718" w:hanging="10"/>
      <w:outlineLvl w:val="0"/>
    </w:pPr>
    <w:rPr>
      <w:i/>
      <w:color w:val="000000"/>
      <w:sz w:val="24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pPr>
      <w:overflowPunct w:val="0"/>
      <w:autoSpaceDE w:val="0"/>
      <w:spacing w:after="0" w:line="240" w:lineRule="auto"/>
      <w:ind w:left="0" w:right="0" w:firstLine="0"/>
      <w:jc w:val="left"/>
      <w:textAlignment w:val="baseline"/>
    </w:pPr>
    <w:rPr>
      <w:color w:val="auto"/>
      <w:szCs w:val="20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rsid w:val="008A1FFF"/>
    <w:pPr>
      <w:widowControl w:val="0"/>
      <w:suppressAutoHyphens/>
      <w:spacing w:line="100" w:lineRule="atLeast"/>
    </w:pPr>
    <w:rPr>
      <w:rFonts w:ascii="Arial" w:hAnsi="Arial" w:cs="Arial"/>
      <w:kern w:val="1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102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10294"/>
    <w:rPr>
      <w:color w:val="000000"/>
      <w:sz w:val="24"/>
      <w:szCs w:val="22"/>
      <w:lang w:eastAsia="zh-CN"/>
    </w:rPr>
  </w:style>
  <w:style w:type="table" w:styleId="Mkatabulky">
    <w:name w:val="Table Grid"/>
    <w:basedOn w:val="Normlntabulka"/>
    <w:uiPriority w:val="59"/>
    <w:rsid w:val="0085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2D8C"/>
    <w:rPr>
      <w:rFonts w:ascii="Tahoma" w:hAnsi="Tahoma" w:cs="Tahoma"/>
      <w:color w:val="000000"/>
      <w:sz w:val="16"/>
      <w:szCs w:val="16"/>
      <w:lang w:eastAsia="zh-CN"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color w:val="00000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F61839"/>
    <w:rPr>
      <w:color w:val="000000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EA4B18E0D025478803785F4BCD05B2" ma:contentTypeVersion="13" ma:contentTypeDescription="Vytvoří nový dokument" ma:contentTypeScope="" ma:versionID="6b61ae3d15b3d456a02ee115beab3644">
  <xsd:schema xmlns:xsd="http://www.w3.org/2001/XMLSchema" xmlns:xs="http://www.w3.org/2001/XMLSchema" xmlns:p="http://schemas.microsoft.com/office/2006/metadata/properties" xmlns:ns2="08626525-cec4-4255-8ea9-6fc4c7a41603" xmlns:ns3="a33a7a48-32ff-4c1d-8946-52bab8c1d30f" targetNamespace="http://schemas.microsoft.com/office/2006/metadata/properties" ma:root="true" ma:fieldsID="0b935d8002ae33243885452d37cebb57" ns2:_="" ns3:_="">
    <xsd:import namespace="08626525-cec4-4255-8ea9-6fc4c7a41603"/>
    <xsd:import namespace="a33a7a48-32ff-4c1d-8946-52bab8c1d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6525-cec4-4255-8ea9-6fc4c7a41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d033f30e-b78a-4a62-a9ed-d6585bd314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a7a48-32ff-4c1d-8946-52bab8c1d3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ea61f9f-2ab7-4d59-a8f8-a1a8d25e58c3}" ma:internalName="TaxCatchAll" ma:showField="CatchAllData" ma:web="a33a7a48-32ff-4c1d-8946-52bab8c1d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a7a48-32ff-4c1d-8946-52bab8c1d30f" xsi:nil="true"/>
    <lcf76f155ced4ddcb4097134ff3c332f xmlns="08626525-cec4-4255-8ea9-6fc4c7a416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9F309D-85CD-4778-AC7A-DF905D7E4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6CFA5-1A2A-4400-9A31-754CC30FF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6525-cec4-4255-8ea9-6fc4c7a41603"/>
    <ds:schemaRef ds:uri="a33a7a48-32ff-4c1d-8946-52bab8c1d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C4376-49B6-4E36-B202-C6124175BBA3}">
  <ds:schemaRefs>
    <ds:schemaRef ds:uri="http://schemas.microsoft.com/office/2006/metadata/properties"/>
    <ds:schemaRef ds:uri="http://schemas.microsoft.com/office/infopath/2007/PartnerControls"/>
    <ds:schemaRef ds:uri="a33a7a48-32ff-4c1d-8946-52bab8c1d30f"/>
    <ds:schemaRef ds:uri="08626525-cec4-4255-8ea9-6fc4c7a416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Radostova</dc:creator>
  <cp:lastModifiedBy>studijnio</cp:lastModifiedBy>
  <cp:revision>2</cp:revision>
  <cp:lastPrinted>2024-03-27T06:55:00Z</cp:lastPrinted>
  <dcterms:created xsi:type="dcterms:W3CDTF">2024-03-27T06:55:00Z</dcterms:created>
  <dcterms:modified xsi:type="dcterms:W3CDTF">2024-03-27T06:55:00Z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0x01010067EA4B18E0D025478803785F4BCD05B2</vt:lpwstr>
  </property>
  <property fmtid="{D5CDD505-2E9C-101B-9397-08002B2CF9AE}" pid="3" name="MediaServiceImageTags">
    <vt:lpwstr/>
  </property>
</Properties>
</file>