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20"/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</w:pP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20"/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</w:pPr>
      <w:r w:rsidRPr="00FE5027"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  <w:t xml:space="preserve">DODATEK č. </w:t>
      </w:r>
      <w:r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  <w:t>4</w:t>
      </w:r>
      <w:r w:rsidRPr="00FE5027"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  <w:t xml:space="preserve"> KE SMLOUVĚ O DÍLO A SMLOUVĚ O POSKYTOVÁNÍ</w:t>
      </w:r>
      <w:r w:rsidRPr="00FE5027">
        <w:rPr>
          <w:rFonts w:ascii="Calibri" w:eastAsiaTheme="minorEastAsia" w:hAnsi="Calibri" w:cs="Calibri"/>
          <w:b/>
          <w:bCs/>
          <w:spacing w:val="-9"/>
          <w:sz w:val="28"/>
          <w:szCs w:val="28"/>
          <w:lang w:eastAsia="cs-CZ"/>
        </w:rPr>
        <w:t xml:space="preserve"> </w:t>
      </w:r>
      <w:r w:rsidRPr="00FE5027">
        <w:rPr>
          <w:rFonts w:ascii="Calibri" w:eastAsiaTheme="minorEastAsia" w:hAnsi="Calibri" w:cs="Calibri"/>
          <w:b/>
          <w:bCs/>
          <w:sz w:val="28"/>
          <w:szCs w:val="28"/>
          <w:lang w:eastAsia="cs-CZ"/>
        </w:rPr>
        <w:t>SLUŽEB</w:t>
      </w: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145" w:after="0"/>
        <w:ind w:left="116" w:right="129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 xml:space="preserve">uzavřený níže uvedeného dne, měsíce a roku podle </w:t>
      </w:r>
      <w:proofErr w:type="spellStart"/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ust</w:t>
      </w:r>
      <w:proofErr w:type="spellEnd"/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 xml:space="preserve">. § 2586 a </w:t>
      </w:r>
      <w:proofErr w:type="gramStart"/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§  2623</w:t>
      </w:r>
      <w:proofErr w:type="gramEnd"/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 xml:space="preserve">  a  následujících  a  souvisejících zákona č. 89/2012 Sb., občanský zákoník, ve znění pozdějších předpisů (dále v textu jen „občanský</w:t>
      </w:r>
      <w:r w:rsidRPr="00FE5027">
        <w:rPr>
          <w:rFonts w:ascii="Calibri" w:eastAsiaTheme="minorEastAsia" w:hAnsi="Calibri" w:cs="Calibri"/>
          <w:spacing w:val="-17"/>
          <w:sz w:val="20"/>
          <w:szCs w:val="20"/>
          <w:lang w:eastAsia="cs-CZ"/>
        </w:rPr>
        <w:t xml:space="preserve"> </w:t>
      </w: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zákoník“),</w:t>
      </w:r>
    </w:p>
    <w:p w:rsidR="00FE5027" w:rsidRDefault="00FE5027" w:rsidP="005E4925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519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(dále v textu jen „</w:t>
      </w:r>
      <w:r w:rsidR="005E4925" w:rsidRPr="005E4925">
        <w:rPr>
          <w:rFonts w:ascii="Calibri" w:eastAsiaTheme="minorEastAsia" w:hAnsi="Calibri" w:cs="Calibri"/>
          <w:b/>
          <w:sz w:val="20"/>
          <w:szCs w:val="20"/>
          <w:lang w:eastAsia="cs-CZ"/>
        </w:rPr>
        <w:t>Dodatek</w:t>
      </w: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“)</w:t>
      </w: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mezi</w:t>
      </w: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Calibri" w:eastAsiaTheme="minorEastAsia" w:hAnsi="Calibri" w:cs="Calibri"/>
          <w:sz w:val="11"/>
          <w:szCs w:val="11"/>
          <w:lang w:eastAsia="cs-CZ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6093"/>
      </w:tblGrid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cs-CZ"/>
              </w:rPr>
              <w:t>Univerzita Karlova, 2. lékařská fakulta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V Úvalu 84/1, 150 06 Praha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Osoba oprávněná jednat za: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p</w:t>
            </w: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 xml:space="preserve">rof. MUDr. 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 xml:space="preserve">Marek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Babjuk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, CSc.</w:t>
            </w: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 xml:space="preserve">, děkan 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00216208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CZ00216208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piyj9b4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FE5027" w:rsidRPr="00FE5027" w:rsidTr="000B36DC">
        <w:trPr>
          <w:trHeight w:val="4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37530021/0100</w:t>
            </w:r>
          </w:p>
        </w:tc>
      </w:tr>
      <w:tr w:rsidR="00FE5027" w:rsidRPr="00FE5027" w:rsidTr="000B36DC">
        <w:trPr>
          <w:trHeight w:val="117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10" w:right="287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Osoby oprávněny jednat za v provozních záležitostech souvisejících s plněním dle této smlouvy: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</w:p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1" w:after="0" w:line="240" w:lineRule="auto"/>
              <w:ind w:left="108"/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 xml:space="preserve">Bc. Jan Jirsa, </w:t>
            </w:r>
            <w:proofErr w:type="spellStart"/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DiS</w:t>
            </w:r>
            <w:proofErr w:type="spellEnd"/>
            <w:r w:rsidRPr="00FE5027">
              <w:rPr>
                <w:rFonts w:ascii="Calibri" w:eastAsiaTheme="minorEastAsia" w:hAnsi="Calibri" w:cs="Calibri"/>
                <w:sz w:val="20"/>
                <w:szCs w:val="20"/>
                <w:lang w:eastAsia="cs-CZ"/>
              </w:rPr>
              <w:t>.</w:t>
            </w:r>
          </w:p>
        </w:tc>
      </w:tr>
    </w:tbl>
    <w:p w:rsid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sz w:val="20"/>
          <w:szCs w:val="20"/>
          <w:lang w:eastAsia="cs-CZ"/>
        </w:rPr>
      </w:pP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dále jen „</w:t>
      </w:r>
      <w:r w:rsidRPr="005E4925">
        <w:rPr>
          <w:rFonts w:ascii="Calibri" w:eastAsiaTheme="minorEastAsia" w:hAnsi="Calibri" w:cs="Calibri"/>
          <w:b/>
          <w:sz w:val="20"/>
          <w:szCs w:val="20"/>
          <w:lang w:eastAsia="cs-CZ"/>
        </w:rPr>
        <w:t>Objednatel</w:t>
      </w: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“ na straně jedné</w:t>
      </w: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16"/>
        <w:outlineLvl w:val="0"/>
        <w:rPr>
          <w:rFonts w:ascii="Calibri" w:eastAsiaTheme="minorEastAsia" w:hAnsi="Calibri" w:cs="Calibri"/>
          <w:b/>
          <w:bCs/>
          <w:w w:val="99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b/>
          <w:bCs/>
          <w:w w:val="99"/>
          <w:sz w:val="20"/>
          <w:szCs w:val="20"/>
          <w:lang w:eastAsia="cs-CZ"/>
        </w:rPr>
        <w:t>a</w:t>
      </w:r>
    </w:p>
    <w:p w:rsidR="00FE5027" w:rsidRP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Calibri" w:eastAsiaTheme="minorEastAsia" w:hAnsi="Calibri" w:cs="Calibri"/>
          <w:b/>
          <w:bCs/>
          <w:sz w:val="11"/>
          <w:szCs w:val="11"/>
          <w:lang w:eastAsia="cs-CZ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6084"/>
      </w:tblGrid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cs-CZ"/>
              </w:rPr>
              <w:t>VPÚ DECO PRAHA a.s.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Podbabská 1014/20, 160 00 Praha 6</w:t>
            </w:r>
          </w:p>
        </w:tc>
      </w:tr>
      <w:tr w:rsidR="00FE5027" w:rsidRPr="00FE5027" w:rsidTr="000B36DC">
        <w:trPr>
          <w:trHeight w:val="64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10" w:right="304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Zastoupený/Jehož jménem jedná: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 xml:space="preserve">Ing. Lubor </w:t>
            </w:r>
            <w:proofErr w:type="spellStart"/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Hoďánek</w:t>
            </w:r>
            <w:proofErr w:type="spellEnd"/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, MBA, člen představenstva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60193280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CZ60193280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Zápis v OR: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Městský soud v Praze, oddíl B2368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proofErr w:type="spellStart"/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pyigyki</w:t>
            </w:r>
            <w:proofErr w:type="spellEnd"/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proofErr w:type="spellStart"/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Raiffeisenbank</w:t>
            </w:r>
            <w:proofErr w:type="spellEnd"/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, a.s.</w:t>
            </w:r>
          </w:p>
        </w:tc>
      </w:tr>
      <w:tr w:rsidR="00FE5027" w:rsidRPr="00FE5027" w:rsidTr="000B36DC">
        <w:trPr>
          <w:trHeight w:val="38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1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1953660002/5500</w:t>
            </w:r>
          </w:p>
        </w:tc>
      </w:tr>
      <w:tr w:rsidR="00FE5027" w:rsidRPr="00FE5027" w:rsidTr="000B36DC">
        <w:trPr>
          <w:trHeight w:val="143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10" w:right="160"/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V provozních záležitostech souvisejících s prováděním díla je za zhotovitele oprávněn jednat ve věcech technických – hlavní inženýr: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27" w:rsidRPr="00FE5027" w:rsidRDefault="00FE5027" w:rsidP="00FE50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8"/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</w:pPr>
            <w:r w:rsidRPr="00FE5027">
              <w:rPr>
                <w:rFonts w:ascii="Calibri" w:eastAsiaTheme="minorEastAsia" w:hAnsi="Calibri" w:cs="Calibri"/>
                <w:bCs/>
                <w:sz w:val="20"/>
                <w:szCs w:val="20"/>
                <w:lang w:eastAsia="cs-CZ"/>
              </w:rPr>
              <w:t>Ing. Pavel Brázda, Ph.D.</w:t>
            </w:r>
          </w:p>
        </w:tc>
      </w:tr>
    </w:tbl>
    <w:p w:rsid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5"/>
        <w:rPr>
          <w:rFonts w:ascii="Calibri" w:eastAsiaTheme="minorEastAsia" w:hAnsi="Calibri" w:cs="Calibri"/>
          <w:sz w:val="20"/>
          <w:szCs w:val="20"/>
          <w:lang w:eastAsia="cs-CZ"/>
        </w:rPr>
      </w:pPr>
    </w:p>
    <w:p w:rsidR="005E4925" w:rsidRDefault="00FE5027" w:rsidP="005E492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5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dále jen „</w:t>
      </w:r>
      <w:r w:rsidRPr="005E4925">
        <w:rPr>
          <w:rFonts w:ascii="Calibri" w:eastAsiaTheme="minorEastAsia" w:hAnsi="Calibri" w:cs="Calibri"/>
          <w:b/>
          <w:sz w:val="20"/>
          <w:szCs w:val="20"/>
          <w:lang w:eastAsia="cs-CZ"/>
        </w:rPr>
        <w:t>Zhotovitel</w:t>
      </w:r>
      <w:r w:rsidRPr="00FE5027">
        <w:rPr>
          <w:rFonts w:ascii="Calibri" w:eastAsiaTheme="minorEastAsia" w:hAnsi="Calibri" w:cs="Calibri"/>
          <w:sz w:val="20"/>
          <w:szCs w:val="20"/>
          <w:lang w:eastAsia="cs-CZ"/>
        </w:rPr>
        <w:t>“ na straně druhé</w:t>
      </w:r>
      <w:r w:rsidR="005E4925">
        <w:rPr>
          <w:rFonts w:ascii="Calibri" w:eastAsiaTheme="minorEastAsia" w:hAnsi="Calibri" w:cs="Calibri"/>
          <w:sz w:val="20"/>
          <w:szCs w:val="20"/>
          <w:lang w:eastAsia="cs-CZ"/>
        </w:rPr>
        <w:t xml:space="preserve">; </w:t>
      </w:r>
    </w:p>
    <w:p w:rsidR="00FE5027" w:rsidRPr="005E4925" w:rsidRDefault="00FE5027" w:rsidP="005E492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5"/>
        <w:rPr>
          <w:rFonts w:ascii="Calibri" w:eastAsiaTheme="minorEastAsia" w:hAnsi="Calibri" w:cs="Calibri"/>
          <w:sz w:val="20"/>
          <w:szCs w:val="20"/>
          <w:lang w:eastAsia="cs-CZ"/>
        </w:rPr>
      </w:pPr>
      <w:r w:rsidRPr="005E4925">
        <w:rPr>
          <w:rFonts w:ascii="Calibri" w:eastAsiaTheme="minorEastAsia" w:hAnsi="Calibri" w:cs="Calibri"/>
          <w:sz w:val="20"/>
          <w:szCs w:val="20"/>
          <w:lang w:eastAsia="cs-CZ"/>
        </w:rPr>
        <w:t>společně též jako „</w:t>
      </w:r>
      <w:r w:rsidR="005E4925" w:rsidRPr="005E4925">
        <w:rPr>
          <w:rFonts w:ascii="Calibri" w:eastAsiaTheme="minorEastAsia" w:hAnsi="Calibri" w:cs="Calibri"/>
          <w:b/>
          <w:sz w:val="20"/>
          <w:szCs w:val="20"/>
          <w:lang w:eastAsia="cs-CZ"/>
        </w:rPr>
        <w:t>S</w:t>
      </w:r>
      <w:r w:rsidRPr="005E4925">
        <w:rPr>
          <w:rFonts w:ascii="Calibri" w:eastAsiaTheme="minorEastAsia" w:hAnsi="Calibri" w:cs="Calibri"/>
          <w:b/>
          <w:sz w:val="20"/>
          <w:szCs w:val="20"/>
          <w:lang w:eastAsia="cs-CZ"/>
        </w:rPr>
        <w:t>mluvní strany</w:t>
      </w:r>
      <w:r w:rsidRPr="005E4925">
        <w:rPr>
          <w:rFonts w:ascii="Calibri" w:eastAsiaTheme="minorEastAsia" w:hAnsi="Calibri" w:cs="Calibri"/>
          <w:sz w:val="20"/>
          <w:szCs w:val="20"/>
          <w:lang w:eastAsia="cs-CZ"/>
        </w:rPr>
        <w:t xml:space="preserve">“ </w:t>
      </w:r>
    </w:p>
    <w:p w:rsidR="00FE5027" w:rsidRPr="002D259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5E4925" w:rsidRPr="002D2597" w:rsidRDefault="005E4925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FE5027" w:rsidRDefault="00FE5027" w:rsidP="00FE5027">
      <w:pPr>
        <w:widowControl w:val="0"/>
        <w:numPr>
          <w:ilvl w:val="0"/>
          <w:numId w:val="3"/>
        </w:numPr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hanging="721"/>
        <w:outlineLvl w:val="0"/>
        <w:rPr>
          <w:rFonts w:ascii="Calibri" w:eastAsiaTheme="minorEastAsia" w:hAnsi="Calibri" w:cs="Calibri"/>
          <w:b/>
          <w:bCs/>
          <w:lang w:eastAsia="cs-CZ"/>
        </w:rPr>
      </w:pPr>
      <w:r w:rsidRPr="002D2597">
        <w:rPr>
          <w:rFonts w:ascii="Calibri" w:eastAsiaTheme="minorEastAsia" w:hAnsi="Calibri" w:cs="Calibri"/>
          <w:b/>
          <w:bCs/>
          <w:lang w:eastAsia="cs-CZ"/>
        </w:rPr>
        <w:t>Preambule</w:t>
      </w:r>
    </w:p>
    <w:p w:rsidR="00786155" w:rsidRPr="002D2597" w:rsidRDefault="00786155" w:rsidP="00786155">
      <w:pPr>
        <w:widowControl w:val="0"/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738"/>
        <w:outlineLvl w:val="0"/>
        <w:rPr>
          <w:rFonts w:ascii="Calibri" w:eastAsiaTheme="minorEastAsia" w:hAnsi="Calibri" w:cs="Calibri"/>
          <w:b/>
          <w:bCs/>
          <w:lang w:eastAsia="cs-CZ"/>
        </w:rPr>
      </w:pPr>
    </w:p>
    <w:p w:rsidR="00FE5027" w:rsidRPr="005E4925" w:rsidRDefault="00FE5027" w:rsidP="005E4925">
      <w:pPr>
        <w:widowControl w:val="0"/>
        <w:numPr>
          <w:ilvl w:val="0"/>
          <w:numId w:val="2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14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 xml:space="preserve">Smluvní strany prohlašují, že dne 7. 10. 2021 uzavřely smlouvu o dílo a poskytování služeb, </w:t>
      </w:r>
      <w:r w:rsidR="00DF590E">
        <w:rPr>
          <w:rFonts w:ascii="Calibri" w:eastAsiaTheme="minorEastAsia" w:hAnsi="Calibri" w:cs="Calibri"/>
          <w:lang w:eastAsia="cs-CZ"/>
        </w:rPr>
        <w:t xml:space="preserve">a to </w:t>
      </w:r>
      <w:r w:rsidRPr="002D2597">
        <w:rPr>
          <w:rFonts w:ascii="Calibri" w:eastAsiaTheme="minorEastAsia" w:hAnsi="Calibri" w:cs="Calibri"/>
          <w:lang w:eastAsia="cs-CZ"/>
        </w:rPr>
        <w:t>jako výsledek</w:t>
      </w:r>
      <w:r w:rsidRPr="002D2597">
        <w:rPr>
          <w:rFonts w:ascii="Calibri" w:eastAsiaTheme="minorEastAsia" w:hAnsi="Calibri" w:cs="Calibri"/>
          <w:spacing w:val="33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zadávacího</w:t>
      </w:r>
      <w:r w:rsidRPr="002D2597">
        <w:rPr>
          <w:rFonts w:ascii="Calibri" w:eastAsiaTheme="minorEastAsia" w:hAnsi="Calibri" w:cs="Calibri"/>
          <w:spacing w:val="34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řízení</w:t>
      </w:r>
      <w:r w:rsidRPr="002D2597">
        <w:rPr>
          <w:rFonts w:ascii="Calibri" w:eastAsiaTheme="minorEastAsia" w:hAnsi="Calibri" w:cs="Calibri"/>
          <w:spacing w:val="35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s</w:t>
      </w:r>
      <w:r w:rsidRPr="002D2597">
        <w:rPr>
          <w:rFonts w:ascii="Calibri" w:eastAsiaTheme="minorEastAsia" w:hAnsi="Calibri" w:cs="Calibri"/>
          <w:spacing w:val="1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názvem</w:t>
      </w:r>
      <w:r w:rsidRPr="002D2597">
        <w:rPr>
          <w:rFonts w:ascii="Calibri" w:eastAsiaTheme="minorEastAsia" w:hAnsi="Calibri" w:cs="Calibri"/>
          <w:spacing w:val="33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„</w:t>
      </w:r>
      <w:r w:rsidRPr="002D2597">
        <w:rPr>
          <w:rFonts w:ascii="Calibri" w:eastAsiaTheme="minorEastAsia" w:hAnsi="Calibri" w:cs="Calibri"/>
          <w:b/>
          <w:bCs/>
          <w:lang w:eastAsia="cs-CZ"/>
        </w:rPr>
        <w:t>Projektová</w:t>
      </w:r>
      <w:r w:rsidRPr="002D2597">
        <w:rPr>
          <w:rFonts w:ascii="Calibri" w:eastAsiaTheme="minorEastAsia" w:hAnsi="Calibri" w:cs="Calibri"/>
          <w:b/>
          <w:bCs/>
          <w:spacing w:val="32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dokumentace</w:t>
      </w:r>
      <w:r w:rsidRPr="002D2597">
        <w:rPr>
          <w:rFonts w:ascii="Calibri" w:eastAsiaTheme="minorEastAsia" w:hAnsi="Calibri" w:cs="Calibri"/>
          <w:b/>
          <w:bCs/>
          <w:spacing w:val="34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na</w:t>
      </w:r>
      <w:r w:rsidRPr="002D2597">
        <w:rPr>
          <w:rFonts w:ascii="Calibri" w:eastAsiaTheme="minorEastAsia" w:hAnsi="Calibri" w:cs="Calibri"/>
          <w:b/>
          <w:bCs/>
          <w:spacing w:val="33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MFB</w:t>
      </w:r>
      <w:r w:rsidRPr="002D2597">
        <w:rPr>
          <w:rFonts w:ascii="Calibri" w:eastAsiaTheme="minorEastAsia" w:hAnsi="Calibri" w:cs="Calibri"/>
          <w:b/>
          <w:bCs/>
          <w:spacing w:val="32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–</w:t>
      </w:r>
      <w:r w:rsidRPr="002D2597">
        <w:rPr>
          <w:rFonts w:ascii="Calibri" w:eastAsiaTheme="minorEastAsia" w:hAnsi="Calibri" w:cs="Calibri"/>
          <w:b/>
          <w:bCs/>
          <w:spacing w:val="33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2.</w:t>
      </w:r>
      <w:r w:rsidRPr="002D2597">
        <w:rPr>
          <w:rFonts w:ascii="Calibri" w:eastAsiaTheme="minorEastAsia" w:hAnsi="Calibri" w:cs="Calibri"/>
          <w:b/>
          <w:bCs/>
          <w:spacing w:val="30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LF</w:t>
      </w:r>
      <w:r w:rsidRPr="002D2597">
        <w:rPr>
          <w:rFonts w:ascii="Calibri" w:eastAsiaTheme="minorEastAsia" w:hAnsi="Calibri" w:cs="Calibri"/>
          <w:b/>
          <w:bCs/>
          <w:spacing w:val="33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b/>
          <w:bCs/>
          <w:lang w:eastAsia="cs-CZ"/>
        </w:rPr>
        <w:t>UK</w:t>
      </w:r>
      <w:r w:rsidRPr="002D2597">
        <w:rPr>
          <w:rFonts w:ascii="Calibri" w:eastAsiaTheme="minorEastAsia" w:hAnsi="Calibri" w:cs="Calibri"/>
          <w:lang w:eastAsia="cs-CZ"/>
        </w:rPr>
        <w:t>“</w:t>
      </w:r>
      <w:r w:rsidRPr="002D2597">
        <w:rPr>
          <w:rFonts w:ascii="Calibri" w:eastAsiaTheme="minorEastAsia" w:hAnsi="Calibri" w:cs="Calibri"/>
          <w:spacing w:val="34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(dále</w:t>
      </w:r>
      <w:r w:rsidRPr="002D2597">
        <w:rPr>
          <w:rFonts w:ascii="Calibri" w:eastAsiaTheme="minorEastAsia" w:hAnsi="Calibri" w:cs="Calibri"/>
          <w:spacing w:val="34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v</w:t>
      </w:r>
      <w:r w:rsidRPr="002D2597">
        <w:rPr>
          <w:rFonts w:ascii="Calibri" w:eastAsiaTheme="minorEastAsia" w:hAnsi="Calibri" w:cs="Calibri"/>
          <w:spacing w:val="31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textu</w:t>
      </w:r>
      <w:r w:rsidRPr="002D2597">
        <w:rPr>
          <w:rFonts w:ascii="Calibri" w:eastAsiaTheme="minorEastAsia" w:hAnsi="Calibri" w:cs="Calibri"/>
          <w:spacing w:val="32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také</w:t>
      </w:r>
      <w:r w:rsidR="005E4925">
        <w:rPr>
          <w:rFonts w:ascii="Calibri" w:eastAsiaTheme="minorEastAsia" w:hAnsi="Calibri" w:cs="Calibri"/>
          <w:lang w:eastAsia="cs-CZ"/>
        </w:rPr>
        <w:t xml:space="preserve"> </w:t>
      </w:r>
      <w:r w:rsidRPr="005E4925">
        <w:rPr>
          <w:rFonts w:ascii="Calibri" w:eastAsiaTheme="minorEastAsia" w:hAnsi="Calibri" w:cs="Calibri"/>
          <w:lang w:eastAsia="cs-CZ"/>
        </w:rPr>
        <w:t>„</w:t>
      </w:r>
      <w:r w:rsidRPr="005E4925">
        <w:rPr>
          <w:rFonts w:ascii="Calibri" w:eastAsiaTheme="minorEastAsia" w:hAnsi="Calibri" w:cs="Calibri"/>
          <w:b/>
          <w:lang w:eastAsia="cs-CZ"/>
        </w:rPr>
        <w:t>Smlouva</w:t>
      </w:r>
      <w:r w:rsidRPr="005E4925">
        <w:rPr>
          <w:rFonts w:ascii="Calibri" w:eastAsiaTheme="minorEastAsia" w:hAnsi="Calibri" w:cs="Calibri"/>
          <w:lang w:eastAsia="cs-CZ"/>
        </w:rPr>
        <w:t>“).</w:t>
      </w:r>
    </w:p>
    <w:p w:rsidR="00FE5027" w:rsidRPr="002D2597" w:rsidRDefault="00FE5027" w:rsidP="00FE5027">
      <w:pPr>
        <w:widowControl w:val="0"/>
        <w:numPr>
          <w:ilvl w:val="0"/>
          <w:numId w:val="2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17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 xml:space="preserve">Smluvní strany tímto dodatkem provádějí změnu Smlouvy dle </w:t>
      </w:r>
      <w:proofErr w:type="spellStart"/>
      <w:r w:rsidRPr="002D2597">
        <w:rPr>
          <w:rFonts w:ascii="Calibri" w:eastAsiaTheme="minorEastAsia" w:hAnsi="Calibri" w:cs="Calibri"/>
          <w:lang w:eastAsia="cs-CZ"/>
        </w:rPr>
        <w:t>ust</w:t>
      </w:r>
      <w:proofErr w:type="spellEnd"/>
      <w:r w:rsidRPr="002D2597">
        <w:rPr>
          <w:rFonts w:ascii="Calibri" w:eastAsiaTheme="minorEastAsia" w:hAnsi="Calibri" w:cs="Calibri"/>
          <w:lang w:eastAsia="cs-CZ"/>
        </w:rPr>
        <w:t>. § 222 odst. 4 a 5 zákona č. 134/2016 Sb., o zadávání veřejných zakázek, v účinném znění a dle čl. 21 odst. 10 Smlouvy. Tento dodatek nezakládá podstatnou změnu závazku ze</w:t>
      </w:r>
      <w:r w:rsidRPr="002D2597">
        <w:rPr>
          <w:rFonts w:ascii="Calibri" w:eastAsiaTheme="minorEastAsia" w:hAnsi="Calibri" w:cs="Calibri"/>
          <w:spacing w:val="-2"/>
          <w:lang w:eastAsia="cs-CZ"/>
        </w:rPr>
        <w:t xml:space="preserve"> </w:t>
      </w:r>
      <w:r w:rsidRPr="002D2597">
        <w:rPr>
          <w:rFonts w:ascii="Calibri" w:eastAsiaTheme="minorEastAsia" w:hAnsi="Calibri" w:cs="Calibri"/>
          <w:lang w:eastAsia="cs-CZ"/>
        </w:rPr>
        <w:t>Smlouvy.</w:t>
      </w:r>
    </w:p>
    <w:p w:rsidR="002D2597" w:rsidRPr="002D2597" w:rsidRDefault="002D2597" w:rsidP="002D2597">
      <w:pPr>
        <w:widowControl w:val="0"/>
        <w:numPr>
          <w:ilvl w:val="0"/>
          <w:numId w:val="2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17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Uzavření tohoto Dodatku si vynutila zjištění učiněná v rámci realizace I. Etapy výstavby Multifunkční budovy 2. LF, tedy realizace bouracích a přípravných prací, kdy na objektech V a X byl zjištěn výskyt azbestu ve střešním plášti. Je proto třeba provést změnu projektu bouracích prací v rámci I. Etapy tak, aby nové postupy reflektovaly nutná ochranná opatření bránící jakékoliv kontaminaci okolí azbestem. Současně v rámci I. Etapy došlo k potřebě uskutečnění změny projektu v části SO.08 – areálová přeložka kanalizace a SO.09 – areálová přeložka vodovodu, když tato změna bude reflektovat nově uplatněné požadavky FN Motol.</w:t>
      </w:r>
    </w:p>
    <w:p w:rsidR="00FE5027" w:rsidRDefault="00FE5027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5E4925" w:rsidRDefault="005E4925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5E4925" w:rsidRPr="002D2597" w:rsidRDefault="005E4925" w:rsidP="00FE50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cs-CZ"/>
        </w:rPr>
      </w:pPr>
    </w:p>
    <w:p w:rsidR="00FE5027" w:rsidRDefault="002D2597" w:rsidP="00FE5027">
      <w:pPr>
        <w:widowControl w:val="0"/>
        <w:numPr>
          <w:ilvl w:val="0"/>
          <w:numId w:val="3"/>
        </w:numPr>
        <w:tabs>
          <w:tab w:val="left" w:pos="4275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4274" w:hanging="766"/>
        <w:outlineLvl w:val="0"/>
        <w:rPr>
          <w:rFonts w:ascii="Calibri" w:eastAsiaTheme="minorEastAsia" w:hAnsi="Calibri" w:cs="Calibri"/>
          <w:b/>
          <w:bCs/>
          <w:lang w:eastAsia="cs-CZ"/>
        </w:rPr>
      </w:pPr>
      <w:r w:rsidRPr="002D2597">
        <w:rPr>
          <w:rFonts w:ascii="Calibri" w:eastAsiaTheme="minorEastAsia" w:hAnsi="Calibri" w:cs="Calibri"/>
          <w:b/>
          <w:bCs/>
          <w:lang w:eastAsia="cs-CZ"/>
        </w:rPr>
        <w:t>Změna a doplnění smlouvy</w:t>
      </w:r>
    </w:p>
    <w:p w:rsidR="00786155" w:rsidRPr="002D2597" w:rsidRDefault="00786155" w:rsidP="00786155">
      <w:pPr>
        <w:widowControl w:val="0"/>
        <w:tabs>
          <w:tab w:val="left" w:pos="4275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4274"/>
        <w:outlineLvl w:val="0"/>
        <w:rPr>
          <w:rFonts w:ascii="Calibri" w:eastAsiaTheme="minorEastAsia" w:hAnsi="Calibri" w:cs="Calibri"/>
          <w:b/>
          <w:bCs/>
          <w:lang w:eastAsia="cs-CZ"/>
        </w:rPr>
      </w:pPr>
    </w:p>
    <w:p w:rsidR="002D2597" w:rsidRPr="002D2597" w:rsidRDefault="002D2597" w:rsidP="00DF590E">
      <w:pPr>
        <w:widowControl w:val="0"/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hanging="285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Tímto Dodatkem se doplňuje Část A, čl. 2 Smlouvy tak, že se Zhotovitel zavazuje provést:</w:t>
      </w:r>
    </w:p>
    <w:p w:rsidR="002D2597" w:rsidRPr="002D2597" w:rsidRDefault="002D2597" w:rsidP="00DF590E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Úpravu projektu I. Etapy výstavby MFB – bourací a přípravné práce, a to rozšířením projektu o soubor ochranných opatřeních zabraňujících nebezpečí kontaminace okolí azbestem v rámci bouracích prací na objektech V a X.</w:t>
      </w:r>
    </w:p>
    <w:p w:rsidR="00FE5027" w:rsidRPr="002D2597" w:rsidRDefault="002D2597" w:rsidP="00DF590E">
      <w:pPr>
        <w:pStyle w:val="Odstavecseseznamem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Úpravu projektu I. Etapy výstavby MFB – bourací a přípravné práce, a to v části SO.08 – areálová přeložka kanalizace a SO.09 – areálová přeložka vodovodu, když úprava bude reflektovat nové požadavky FN Motol specifikované ve stanovisku ze dne 15.1.2024.</w:t>
      </w:r>
    </w:p>
    <w:p w:rsidR="00FE5027" w:rsidRDefault="002D2597" w:rsidP="00DF590E">
      <w:pPr>
        <w:widowControl w:val="0"/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39" w:after="0" w:line="256" w:lineRule="auto"/>
        <w:ind w:right="120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 xml:space="preserve">Tímto Dodatkem se doplňuje Část A, čl. 4 Smlouvy tak, že se Zhotovitel zavazuje provést úpravy Projektu dle tohoto Dodatku nejpozději do </w:t>
      </w:r>
      <w:r w:rsidR="00786155">
        <w:rPr>
          <w:rFonts w:ascii="Calibri" w:eastAsiaTheme="minorEastAsia" w:hAnsi="Calibri" w:cs="Calibri"/>
          <w:lang w:eastAsia="cs-CZ"/>
        </w:rPr>
        <w:t>31. března 2024</w:t>
      </w:r>
      <w:r w:rsidRPr="002D2597">
        <w:rPr>
          <w:rFonts w:ascii="Calibri" w:eastAsiaTheme="minorEastAsia" w:hAnsi="Calibri" w:cs="Calibri"/>
          <w:lang w:eastAsia="cs-CZ"/>
        </w:rPr>
        <w:t>.</w:t>
      </w:r>
    </w:p>
    <w:p w:rsidR="002D2597" w:rsidRPr="002D2597" w:rsidRDefault="002D2597" w:rsidP="00DF590E">
      <w:pPr>
        <w:widowControl w:val="0"/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39" w:after="0" w:line="256" w:lineRule="auto"/>
        <w:ind w:right="120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Tímto Dodatkem se doplňují Společná ustanovení Smlouvy, konkrétně čl. 13 Smlouvy tak, že se Objednatel zavazuje Zhotoviteli za úpravy Projektu dle tohoto Dodatku zaplatit tuto Cenu:</w:t>
      </w:r>
    </w:p>
    <w:p w:rsidR="002D2597" w:rsidRDefault="002D2597" w:rsidP="00DF590E">
      <w:pPr>
        <w:pStyle w:val="Odstavecseseznamem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Za rozšíření projektu o soubor ochranných opatřeních zabraňujících nebezpečí kontaminace okolí azbestem v rámci bouracích prací na objektech V a X částku 53.500,-Kč bez DPH, tedy částku 64.735,-Kč včetně DPH.</w:t>
      </w:r>
    </w:p>
    <w:p w:rsidR="00FE5027" w:rsidRPr="002D2597" w:rsidRDefault="002D2597" w:rsidP="00DF590E">
      <w:pPr>
        <w:pStyle w:val="Odstavecseseznamem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Za úpravu projektu o nové požadavky FN Motol částku 262.300,-Kč bez DPH, tedy částku 317.383,-Kč včetně DPH.</w:t>
      </w:r>
    </w:p>
    <w:p w:rsidR="002D2597" w:rsidRDefault="002D2597"/>
    <w:p w:rsidR="00786155" w:rsidRDefault="00786155"/>
    <w:p w:rsidR="00786155" w:rsidRDefault="00786155"/>
    <w:p w:rsidR="005E4925" w:rsidRDefault="005E4925"/>
    <w:p w:rsidR="005E4925" w:rsidRDefault="005E4925"/>
    <w:p w:rsidR="00786155" w:rsidRDefault="00786155"/>
    <w:p w:rsidR="00786155" w:rsidRDefault="00786155"/>
    <w:p w:rsidR="002D2597" w:rsidRDefault="002D2597" w:rsidP="002D2597">
      <w:pPr>
        <w:widowControl w:val="0"/>
        <w:numPr>
          <w:ilvl w:val="0"/>
          <w:numId w:val="3"/>
        </w:numPr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hanging="721"/>
        <w:outlineLvl w:val="0"/>
        <w:rPr>
          <w:rFonts w:ascii="Calibri" w:eastAsiaTheme="minorEastAsia" w:hAnsi="Calibri" w:cs="Calibri"/>
          <w:b/>
          <w:bCs/>
          <w:lang w:eastAsia="cs-CZ"/>
        </w:rPr>
      </w:pPr>
      <w:r w:rsidRPr="002D2597">
        <w:rPr>
          <w:rFonts w:ascii="Calibri" w:eastAsiaTheme="minorEastAsia" w:hAnsi="Calibri" w:cs="Calibri"/>
          <w:b/>
          <w:bCs/>
          <w:lang w:eastAsia="cs-CZ"/>
        </w:rPr>
        <w:t>Pr</w:t>
      </w:r>
      <w:r w:rsidR="00F472E3">
        <w:rPr>
          <w:rFonts w:ascii="Calibri" w:eastAsiaTheme="minorEastAsia" w:hAnsi="Calibri" w:cs="Calibri"/>
          <w:b/>
          <w:bCs/>
          <w:lang w:eastAsia="cs-CZ"/>
        </w:rPr>
        <w:t>ohlášení stran</w:t>
      </w:r>
    </w:p>
    <w:p w:rsidR="00786155" w:rsidRPr="002D2597" w:rsidRDefault="00786155" w:rsidP="00786155">
      <w:pPr>
        <w:widowControl w:val="0"/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738"/>
        <w:outlineLvl w:val="0"/>
        <w:rPr>
          <w:rFonts w:ascii="Calibri" w:eastAsiaTheme="minorEastAsia" w:hAnsi="Calibri" w:cs="Calibri"/>
          <w:b/>
          <w:bCs/>
          <w:lang w:eastAsia="cs-CZ"/>
        </w:rPr>
      </w:pPr>
    </w:p>
    <w:p w:rsidR="00F472E3" w:rsidRDefault="00F472E3" w:rsidP="00DF590E">
      <w:pPr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14"/>
        <w:jc w:val="both"/>
        <w:rPr>
          <w:rFonts w:ascii="Calibri" w:eastAsiaTheme="minorEastAsia" w:hAnsi="Calibri" w:cs="Calibri"/>
          <w:lang w:eastAsia="cs-CZ"/>
        </w:rPr>
      </w:pPr>
      <w:r w:rsidRPr="00F472E3">
        <w:rPr>
          <w:rFonts w:ascii="Calibri" w:eastAsiaTheme="minorEastAsia" w:hAnsi="Calibri" w:cs="Calibri"/>
          <w:lang w:eastAsia="cs-CZ"/>
        </w:rPr>
        <w:t>Obě Smluvní strany prohlašují, že o nepodstatných změnách závazku ze Smlouvy sjednaných v rámci tohoto Dodatku vzájemně jednaly, a to i v rámci projednání požadavků s FN Motol, a že obsah tohoto Dodatku reflektuje indikativní poptávku Objednatele ze dne 1.2.2024 a nabídku Zhotovitele ze dne 12.2.2024.</w:t>
      </w:r>
    </w:p>
    <w:p w:rsidR="00F472E3" w:rsidRDefault="00F472E3" w:rsidP="00DF590E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99" w:right="114"/>
        <w:jc w:val="both"/>
        <w:rPr>
          <w:rFonts w:ascii="Calibri" w:eastAsiaTheme="minorEastAsia" w:hAnsi="Calibri" w:cs="Calibri"/>
          <w:lang w:eastAsia="cs-CZ"/>
        </w:rPr>
      </w:pPr>
    </w:p>
    <w:p w:rsidR="00F472E3" w:rsidRPr="00F472E3" w:rsidRDefault="00F472E3" w:rsidP="00DF590E">
      <w:pPr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14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Zhotovitel prohlašuje, že k realizaci úpravy projektu dle tohoto Dodatku obdržel od Objednatele všechny dokumenty a informace potřebné k řádné realizaci úpravy projektu.</w:t>
      </w:r>
    </w:p>
    <w:p w:rsidR="002D2597" w:rsidRPr="002D2597" w:rsidRDefault="002D2597" w:rsidP="002D2597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exact"/>
        <w:ind w:left="399"/>
        <w:rPr>
          <w:rFonts w:ascii="Calibri" w:eastAsiaTheme="minorEastAsia" w:hAnsi="Calibri" w:cs="Calibri"/>
          <w:lang w:eastAsia="cs-CZ"/>
        </w:rPr>
      </w:pPr>
    </w:p>
    <w:p w:rsidR="002D2597" w:rsidRPr="002D2597" w:rsidRDefault="002D2597" w:rsidP="002D2597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99" w:right="117"/>
        <w:jc w:val="both"/>
        <w:rPr>
          <w:rFonts w:ascii="Calibri" w:eastAsiaTheme="minorEastAsia" w:hAnsi="Calibri" w:cs="Calibri"/>
          <w:lang w:eastAsia="cs-CZ"/>
        </w:rPr>
      </w:pPr>
    </w:p>
    <w:p w:rsidR="002D2597" w:rsidRDefault="00786155" w:rsidP="002D2597">
      <w:pPr>
        <w:widowControl w:val="0"/>
        <w:numPr>
          <w:ilvl w:val="0"/>
          <w:numId w:val="3"/>
        </w:numPr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hanging="721"/>
        <w:outlineLvl w:val="0"/>
        <w:rPr>
          <w:rFonts w:ascii="Calibri" w:eastAsiaTheme="minorEastAsia" w:hAnsi="Calibri" w:cs="Calibri"/>
          <w:b/>
          <w:bCs/>
          <w:lang w:eastAsia="cs-CZ"/>
        </w:rPr>
      </w:pPr>
      <w:r>
        <w:rPr>
          <w:rFonts w:ascii="Calibri" w:eastAsiaTheme="minorEastAsia" w:hAnsi="Calibri" w:cs="Calibri"/>
          <w:b/>
          <w:bCs/>
          <w:lang w:eastAsia="cs-CZ"/>
        </w:rPr>
        <w:t>Závěrečné ustanovení</w:t>
      </w:r>
    </w:p>
    <w:p w:rsidR="00786155" w:rsidRPr="002D2597" w:rsidRDefault="00786155" w:rsidP="00786155">
      <w:pPr>
        <w:widowControl w:val="0"/>
        <w:tabs>
          <w:tab w:val="left" w:pos="4739"/>
        </w:tabs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738"/>
        <w:outlineLvl w:val="0"/>
        <w:rPr>
          <w:rFonts w:ascii="Calibri" w:eastAsiaTheme="minorEastAsia" w:hAnsi="Calibri" w:cs="Calibri"/>
          <w:b/>
          <w:bCs/>
          <w:lang w:eastAsia="cs-CZ"/>
        </w:rPr>
      </w:pPr>
    </w:p>
    <w:p w:rsidR="00DF590E" w:rsidRDefault="004A0EDB" w:rsidP="00DF590E">
      <w:pPr>
        <w:widowControl w:val="0"/>
        <w:numPr>
          <w:ilvl w:val="0"/>
          <w:numId w:val="8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14"/>
        <w:jc w:val="both"/>
        <w:rPr>
          <w:rFonts w:ascii="Calibri" w:eastAsiaTheme="minorEastAsia" w:hAnsi="Calibri" w:cs="Calibri"/>
          <w:lang w:eastAsia="cs-CZ"/>
        </w:rPr>
      </w:pPr>
      <w:r w:rsidRPr="004A0EDB">
        <w:rPr>
          <w:rFonts w:ascii="Calibri" w:eastAsiaTheme="minorEastAsia" w:hAnsi="Calibri" w:cs="Calibri"/>
          <w:lang w:eastAsia="cs-CZ"/>
        </w:rPr>
        <w:t>Tento Dodatek nabývá platnosti dnem podpisu obou smluvních stran a účinnosti jeho uveřejněním v registru smluv dle zákona č. 340/2015 Sb., o registru smluv.</w:t>
      </w:r>
      <w:r w:rsidR="00DF590E" w:rsidRPr="00DF590E">
        <w:rPr>
          <w:rFonts w:ascii="Calibri" w:eastAsiaTheme="minorEastAsia" w:hAnsi="Calibri" w:cs="Calibri"/>
          <w:lang w:eastAsia="cs-CZ"/>
        </w:rPr>
        <w:t xml:space="preserve"> </w:t>
      </w:r>
    </w:p>
    <w:p w:rsidR="00DF590E" w:rsidRDefault="00DF590E" w:rsidP="00DF590E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99" w:right="114"/>
        <w:jc w:val="both"/>
        <w:rPr>
          <w:rFonts w:ascii="Calibri" w:eastAsiaTheme="minorEastAsia" w:hAnsi="Calibri" w:cs="Calibri"/>
          <w:lang w:eastAsia="cs-CZ"/>
        </w:rPr>
      </w:pPr>
    </w:p>
    <w:p w:rsidR="002D2597" w:rsidRPr="004A0EDB" w:rsidRDefault="00DF590E" w:rsidP="00DF590E">
      <w:pPr>
        <w:widowControl w:val="0"/>
        <w:numPr>
          <w:ilvl w:val="0"/>
          <w:numId w:val="8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114"/>
        <w:jc w:val="both"/>
        <w:rPr>
          <w:rFonts w:ascii="Calibri" w:eastAsiaTheme="minorEastAsia" w:hAnsi="Calibri" w:cs="Calibri"/>
          <w:lang w:eastAsia="cs-CZ"/>
        </w:rPr>
      </w:pPr>
      <w:r w:rsidRPr="002D2597">
        <w:rPr>
          <w:rFonts w:ascii="Calibri" w:eastAsiaTheme="minorEastAsia" w:hAnsi="Calibri" w:cs="Calibri"/>
          <w:lang w:eastAsia="cs-CZ"/>
        </w:rPr>
        <w:t>Tento Dodatek je vyhotoven v elektronickém originále a je elektronicky podepsán oběma smluvními stranami.</w:t>
      </w:r>
    </w:p>
    <w:p w:rsidR="002D2597" w:rsidRDefault="002D2597" w:rsidP="00DF590E">
      <w:pPr>
        <w:jc w:val="both"/>
        <w:rPr>
          <w:rFonts w:ascii="Calibri" w:eastAsiaTheme="minorEastAsia" w:hAnsi="Calibri" w:cs="Calibri"/>
          <w:lang w:eastAsia="cs-CZ"/>
        </w:rPr>
      </w:pPr>
    </w:p>
    <w:p w:rsidR="00DF590E" w:rsidRDefault="00284C17">
      <w:r>
        <w:t>V Praze dne 25.3.2024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20.3.2024</w:t>
      </w:r>
      <w:bookmarkStart w:id="0" w:name="_GoBack"/>
      <w:bookmarkEnd w:id="0"/>
    </w:p>
    <w:p w:rsidR="00DF590E" w:rsidRDefault="00DF590E"/>
    <w:p w:rsidR="00DF590E" w:rsidRDefault="00DF590E"/>
    <w:p w:rsidR="00DF590E" w:rsidRDefault="00DF590E"/>
    <w:p w:rsidR="00DF590E" w:rsidRDefault="0058205B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……………………………………………………..</w:t>
      </w:r>
    </w:p>
    <w:p w:rsidR="00DF590E" w:rsidRDefault="0058205B" w:rsidP="0058205B">
      <w:pPr>
        <w:spacing w:after="0"/>
      </w:pPr>
      <w:r>
        <w:t>Univerzita Karlova, 2. lékařská fakulta</w:t>
      </w:r>
      <w:r>
        <w:tab/>
      </w:r>
      <w:r>
        <w:tab/>
      </w:r>
      <w:r>
        <w:tab/>
      </w:r>
      <w:r>
        <w:tab/>
        <w:t>VPÚ DECO PRAHA a.s.</w:t>
      </w:r>
    </w:p>
    <w:p w:rsidR="0058205B" w:rsidRDefault="0058205B" w:rsidP="0058205B">
      <w:pPr>
        <w:spacing w:after="0"/>
      </w:pPr>
      <w:r>
        <w:t xml:space="preserve">prof. MUDr. Marek </w:t>
      </w:r>
      <w:proofErr w:type="spellStart"/>
      <w:r>
        <w:t>Babjuk</w:t>
      </w:r>
      <w:proofErr w:type="spellEnd"/>
      <w:r>
        <w:t>, CSc.</w:t>
      </w:r>
      <w:r>
        <w:tab/>
      </w:r>
      <w:r>
        <w:tab/>
      </w:r>
      <w:r>
        <w:tab/>
      </w:r>
      <w:r>
        <w:tab/>
        <w:t>Ing. L</w:t>
      </w:r>
      <w:r w:rsidR="0066340A">
        <w:t>u</w:t>
      </w:r>
      <w:r>
        <w:t xml:space="preserve">bor </w:t>
      </w:r>
      <w:proofErr w:type="spellStart"/>
      <w:r>
        <w:t>Hoďánek</w:t>
      </w:r>
      <w:proofErr w:type="spellEnd"/>
      <w:r w:rsidR="0066340A">
        <w:t>, MBA</w:t>
      </w:r>
    </w:p>
    <w:p w:rsidR="0058205B" w:rsidRDefault="0058205B" w:rsidP="0058205B">
      <w:pPr>
        <w:spacing w:after="0"/>
      </w:pPr>
      <w:r>
        <w:t>děkan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představenstva</w:t>
      </w:r>
    </w:p>
    <w:p w:rsidR="0058205B" w:rsidRPr="002D2597" w:rsidRDefault="0058205B"/>
    <w:sectPr w:rsidR="0058205B" w:rsidRPr="002D2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2B" w:rsidRDefault="00C91D2B" w:rsidP="00FE5027">
      <w:pPr>
        <w:spacing w:after="0" w:line="240" w:lineRule="auto"/>
      </w:pPr>
      <w:r>
        <w:separator/>
      </w:r>
    </w:p>
  </w:endnote>
  <w:endnote w:type="continuationSeparator" w:id="0">
    <w:p w:rsidR="00C91D2B" w:rsidRDefault="00C91D2B" w:rsidP="00F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2B" w:rsidRDefault="00C91D2B" w:rsidP="00FE5027">
      <w:pPr>
        <w:spacing w:after="0" w:line="240" w:lineRule="auto"/>
      </w:pPr>
      <w:r>
        <w:separator/>
      </w:r>
    </w:p>
  </w:footnote>
  <w:footnote w:type="continuationSeparator" w:id="0">
    <w:p w:rsidR="00C91D2B" w:rsidRDefault="00C91D2B" w:rsidP="00FE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027" w:rsidRDefault="00FE5027" w:rsidP="00FE5027">
    <w:pPr>
      <w:pStyle w:val="Zhlav"/>
      <w:jc w:val="center"/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457200" cy="457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738" w:hanging="72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5196" w:hanging="720"/>
      </w:pPr>
    </w:lvl>
    <w:lvl w:ilvl="2">
      <w:numFmt w:val="bullet"/>
      <w:lvlText w:val="•"/>
      <w:lvlJc w:val="left"/>
      <w:pPr>
        <w:ind w:left="5653" w:hanging="720"/>
      </w:pPr>
    </w:lvl>
    <w:lvl w:ilvl="3">
      <w:numFmt w:val="bullet"/>
      <w:lvlText w:val="•"/>
      <w:lvlJc w:val="left"/>
      <w:pPr>
        <w:ind w:left="6109" w:hanging="720"/>
      </w:pPr>
    </w:lvl>
    <w:lvl w:ilvl="4">
      <w:numFmt w:val="bullet"/>
      <w:lvlText w:val="•"/>
      <w:lvlJc w:val="left"/>
      <w:pPr>
        <w:ind w:left="6566" w:hanging="720"/>
      </w:pPr>
    </w:lvl>
    <w:lvl w:ilvl="5">
      <w:numFmt w:val="bullet"/>
      <w:lvlText w:val="•"/>
      <w:lvlJc w:val="left"/>
      <w:pPr>
        <w:ind w:left="7023" w:hanging="720"/>
      </w:pPr>
    </w:lvl>
    <w:lvl w:ilvl="6">
      <w:numFmt w:val="bullet"/>
      <w:lvlText w:val="•"/>
      <w:lvlJc w:val="left"/>
      <w:pPr>
        <w:ind w:left="7479" w:hanging="720"/>
      </w:pPr>
    </w:lvl>
    <w:lvl w:ilvl="7">
      <w:numFmt w:val="bullet"/>
      <w:lvlText w:val="•"/>
      <w:lvlJc w:val="left"/>
      <w:pPr>
        <w:ind w:left="7936" w:hanging="720"/>
      </w:pPr>
    </w:lvl>
    <w:lvl w:ilvl="8">
      <w:numFmt w:val="bullet"/>
      <w:lvlText w:val="•"/>
      <w:lvlJc w:val="left"/>
      <w:pPr>
        <w:ind w:left="8393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3" w15:restartNumberingAfterBreak="0">
    <w:nsid w:val="23227D34"/>
    <w:multiLevelType w:val="multilevel"/>
    <w:tmpl w:val="00000886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4" w15:restartNumberingAfterBreak="0">
    <w:nsid w:val="38026F16"/>
    <w:multiLevelType w:val="hybridMultilevel"/>
    <w:tmpl w:val="E4E0F55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A911C4"/>
    <w:multiLevelType w:val="hybridMultilevel"/>
    <w:tmpl w:val="8D70AC82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604C0A8B"/>
    <w:multiLevelType w:val="multilevel"/>
    <w:tmpl w:val="00000886"/>
    <w:lvl w:ilvl="0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853" w:hanging="284"/>
      </w:pPr>
    </w:lvl>
    <w:lvl w:ilvl="6">
      <w:numFmt w:val="bullet"/>
      <w:lvlText w:val="•"/>
      <w:lvlJc w:val="left"/>
      <w:pPr>
        <w:ind w:left="5743" w:hanging="284"/>
      </w:pPr>
    </w:lvl>
    <w:lvl w:ilvl="7">
      <w:numFmt w:val="bullet"/>
      <w:lvlText w:val="•"/>
      <w:lvlJc w:val="left"/>
      <w:pPr>
        <w:ind w:left="6634" w:hanging="284"/>
      </w:pPr>
    </w:lvl>
    <w:lvl w:ilvl="8">
      <w:numFmt w:val="bullet"/>
      <w:lvlText w:val="•"/>
      <w:lvlJc w:val="left"/>
      <w:pPr>
        <w:ind w:left="7525" w:hanging="284"/>
      </w:pPr>
    </w:lvl>
  </w:abstractNum>
  <w:abstractNum w:abstractNumId="7" w15:restartNumberingAfterBreak="0">
    <w:nsid w:val="7B5D7835"/>
    <w:multiLevelType w:val="hybridMultilevel"/>
    <w:tmpl w:val="BD3E6E6E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27"/>
    <w:rsid w:val="001D25C2"/>
    <w:rsid w:val="00284C17"/>
    <w:rsid w:val="002D2597"/>
    <w:rsid w:val="004A0EDB"/>
    <w:rsid w:val="0058205B"/>
    <w:rsid w:val="005A1D21"/>
    <w:rsid w:val="005E4925"/>
    <w:rsid w:val="0066340A"/>
    <w:rsid w:val="006954B7"/>
    <w:rsid w:val="00786155"/>
    <w:rsid w:val="00801B2D"/>
    <w:rsid w:val="00C0029D"/>
    <w:rsid w:val="00C91D2B"/>
    <w:rsid w:val="00DF590E"/>
    <w:rsid w:val="00F472E3"/>
    <w:rsid w:val="00F86759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B88"/>
  <w15:chartTrackingRefBased/>
  <w15:docId w15:val="{C897F136-48EA-4CD8-9BAA-F89B5521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027"/>
  </w:style>
  <w:style w:type="paragraph" w:styleId="Zpat">
    <w:name w:val="footer"/>
    <w:basedOn w:val="Normln"/>
    <w:link w:val="ZpatChar"/>
    <w:uiPriority w:val="99"/>
    <w:unhideWhenUsed/>
    <w:rsid w:val="00FE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027"/>
  </w:style>
  <w:style w:type="paragraph" w:styleId="Odstavecseseznamem">
    <w:name w:val="List Paragraph"/>
    <w:basedOn w:val="Normln"/>
    <w:uiPriority w:val="34"/>
    <w:qFormat/>
    <w:rsid w:val="002D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Horáček</dc:creator>
  <cp:keywords/>
  <dc:description/>
  <cp:lastModifiedBy>Drahomíra Moravcová</cp:lastModifiedBy>
  <cp:revision>2</cp:revision>
  <cp:lastPrinted>2024-03-18T08:14:00Z</cp:lastPrinted>
  <dcterms:created xsi:type="dcterms:W3CDTF">2024-03-27T06:18:00Z</dcterms:created>
  <dcterms:modified xsi:type="dcterms:W3CDTF">2024-03-27T06:18:00Z</dcterms:modified>
</cp:coreProperties>
</file>