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40080" cy="2895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4423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Dodatek č. 3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right="1464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ke smlouvě o poskytování licencí k užití SW a souvisejících služeb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right="4152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uzavřené dne 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25.3.2020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3852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mezi těmito smluvními stranami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0" w:lineRule="auto"/>
        <w:ind w:left="341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1. nabyvatelem zák. číslo 3106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29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Základní škola Havlíčkův Brod, V Sadech 560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323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V Sadech 560, 58001 Havlíčkův Brod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1" w:line="240" w:lineRule="auto"/>
        <w:ind w:left="332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IČ: 70911029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28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zastoupení ve věcech smluvních: </w:t>
      </w: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37"/>
        <w:rPr>
          <w:rFonts w:ascii="Tahoma" w:eastAsia="Tahoma" w:hAnsi="Tahoma" w:cs="Tahoma"/>
          <w:color w:val="000000"/>
          <w:sz w:val="18"/>
          <w:szCs w:val="18"/>
        </w:rPr>
      </w:pP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049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a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6" w:line="240" w:lineRule="auto"/>
        <w:ind w:left="337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2. poskytovatelem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22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VIS Plzeň, s.r.o.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337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Plzeň, Farského 638/14, okres Plzeň-město, PSČ 326 00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32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IČ: 45330344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37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DIČ: CZ 45330344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29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obch. 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rejstřík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: Krajský soud v Plzni, oddíl C, vložka 1561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28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zastoupení ve věcech smluvních: 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26"/>
        <w:rPr>
          <w:rFonts w:ascii="Tahoma" w:eastAsia="Tahoma" w:hAnsi="Tahoma" w:cs="Tahoma"/>
          <w:color w:val="0000FF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web: </w:t>
      </w:r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www.nasestrava.cz</w:t>
      </w:r>
      <w:r>
        <w:rPr>
          <w:rFonts w:ascii="Tahoma" w:eastAsia="Tahoma" w:hAnsi="Tahoma" w:cs="Tahoma"/>
          <w:color w:val="0000FF"/>
          <w:sz w:val="18"/>
          <w:szCs w:val="18"/>
        </w:rPr>
        <w:t xml:space="preserve">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29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email: obchod@visplzen.cz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6" w:line="240" w:lineRule="auto"/>
        <w:ind w:right="4710"/>
        <w:jc w:val="right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Článek I.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330"/>
        <w:jc w:val="right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Předmět dodatku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43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1. Tento dodatek mění přílohu číslo 3, která je součástí původní smlouvy. Nová příloha je nedílnou součástí tohoto dodatku.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right="4666"/>
        <w:jc w:val="right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Článek II.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466"/>
        <w:jc w:val="right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Další ujednání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43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1. Všechna ostatní ustanovení a přílohy předmětné smlouvy zůstávají nadále v platnosti.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049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Za poskytovatele: Za nabyvatele: </w:t>
      </w: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02"/>
        <w:rPr>
          <w:rFonts w:ascii="Tahoma" w:eastAsia="Tahoma" w:hAnsi="Tahoma" w:cs="Tahoma"/>
          <w:color w:val="000000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56"/>
        <w:rPr>
          <w:rFonts w:ascii="Tahoma" w:eastAsia="Tahoma" w:hAnsi="Tahoma" w:cs="Tahoma"/>
          <w:sz w:val="18"/>
          <w:szCs w:val="18"/>
        </w:rPr>
      </w:pP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8" w:line="240" w:lineRule="auto"/>
        <w:ind w:left="323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V Plzni dne 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26.3.2024</w:t>
      </w:r>
      <w:proofErr w:type="gramEnd"/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noProof/>
          <w:color w:val="000000"/>
          <w:sz w:val="18"/>
          <w:szCs w:val="18"/>
        </w:rPr>
        <w:lastRenderedPageBreak/>
        <w:drawing>
          <wp:inline distT="19050" distB="19050" distL="19050" distR="19050">
            <wp:extent cx="640080" cy="2895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4671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Příloha </w:t>
      </w:r>
      <w:proofErr w:type="gramStart"/>
      <w:r>
        <w:rPr>
          <w:rFonts w:ascii="Tahoma" w:eastAsia="Tahoma" w:hAnsi="Tahoma" w:cs="Tahoma"/>
          <w:b/>
          <w:color w:val="000000"/>
        </w:rPr>
        <w:t>č.3</w:t>
      </w:r>
      <w:proofErr w:type="gramEnd"/>
      <w:r>
        <w:rPr>
          <w:rFonts w:ascii="Tahoma" w:eastAsia="Tahoma" w:hAnsi="Tahoma" w:cs="Tahoma"/>
          <w:b/>
          <w:color w:val="000000"/>
        </w:rPr>
        <w:t xml:space="preserve">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1779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Smlouvy o poskytování </w:t>
      </w:r>
      <w:bookmarkStart w:id="0" w:name="_GoBack"/>
      <w:r>
        <w:rPr>
          <w:rFonts w:ascii="Tahoma" w:eastAsia="Tahoma" w:hAnsi="Tahoma" w:cs="Tahoma"/>
          <w:b/>
          <w:color w:val="000000"/>
        </w:rPr>
        <w:t>licen</w:t>
      </w:r>
      <w:bookmarkEnd w:id="0"/>
      <w:r>
        <w:rPr>
          <w:rFonts w:ascii="Tahoma" w:eastAsia="Tahoma" w:hAnsi="Tahoma" w:cs="Tahoma"/>
          <w:b/>
          <w:color w:val="000000"/>
        </w:rPr>
        <w:t xml:space="preserve">cí k užití SW a souvisejících služeb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2229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Rozsah smlouvy - soupis SW licencí a servisních služeb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240" w:lineRule="auto"/>
        <w:ind w:left="43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Zákaznické číslo 3106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left="51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Rozsah SW </w:t>
      </w:r>
    </w:p>
    <w:tbl>
      <w:tblPr>
        <w:tblStyle w:val="a"/>
        <w:tblW w:w="42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</w:tblGrid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Programové vybavení</w:t>
            </w:r>
          </w:p>
        </w:tc>
      </w:tr>
      <w:tr w:rsidR="00567F98">
        <w:trPr>
          <w:trHeight w:val="263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Cloud</w:t>
            </w:r>
            <w:proofErr w:type="spellEnd"/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Sejf maxi</w:t>
            </w:r>
          </w:p>
        </w:tc>
      </w:tr>
      <w:tr w:rsidR="00567F98">
        <w:trPr>
          <w:trHeight w:val="262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• Řídící moduly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síťový modul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ovládání terminálu (1x výdejní, 1x otvírač)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mod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Banka</w:t>
            </w:r>
          </w:p>
        </w:tc>
      </w:tr>
      <w:tr w:rsidR="00567F98">
        <w:trPr>
          <w:trHeight w:val="264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• Stravné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Stravné bez omezení počtu osob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Strava.cz objednávání bez omezení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mod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Objednávání a Výdej na ID média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MSklad</w:t>
            </w:r>
            <w:proofErr w:type="spellEnd"/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MSklad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bez omezení na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inv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567F98">
        <w:trPr>
          <w:trHeight w:val="263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modul Finanční bilance</w:t>
            </w:r>
          </w:p>
        </w:tc>
      </w:tr>
      <w:tr w:rsidR="00567F98">
        <w:trPr>
          <w:trHeight w:val="262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modul Spotřební koš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• Majetek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Majetek do 1000 evidovaných položek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mod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Rozšířené struktury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mod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Umístění majetku</w:t>
            </w:r>
          </w:p>
        </w:tc>
      </w:tr>
      <w:tr w:rsidR="00567F98">
        <w:trPr>
          <w:trHeight w:val="264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• Otvírák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• Otvírák bez omezení počtu os.</w:t>
            </w:r>
          </w:p>
        </w:tc>
      </w:tr>
    </w:tbl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Rozsah smlouvy </w:t>
      </w:r>
    </w:p>
    <w:tbl>
      <w:tblPr>
        <w:tblStyle w:val="a0"/>
        <w:tblW w:w="5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520"/>
        <w:gridCol w:w="504"/>
      </w:tblGrid>
      <w:tr w:rsidR="00567F98">
        <w:trPr>
          <w:trHeight w:val="278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 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mn. 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m.j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67F98">
        <w:trPr>
          <w:trHeight w:val="262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• Software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567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567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Licenční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sml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na SW1 - roční paušál 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• Služby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567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567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vzdálená servisní podpora 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567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hod</w:t>
            </w:r>
          </w:p>
        </w:tc>
      </w:tr>
      <w:tr w:rsidR="00567F98">
        <w:trPr>
          <w:trHeight w:val="263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rychlost VSP: 4h / na místě: 2dny 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</w:tr>
      <w:tr w:rsidR="00567F98">
        <w:trPr>
          <w:trHeight w:val="261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• servisní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webináře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in </w:t>
            </w:r>
          </w:p>
        </w:tc>
        <w:tc>
          <w:tcPr>
            <w:tcW w:w="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F98" w:rsidRDefault="000E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</w:tr>
    </w:tbl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Roční paušální poplatek činí 44.600,- Kč bez DPH. </w:t>
      </w: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51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Datum podpisu 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26.3.2024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p w:rsidR="00567F98" w:rsidRDefault="00567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062"/>
        <w:rPr>
          <w:rFonts w:ascii="Tahoma" w:eastAsia="Tahoma" w:hAnsi="Tahoma" w:cs="Tahoma"/>
          <w:color w:val="000000"/>
          <w:sz w:val="18"/>
          <w:szCs w:val="18"/>
        </w:rPr>
      </w:pPr>
    </w:p>
    <w:p w:rsidR="00567F98" w:rsidRDefault="000E6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95" w:lineRule="auto"/>
        <w:ind w:left="758" w:right="1780" w:firstLine="16"/>
        <w:rPr>
          <w:rFonts w:ascii="Tahoma" w:eastAsia="Tahoma" w:hAnsi="Tahoma" w:cs="Tahoma"/>
          <w:color w:val="000000"/>
          <w:sz w:val="18"/>
          <w:szCs w:val="18"/>
        </w:rPr>
      </w:pP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........................................... ...........................................  Za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 poskytovatele Za nabyvatele</w:t>
      </w:r>
    </w:p>
    <w:sectPr w:rsidR="00567F98">
      <w:pgSz w:w="11820" w:h="16700"/>
      <w:pgMar w:top="372" w:right="651" w:bottom="1622" w:left="52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7F98"/>
    <w:rsid w:val="000E6D1D"/>
    <w:rsid w:val="005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Jana Pospíšilová</cp:lastModifiedBy>
  <cp:revision>2</cp:revision>
  <dcterms:created xsi:type="dcterms:W3CDTF">2024-03-27T05:48:00Z</dcterms:created>
  <dcterms:modified xsi:type="dcterms:W3CDTF">2024-03-27T05:48:00Z</dcterms:modified>
</cp:coreProperties>
</file>