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EDA" w:rsidRDefault="00C2155C">
      <w:pPr>
        <w:pStyle w:val="Zkladntext"/>
        <w:shd w:val="clear" w:color="auto" w:fill="auto"/>
        <w:spacing w:before="4220" w:after="0"/>
        <w:jc w:val="center"/>
      </w:pPr>
      <w:r>
        <w:t>PŘÍKAZNÍ SMLOUVA</w:t>
      </w:r>
    </w:p>
    <w:p w:rsidR="00947EDA" w:rsidRDefault="00C2155C">
      <w:pPr>
        <w:pStyle w:val="Zkladntext"/>
        <w:shd w:val="clear" w:color="auto" w:fill="auto"/>
      </w:pPr>
      <w:r>
        <w:rPr>
          <w:b/>
          <w:bCs/>
        </w:rPr>
        <w:t xml:space="preserve">TATO PŘÍKAZNÍ SMLOUVA </w:t>
      </w:r>
      <w:r>
        <w:t xml:space="preserve">(dále jen </w:t>
      </w:r>
      <w:r>
        <w:rPr>
          <w:b/>
          <w:bCs/>
        </w:rPr>
        <w:t xml:space="preserve">„smlouva") </w:t>
      </w:r>
      <w:r>
        <w:t>je uzavřena níže uvedeného dne, měsíce a roku</w:t>
      </w:r>
    </w:p>
    <w:p w:rsidR="00947EDA" w:rsidRDefault="00C2155C">
      <w:pPr>
        <w:pStyle w:val="Heading10"/>
        <w:keepNext/>
        <w:keepLines/>
        <w:shd w:val="clear" w:color="auto" w:fill="auto"/>
      </w:pPr>
      <w:bookmarkStart w:id="0" w:name="bookmark0"/>
      <w:bookmarkStart w:id="1" w:name="bookmark1"/>
      <w:r>
        <w:t>MEZI</w:t>
      </w:r>
      <w:bookmarkEnd w:id="0"/>
      <w:bookmarkEnd w:id="1"/>
    </w:p>
    <w:p w:rsidR="00947EDA" w:rsidRDefault="00C2155C">
      <w:pPr>
        <w:pStyle w:val="Zkladntext"/>
        <w:numPr>
          <w:ilvl w:val="0"/>
          <w:numId w:val="1"/>
        </w:numPr>
        <w:shd w:val="clear" w:color="auto" w:fill="auto"/>
        <w:tabs>
          <w:tab w:val="left" w:pos="671"/>
        </w:tabs>
        <w:spacing w:after="0"/>
        <w:ind w:left="680" w:hanging="680"/>
        <w:jc w:val="both"/>
      </w:pPr>
      <w:r>
        <w:rPr>
          <w:b/>
          <w:bCs/>
        </w:rPr>
        <w:t xml:space="preserve">Výzkumným ústavem živočišné výroby, v.v.i., </w:t>
      </w:r>
      <w:r>
        <w:t xml:space="preserve">IČO: 00027014, DIČ: CZ00027014, se sídlem Přátelství 815, 104 00 Praha Uhříněves, zastoupená </w:t>
      </w:r>
      <w:r w:rsidR="00086C4B">
        <w:t xml:space="preserve">                    </w:t>
      </w:r>
      <w:proofErr w:type="gramStart"/>
      <w:r w:rsidR="00086C4B">
        <w:t xml:space="preserve">  </w:t>
      </w:r>
      <w:r>
        <w:t>,</w:t>
      </w:r>
      <w:proofErr w:type="gramEnd"/>
      <w:r>
        <w:t xml:space="preserve"> ředitelem, bankovní spojení: </w:t>
      </w:r>
      <w:r w:rsidR="00086C4B">
        <w:t xml:space="preserve">                     </w:t>
      </w:r>
      <w:r>
        <w:t xml:space="preserve">, číslo účtu: </w:t>
      </w:r>
      <w:r w:rsidR="00086C4B">
        <w:t xml:space="preserve">                                  </w:t>
      </w:r>
      <w:r>
        <w:t xml:space="preserve"> (dále jen </w:t>
      </w:r>
      <w:r>
        <w:rPr>
          <w:b/>
          <w:bCs/>
        </w:rPr>
        <w:t>„příkazce");</w:t>
      </w:r>
    </w:p>
    <w:p w:rsidR="00947EDA" w:rsidRDefault="00C2155C">
      <w:pPr>
        <w:pStyle w:val="Zkladntext"/>
        <w:shd w:val="clear" w:color="auto" w:fill="auto"/>
        <w:ind w:firstLine="680"/>
        <w:jc w:val="both"/>
      </w:pPr>
      <w:r>
        <w:t>a</w:t>
      </w:r>
    </w:p>
    <w:p w:rsidR="00947EDA" w:rsidRDefault="00C2155C">
      <w:pPr>
        <w:pStyle w:val="Zkladntext"/>
        <w:numPr>
          <w:ilvl w:val="0"/>
          <w:numId w:val="1"/>
        </w:numPr>
        <w:shd w:val="clear" w:color="auto" w:fill="auto"/>
        <w:tabs>
          <w:tab w:val="left" w:pos="671"/>
        </w:tabs>
        <w:ind w:left="680" w:hanging="680"/>
        <w:jc w:val="both"/>
      </w:pPr>
      <w:r>
        <w:rPr>
          <w:b/>
          <w:bCs/>
        </w:rPr>
        <w:t xml:space="preserve">GRANT Garant s.r.o., </w:t>
      </w:r>
      <w:r>
        <w:t xml:space="preserve">se sídlem Náměstí Jiřího z Lobkovic 2277/7, Praha 3 - 130 00, IČO: 27145051, DIČ: CZ27145051, zapsaná v obchodním rejstříku vedeném Městským soudem v Praze, oddíl C, vložka 99673, zastoupená </w:t>
      </w:r>
      <w:r w:rsidR="00086C4B">
        <w:t xml:space="preserve">             </w:t>
      </w:r>
      <w:proofErr w:type="gramStart"/>
      <w:r w:rsidR="00086C4B">
        <w:t xml:space="preserve">  </w:t>
      </w:r>
      <w:r>
        <w:t>,</w:t>
      </w:r>
      <w:proofErr w:type="gramEnd"/>
      <w:r>
        <w:t xml:space="preserve"> číslo účtu </w:t>
      </w:r>
      <w:r w:rsidR="00086C4B">
        <w:t xml:space="preserve">             </w:t>
      </w:r>
      <w:r>
        <w:t xml:space="preserve">; kontaktní osoba: </w:t>
      </w:r>
      <w:r w:rsidR="00086C4B">
        <w:t xml:space="preserve">                 </w:t>
      </w:r>
      <w:r>
        <w:t xml:space="preserve"> e-mail </w:t>
      </w:r>
      <w:r w:rsidR="00086C4B">
        <w:t xml:space="preserve">             </w:t>
      </w:r>
      <w:r>
        <w:rPr>
          <w:lang w:val="en-US" w:eastAsia="en-US" w:bidi="en-US"/>
        </w:rPr>
        <w:t xml:space="preserve"> </w:t>
      </w:r>
      <w:r>
        <w:t xml:space="preserve">telefon </w:t>
      </w:r>
      <w:r w:rsidR="00086C4B">
        <w:t xml:space="preserve">               </w:t>
      </w:r>
      <w:r>
        <w:t xml:space="preserve"> (dále jen </w:t>
      </w:r>
      <w:r>
        <w:rPr>
          <w:b/>
          <w:bCs/>
        </w:rPr>
        <w:t>„příkazník"),</w:t>
      </w:r>
    </w:p>
    <w:p w:rsidR="00947EDA" w:rsidRDefault="00C2155C">
      <w:pPr>
        <w:pStyle w:val="Zkladntext"/>
        <w:shd w:val="clear" w:color="auto" w:fill="auto"/>
        <w:ind w:firstLine="680"/>
        <w:jc w:val="both"/>
      </w:pPr>
      <w:r>
        <w:t xml:space="preserve">(příkazce a příkazník společně dále jen jako </w:t>
      </w:r>
      <w:r>
        <w:rPr>
          <w:b/>
          <w:bCs/>
        </w:rPr>
        <w:t xml:space="preserve">„strany" </w:t>
      </w:r>
      <w:r>
        <w:t xml:space="preserve">a každý jednotlivě jako </w:t>
      </w:r>
      <w:r>
        <w:rPr>
          <w:b/>
          <w:bCs/>
        </w:rPr>
        <w:t>„strana").</w:t>
      </w:r>
    </w:p>
    <w:p w:rsidR="00947EDA" w:rsidRDefault="00C2155C">
      <w:pPr>
        <w:pStyle w:val="Heading10"/>
        <w:keepNext/>
        <w:keepLines/>
        <w:numPr>
          <w:ilvl w:val="0"/>
          <w:numId w:val="2"/>
        </w:numPr>
        <w:shd w:val="clear" w:color="auto" w:fill="auto"/>
        <w:tabs>
          <w:tab w:val="left" w:pos="671"/>
        </w:tabs>
      </w:pPr>
      <w:bookmarkStart w:id="2" w:name="bookmark2"/>
      <w:bookmarkStart w:id="3" w:name="bookmark3"/>
      <w:r>
        <w:t>ÚVODNÍ USTANOVENÍ</w:t>
      </w:r>
      <w:bookmarkEnd w:id="2"/>
      <w:bookmarkEnd w:id="3"/>
    </w:p>
    <w:p w:rsidR="00947EDA" w:rsidRDefault="00C2155C">
      <w:pPr>
        <w:pStyle w:val="Zkladntext"/>
        <w:numPr>
          <w:ilvl w:val="1"/>
          <w:numId w:val="2"/>
        </w:numPr>
        <w:shd w:val="clear" w:color="auto" w:fill="auto"/>
        <w:tabs>
          <w:tab w:val="left" w:pos="671"/>
        </w:tabs>
      </w:pPr>
      <w:r>
        <w:t>Pokud z kontextu této smlouvy jednoznačně neplyne něco jiného:</w:t>
      </w:r>
    </w:p>
    <w:p w:rsidR="00947EDA" w:rsidRDefault="00C2155C">
      <w:pPr>
        <w:pStyle w:val="Zkladntext"/>
        <w:numPr>
          <w:ilvl w:val="2"/>
          <w:numId w:val="2"/>
        </w:numPr>
        <w:shd w:val="clear" w:color="auto" w:fill="auto"/>
        <w:tabs>
          <w:tab w:val="left" w:pos="1233"/>
        </w:tabs>
        <w:ind w:firstLine="560"/>
        <w:jc w:val="both"/>
      </w:pPr>
      <w:r>
        <w:t>nadpisy slouží pouze pro snazší orientaci a při výkladu této smlouvy se k nim nepřihlíží;</w:t>
      </w:r>
    </w:p>
    <w:p w:rsidR="00947EDA" w:rsidRDefault="00C2155C">
      <w:pPr>
        <w:pStyle w:val="Zkladntext"/>
        <w:numPr>
          <w:ilvl w:val="2"/>
          <w:numId w:val="2"/>
        </w:numPr>
        <w:shd w:val="clear" w:color="auto" w:fill="auto"/>
        <w:tabs>
          <w:tab w:val="left" w:pos="1233"/>
        </w:tabs>
        <w:spacing w:line="252" w:lineRule="auto"/>
        <w:ind w:left="1220" w:hanging="660"/>
        <w:jc w:val="both"/>
      </w:pPr>
      <w:r>
        <w:t>slova použitá v jednotném čísle zahrnují i číslo množné, a naopak a slova vyjadřující určitý rod zahrnují i ostatní rody;</w:t>
      </w:r>
    </w:p>
    <w:p w:rsidR="00947EDA" w:rsidRDefault="00C2155C">
      <w:pPr>
        <w:pStyle w:val="Zkladntext"/>
        <w:numPr>
          <w:ilvl w:val="2"/>
          <w:numId w:val="2"/>
        </w:numPr>
        <w:shd w:val="clear" w:color="auto" w:fill="auto"/>
        <w:tabs>
          <w:tab w:val="left" w:pos="1233"/>
        </w:tabs>
        <w:ind w:left="1220" w:hanging="660"/>
        <w:jc w:val="both"/>
      </w:pPr>
      <w:r>
        <w:t>odkazy na „osobu" zahrnují i právnické osoby a sdružení osob bez právní subjektivity a určitá osoba zahrnuje její právní nástupce a přípustné postupníky;</w:t>
      </w:r>
    </w:p>
    <w:p w:rsidR="00947EDA" w:rsidRDefault="00C2155C">
      <w:pPr>
        <w:pStyle w:val="Zkladntext"/>
        <w:numPr>
          <w:ilvl w:val="2"/>
          <w:numId w:val="2"/>
        </w:numPr>
        <w:shd w:val="clear" w:color="auto" w:fill="auto"/>
        <w:tabs>
          <w:tab w:val="left" w:pos="1233"/>
        </w:tabs>
        <w:spacing w:line="252" w:lineRule="auto"/>
        <w:ind w:left="1220" w:hanging="660"/>
        <w:jc w:val="both"/>
      </w:pPr>
      <w:r>
        <w:t>odkazy na články, úvodní ustanovení a přílohy jsou odkazy na články, úvodní ustanovení a přílohy této smlouvy.</w:t>
      </w:r>
    </w:p>
    <w:p w:rsidR="00947EDA" w:rsidRDefault="00C2155C">
      <w:pPr>
        <w:pStyle w:val="Zkladntext"/>
        <w:numPr>
          <w:ilvl w:val="1"/>
          <w:numId w:val="2"/>
        </w:numPr>
        <w:shd w:val="clear" w:color="auto" w:fill="auto"/>
        <w:tabs>
          <w:tab w:val="left" w:pos="671"/>
        </w:tabs>
        <w:ind w:left="680" w:hanging="680"/>
        <w:jc w:val="both"/>
      </w:pPr>
      <w:r>
        <w:t>Příkazník prohlašuje, že je odborně způsobilý k zajištění plnění svého závazku a ke splnění veškerých povinností vyplývajících z této smlouvy.</w:t>
      </w:r>
    </w:p>
    <w:p w:rsidR="00947EDA" w:rsidRDefault="00C2155C">
      <w:pPr>
        <w:pStyle w:val="Zkladntext"/>
        <w:numPr>
          <w:ilvl w:val="1"/>
          <w:numId w:val="2"/>
        </w:numPr>
        <w:shd w:val="clear" w:color="auto" w:fill="auto"/>
        <w:tabs>
          <w:tab w:val="left" w:pos="671"/>
        </w:tabs>
        <w:ind w:left="680" w:hanging="680"/>
        <w:jc w:val="both"/>
      </w:pPr>
      <w:r>
        <w:t xml:space="preserve">Účelem smlouvy je zajištění kompletní administrace dotace podle výzvy č. 02_23_020 Mezisektorová spolupráce-OP JAK, návrh projektu "Banka biologického materiálu koňovitých se </w:t>
      </w:r>
      <w:r>
        <w:lastRenderedPageBreak/>
        <w:t>speciálním důrazem na koně převalského" v souladu s Pravidly pro žadatele a příjemce, specifická část výzvy mezisektorová spolupráce a mezisektorová spolupráce pro ITI, programové období 2021-2027, touto smlouvou a zadávací dokumentací.</w:t>
      </w:r>
    </w:p>
    <w:p w:rsidR="00947EDA" w:rsidRDefault="00C2155C">
      <w:pPr>
        <w:pStyle w:val="Zkladntext"/>
        <w:numPr>
          <w:ilvl w:val="1"/>
          <w:numId w:val="2"/>
        </w:numPr>
        <w:shd w:val="clear" w:color="auto" w:fill="auto"/>
        <w:tabs>
          <w:tab w:val="left" w:pos="671"/>
        </w:tabs>
        <w:ind w:left="680" w:hanging="680"/>
        <w:jc w:val="both"/>
      </w:pPr>
      <w:r>
        <w:t xml:space="preserve">Místem plnění je sídlo a provozovna příkazníka na adrese Náměstí Jiřího z Lobkovic 2277/7, Praha </w:t>
      </w:r>
      <w:proofErr w:type="gramStart"/>
      <w:r>
        <w:t>3 -130</w:t>
      </w:r>
      <w:proofErr w:type="gramEnd"/>
      <w:r>
        <w:t xml:space="preserve"> 00 nebo sídlo příkazce na adrese Přátelství 815,104 00 Praha Uhříněves. V jiném místě, než ve výše uvedeném je příkazník povinen vykonávat činnost dle této smlouvy v případě, že to vyžaduje řádné plnění jeho povinností nebo na základě pokynů příkazce.</w:t>
      </w:r>
    </w:p>
    <w:p w:rsidR="00947EDA" w:rsidRDefault="00C2155C">
      <w:pPr>
        <w:pStyle w:val="Zkladntext"/>
        <w:numPr>
          <w:ilvl w:val="1"/>
          <w:numId w:val="2"/>
        </w:numPr>
        <w:shd w:val="clear" w:color="auto" w:fill="auto"/>
        <w:tabs>
          <w:tab w:val="left" w:pos="671"/>
        </w:tabs>
        <w:ind w:left="680" w:hanging="680"/>
        <w:jc w:val="both"/>
      </w:pPr>
      <w:r>
        <w:t>Příkazce při podpisu smlouvy udělí podle § 441 a následujících občanského zákoníku příkazníkovi plnou moc k výkonu činností popsaných v této smlouvě. Příkazník se zavazuje udělenou plnou moc přijmout.</w:t>
      </w:r>
    </w:p>
    <w:p w:rsidR="00947EDA" w:rsidRDefault="00C2155C">
      <w:pPr>
        <w:pStyle w:val="Zkladntext"/>
        <w:numPr>
          <w:ilvl w:val="1"/>
          <w:numId w:val="2"/>
        </w:numPr>
        <w:shd w:val="clear" w:color="auto" w:fill="auto"/>
        <w:tabs>
          <w:tab w:val="left" w:pos="671"/>
        </w:tabs>
      </w:pPr>
      <w:r>
        <w:t>Přílohy a úvodní ustanovení jsou nedílnou součást této smlouvy.</w:t>
      </w:r>
    </w:p>
    <w:p w:rsidR="00947EDA" w:rsidRDefault="00C2155C">
      <w:pPr>
        <w:pStyle w:val="Zkladntext"/>
        <w:numPr>
          <w:ilvl w:val="0"/>
          <w:numId w:val="2"/>
        </w:numPr>
        <w:shd w:val="clear" w:color="auto" w:fill="auto"/>
        <w:tabs>
          <w:tab w:val="left" w:pos="671"/>
        </w:tabs>
        <w:sectPr w:rsidR="00947EDA">
          <w:pgSz w:w="11900" w:h="16840"/>
          <w:pgMar w:top="1835" w:right="1650" w:bottom="1758" w:left="1638" w:header="1407" w:footer="1330" w:gutter="0"/>
          <w:pgNumType w:start="1"/>
          <w:cols w:space="720"/>
          <w:noEndnote/>
          <w:docGrid w:linePitch="360"/>
        </w:sectPr>
      </w:pPr>
      <w:r>
        <w:rPr>
          <w:b/>
          <w:bCs/>
        </w:rPr>
        <w:t>PŘEDMĚT SMLOUVY</w:t>
      </w:r>
    </w:p>
    <w:p w:rsidR="00947EDA" w:rsidRDefault="00C2155C">
      <w:pPr>
        <w:pStyle w:val="Zkladntext"/>
        <w:numPr>
          <w:ilvl w:val="1"/>
          <w:numId w:val="2"/>
        </w:numPr>
        <w:shd w:val="clear" w:color="auto" w:fill="auto"/>
        <w:tabs>
          <w:tab w:val="left" w:pos="763"/>
        </w:tabs>
        <w:spacing w:after="240"/>
        <w:ind w:left="680" w:hanging="680"/>
        <w:jc w:val="both"/>
      </w:pPr>
      <w:r>
        <w:t>Příkazce, jako veřejný zadavatel, zadal veřejnou zakázku malého rozsahu v souladu se směrnicí zadavatele č. S-5/2022, Pravidla pro zadávání veřejných zakázek, s názvem Zpracování projektové přihlášky (dále jen „veřejná zakázka"). Nabídka příkazníka splnila kvalifikační předpoklady příkazce stanovené v zadávací dokumentaci k veřejné zakázce a byla vyhodnocena na základě hodnotících kritérií jako nejvhodnější, proto strany uzavírají tuto smlouvu.</w:t>
      </w:r>
    </w:p>
    <w:p w:rsidR="00947EDA" w:rsidRDefault="00C2155C">
      <w:pPr>
        <w:pStyle w:val="Zkladntext"/>
        <w:numPr>
          <w:ilvl w:val="1"/>
          <w:numId w:val="2"/>
        </w:numPr>
        <w:shd w:val="clear" w:color="auto" w:fill="auto"/>
        <w:tabs>
          <w:tab w:val="left" w:pos="763"/>
        </w:tabs>
        <w:spacing w:after="240"/>
        <w:ind w:left="680" w:hanging="680"/>
        <w:jc w:val="both"/>
      </w:pPr>
      <w:r>
        <w:t>Příkazník se zavazuje pro příkazce obstarat záležitosti, které jsou popsány v této smlouvě a zadávací dokumentaci, při kompletní administraci dotace podle výzvy č. 02_23_020 Mezisektorová spolupráce-OP JAK, návrh projektu "Banka biologického materiálu koňovitých se speciálním důrazem na koně převalského" v souladu s Pravidly pro žadatele a příjemce, specifická část výzvy mezisektorová spolupráce a mezisektorová spolupráce pro ITI, programové období 2021-2027.</w:t>
      </w:r>
    </w:p>
    <w:p w:rsidR="00947EDA" w:rsidRDefault="00C2155C">
      <w:pPr>
        <w:pStyle w:val="Zkladntext"/>
        <w:numPr>
          <w:ilvl w:val="1"/>
          <w:numId w:val="2"/>
        </w:numPr>
        <w:shd w:val="clear" w:color="auto" w:fill="auto"/>
        <w:tabs>
          <w:tab w:val="left" w:pos="763"/>
        </w:tabs>
        <w:spacing w:after="240"/>
        <w:jc w:val="both"/>
      </w:pPr>
      <w:r>
        <w:t>Příkazník je povinen pro příkazce zajistit zejména nikoli však výlučně níže uvedené činnosti:</w:t>
      </w:r>
    </w:p>
    <w:p w:rsidR="00947EDA" w:rsidRDefault="00C2155C">
      <w:pPr>
        <w:pStyle w:val="Zkladntext"/>
        <w:numPr>
          <w:ilvl w:val="2"/>
          <w:numId w:val="2"/>
        </w:numPr>
        <w:shd w:val="clear" w:color="auto" w:fill="auto"/>
        <w:tabs>
          <w:tab w:val="left" w:pos="1214"/>
        </w:tabs>
        <w:spacing w:after="240"/>
        <w:ind w:firstLine="540"/>
        <w:jc w:val="both"/>
      </w:pPr>
      <w:r>
        <w:t>Zpracování návrhu projektu</w:t>
      </w:r>
    </w:p>
    <w:p w:rsidR="00947EDA" w:rsidRDefault="00C2155C">
      <w:pPr>
        <w:pStyle w:val="Zkladntext"/>
        <w:numPr>
          <w:ilvl w:val="0"/>
          <w:numId w:val="3"/>
        </w:numPr>
        <w:shd w:val="clear" w:color="auto" w:fill="auto"/>
        <w:tabs>
          <w:tab w:val="left" w:pos="808"/>
        </w:tabs>
        <w:spacing w:after="0"/>
        <w:ind w:left="820" w:hanging="280"/>
        <w:jc w:val="both"/>
      </w:pPr>
      <w:r>
        <w:t>Manažerské řízení v průběhu celého procesu podání žádosti, její akceptace a zajištění veškerých úkonů souvisejících s podáním žádosti o podporu.</w:t>
      </w:r>
    </w:p>
    <w:p w:rsidR="00947EDA" w:rsidRDefault="00C2155C">
      <w:pPr>
        <w:pStyle w:val="Zkladntext"/>
        <w:numPr>
          <w:ilvl w:val="0"/>
          <w:numId w:val="3"/>
        </w:numPr>
        <w:shd w:val="clear" w:color="auto" w:fill="auto"/>
        <w:tabs>
          <w:tab w:val="left" w:pos="812"/>
        </w:tabs>
        <w:spacing w:after="240"/>
        <w:ind w:left="820" w:hanging="280"/>
        <w:jc w:val="both"/>
      </w:pPr>
      <w:r>
        <w:t>Jednání s dotačním orgánem v době akceptace projektové žádosti a v době hodnocení projektu, případné doplnění žádosti.</w:t>
      </w:r>
    </w:p>
    <w:p w:rsidR="00947EDA" w:rsidRDefault="00C2155C">
      <w:pPr>
        <w:pStyle w:val="Zkladntext"/>
        <w:numPr>
          <w:ilvl w:val="2"/>
          <w:numId w:val="2"/>
        </w:numPr>
        <w:shd w:val="clear" w:color="auto" w:fill="auto"/>
        <w:tabs>
          <w:tab w:val="left" w:pos="1214"/>
        </w:tabs>
        <w:spacing w:after="240"/>
        <w:ind w:firstLine="540"/>
        <w:jc w:val="both"/>
      </w:pPr>
      <w:r>
        <w:t>Podání projektové žádosti</w:t>
      </w:r>
    </w:p>
    <w:p w:rsidR="00947EDA" w:rsidRDefault="00C2155C">
      <w:pPr>
        <w:pStyle w:val="Zkladntext"/>
        <w:numPr>
          <w:ilvl w:val="0"/>
          <w:numId w:val="3"/>
        </w:numPr>
        <w:shd w:val="clear" w:color="auto" w:fill="auto"/>
        <w:tabs>
          <w:tab w:val="left" w:pos="812"/>
        </w:tabs>
        <w:spacing w:after="0"/>
        <w:ind w:left="820" w:hanging="280"/>
        <w:jc w:val="both"/>
      </w:pPr>
      <w:r>
        <w:t>Příprava projektové žádosti a její zpracování tak, aby byla zabezpečena maximální úspěšnost projektu s cílem dosáhnout po nejvyšší možné podpory.</w:t>
      </w:r>
    </w:p>
    <w:p w:rsidR="00947EDA" w:rsidRDefault="00C2155C">
      <w:pPr>
        <w:pStyle w:val="Zkladntext"/>
        <w:numPr>
          <w:ilvl w:val="0"/>
          <w:numId w:val="3"/>
        </w:numPr>
        <w:shd w:val="clear" w:color="auto" w:fill="auto"/>
        <w:tabs>
          <w:tab w:val="left" w:pos="812"/>
        </w:tabs>
        <w:spacing w:after="0"/>
        <w:ind w:firstLine="540"/>
        <w:jc w:val="both"/>
      </w:pPr>
      <w:r>
        <w:t>Zajištění veškerých podkladů a náležitostí k úplnosti žádosti.</w:t>
      </w:r>
    </w:p>
    <w:p w:rsidR="00947EDA" w:rsidRDefault="00C2155C">
      <w:pPr>
        <w:pStyle w:val="Zkladntext"/>
        <w:numPr>
          <w:ilvl w:val="0"/>
          <w:numId w:val="3"/>
        </w:numPr>
        <w:shd w:val="clear" w:color="auto" w:fill="auto"/>
        <w:tabs>
          <w:tab w:val="left" w:pos="812"/>
        </w:tabs>
        <w:spacing w:after="0"/>
        <w:ind w:left="820" w:hanging="280"/>
        <w:jc w:val="both"/>
      </w:pPr>
      <w:r>
        <w:t>Zpracování a podání projektové žádosti v tištěné i elektronické podobě a případné doplnění žádosti.</w:t>
      </w:r>
    </w:p>
    <w:p w:rsidR="00947EDA" w:rsidRDefault="00C2155C">
      <w:pPr>
        <w:pStyle w:val="Zkladntext"/>
        <w:shd w:val="clear" w:color="auto" w:fill="auto"/>
        <w:spacing w:after="460"/>
        <w:ind w:left="960" w:hanging="260"/>
        <w:jc w:val="both"/>
      </w:pPr>
      <w:r>
        <w:t>- Platba za zpracování a podání projektové žádosti nebude požadována, pokud nebude dotace poskytnuta.</w:t>
      </w:r>
    </w:p>
    <w:p w:rsidR="00947EDA" w:rsidRDefault="00C2155C">
      <w:pPr>
        <w:pStyle w:val="Zkladntext"/>
        <w:numPr>
          <w:ilvl w:val="2"/>
          <w:numId w:val="2"/>
        </w:numPr>
        <w:shd w:val="clear" w:color="auto" w:fill="auto"/>
        <w:tabs>
          <w:tab w:val="left" w:pos="1214"/>
        </w:tabs>
        <w:spacing w:after="240"/>
        <w:ind w:firstLine="540"/>
        <w:jc w:val="both"/>
      </w:pPr>
      <w:r>
        <w:t>Administrace dotací během realizace projektu v případě přijetí projektu k řešení</w:t>
      </w:r>
    </w:p>
    <w:p w:rsidR="00947EDA" w:rsidRDefault="00C2155C">
      <w:pPr>
        <w:pStyle w:val="Zkladntext"/>
        <w:numPr>
          <w:ilvl w:val="0"/>
          <w:numId w:val="3"/>
        </w:numPr>
        <w:shd w:val="clear" w:color="auto" w:fill="auto"/>
        <w:tabs>
          <w:tab w:val="left" w:pos="812"/>
        </w:tabs>
        <w:spacing w:after="0"/>
        <w:ind w:firstLine="540"/>
        <w:jc w:val="both"/>
      </w:pPr>
      <w:r>
        <w:t>Kompletace podkladů k vydání změny Rozhodnutí o poskytnutí dotace.</w:t>
      </w:r>
    </w:p>
    <w:p w:rsidR="00947EDA" w:rsidRDefault="00C2155C">
      <w:pPr>
        <w:pStyle w:val="Zkladntext"/>
        <w:numPr>
          <w:ilvl w:val="0"/>
          <w:numId w:val="3"/>
        </w:numPr>
        <w:shd w:val="clear" w:color="auto" w:fill="auto"/>
        <w:tabs>
          <w:tab w:val="left" w:pos="812"/>
        </w:tabs>
        <w:spacing w:after="0"/>
        <w:ind w:firstLine="540"/>
        <w:jc w:val="both"/>
      </w:pPr>
      <w:r>
        <w:t>Zpracování a podání žádosti o změnu Rozhodnutí o poskytnutí dotace.</w:t>
      </w:r>
    </w:p>
    <w:p w:rsidR="00947EDA" w:rsidRDefault="00C2155C">
      <w:pPr>
        <w:pStyle w:val="Zkladntext"/>
        <w:numPr>
          <w:ilvl w:val="0"/>
          <w:numId w:val="3"/>
        </w:numPr>
        <w:shd w:val="clear" w:color="auto" w:fill="auto"/>
        <w:tabs>
          <w:tab w:val="left" w:pos="817"/>
        </w:tabs>
        <w:spacing w:after="0"/>
        <w:ind w:firstLine="540"/>
        <w:jc w:val="both"/>
      </w:pPr>
      <w:r>
        <w:lastRenderedPageBreak/>
        <w:t>Vypracování a podání žádosti o platbu.</w:t>
      </w:r>
    </w:p>
    <w:p w:rsidR="00947EDA" w:rsidRDefault="00C2155C">
      <w:pPr>
        <w:pStyle w:val="Zkladntext"/>
        <w:numPr>
          <w:ilvl w:val="0"/>
          <w:numId w:val="3"/>
        </w:numPr>
        <w:shd w:val="clear" w:color="auto" w:fill="auto"/>
        <w:tabs>
          <w:tab w:val="left" w:pos="817"/>
        </w:tabs>
        <w:spacing w:after="0"/>
        <w:ind w:left="820" w:hanging="280"/>
        <w:jc w:val="both"/>
      </w:pPr>
      <w:r>
        <w:t>Sestavení přehledu financování a způsobilosti jednotlivých faktur po profinancování žádosti o platbu za účelem správného zaúčtování dotace.</w:t>
      </w:r>
    </w:p>
    <w:p w:rsidR="00947EDA" w:rsidRDefault="00C2155C">
      <w:pPr>
        <w:pStyle w:val="Zkladntext"/>
        <w:numPr>
          <w:ilvl w:val="0"/>
          <w:numId w:val="3"/>
        </w:numPr>
        <w:shd w:val="clear" w:color="auto" w:fill="auto"/>
        <w:tabs>
          <w:tab w:val="left" w:pos="817"/>
        </w:tabs>
        <w:spacing w:after="0"/>
        <w:ind w:firstLine="540"/>
        <w:jc w:val="both"/>
      </w:pPr>
      <w:r>
        <w:t>Zajištění veškeré komunikace s poskytovatelem dotace.</w:t>
      </w:r>
    </w:p>
    <w:p w:rsidR="00947EDA" w:rsidRDefault="00C2155C">
      <w:pPr>
        <w:pStyle w:val="Zkladntext"/>
        <w:numPr>
          <w:ilvl w:val="0"/>
          <w:numId w:val="3"/>
        </w:numPr>
        <w:shd w:val="clear" w:color="auto" w:fill="auto"/>
        <w:tabs>
          <w:tab w:val="left" w:pos="817"/>
        </w:tabs>
        <w:spacing w:after="240"/>
        <w:ind w:firstLine="540"/>
        <w:jc w:val="both"/>
      </w:pPr>
      <w:r>
        <w:t>Vypracovávání závěrečné zprávy o realizaci projektu.</w:t>
      </w:r>
    </w:p>
    <w:p w:rsidR="00947EDA" w:rsidRDefault="00C2155C">
      <w:pPr>
        <w:pStyle w:val="Zkladntext"/>
        <w:numPr>
          <w:ilvl w:val="1"/>
          <w:numId w:val="2"/>
        </w:numPr>
        <w:shd w:val="clear" w:color="auto" w:fill="auto"/>
        <w:tabs>
          <w:tab w:val="left" w:pos="763"/>
        </w:tabs>
        <w:spacing w:after="240"/>
        <w:ind w:left="680" w:hanging="680"/>
        <w:jc w:val="both"/>
      </w:pPr>
      <w:r>
        <w:t>Příkazce se zavazuje zaplatit příkazníkovi za provádění činnosti dle této smlouvy odměnu dle čl. 4 této smlouvy.</w:t>
      </w:r>
    </w:p>
    <w:p w:rsidR="00947EDA" w:rsidRDefault="00C2155C">
      <w:pPr>
        <w:pStyle w:val="Zkladntext"/>
        <w:numPr>
          <w:ilvl w:val="1"/>
          <w:numId w:val="2"/>
        </w:numPr>
        <w:shd w:val="clear" w:color="auto" w:fill="auto"/>
        <w:tabs>
          <w:tab w:val="left" w:pos="763"/>
        </w:tabs>
        <w:spacing w:after="240"/>
        <w:ind w:left="680" w:hanging="680"/>
        <w:jc w:val="both"/>
      </w:pPr>
      <w:r>
        <w:t>Strany prohlašují, že předmět smlouvy není plněním nemožným a že tuto smlouvu uzavřely po pečlivém zvážení všech možných důsledků.</w:t>
      </w:r>
    </w:p>
    <w:p w:rsidR="00947EDA" w:rsidRDefault="00C2155C">
      <w:pPr>
        <w:pStyle w:val="Zkladntext"/>
        <w:numPr>
          <w:ilvl w:val="0"/>
          <w:numId w:val="2"/>
        </w:numPr>
        <w:shd w:val="clear" w:color="auto" w:fill="auto"/>
        <w:tabs>
          <w:tab w:val="left" w:pos="763"/>
        </w:tabs>
        <w:spacing w:after="240"/>
        <w:jc w:val="both"/>
      </w:pPr>
      <w:r>
        <w:rPr>
          <w:b/>
          <w:bCs/>
        </w:rPr>
        <w:t>TERMÍN PLNĚNÍ, UKONČENÍ SMLOUVY</w:t>
      </w:r>
    </w:p>
    <w:p w:rsidR="00947EDA" w:rsidRDefault="00C2155C">
      <w:pPr>
        <w:pStyle w:val="Zkladntext"/>
        <w:numPr>
          <w:ilvl w:val="1"/>
          <w:numId w:val="2"/>
        </w:numPr>
        <w:shd w:val="clear" w:color="auto" w:fill="auto"/>
        <w:tabs>
          <w:tab w:val="left" w:pos="677"/>
        </w:tabs>
        <w:ind w:left="680" w:hanging="680"/>
        <w:jc w:val="both"/>
      </w:pPr>
      <w:r>
        <w:t xml:space="preserve">Příkazník zahájí </w:t>
      </w:r>
      <w:proofErr w:type="gramStart"/>
      <w:r>
        <w:t>svojí</w:t>
      </w:r>
      <w:proofErr w:type="gramEnd"/>
      <w:r>
        <w:t xml:space="preserve"> činnost ihned po nabytí účinnosti této smlouvy nebo na základě výzvy příkazce.</w:t>
      </w:r>
    </w:p>
    <w:p w:rsidR="00947EDA" w:rsidRDefault="00C2155C">
      <w:pPr>
        <w:pStyle w:val="Zkladntext"/>
        <w:numPr>
          <w:ilvl w:val="1"/>
          <w:numId w:val="2"/>
        </w:numPr>
        <w:shd w:val="clear" w:color="auto" w:fill="auto"/>
        <w:tabs>
          <w:tab w:val="left" w:pos="677"/>
        </w:tabs>
        <w:jc w:val="both"/>
      </w:pPr>
      <w:r>
        <w:t xml:space="preserve">Žádost o </w:t>
      </w:r>
      <w:proofErr w:type="spellStart"/>
      <w:r>
        <w:t>dostaci</w:t>
      </w:r>
      <w:proofErr w:type="spellEnd"/>
      <w:r>
        <w:t xml:space="preserve"> musí být předložena příkazci nejpozději do dne 01.02.2024.</w:t>
      </w:r>
    </w:p>
    <w:p w:rsidR="00947EDA" w:rsidRDefault="00C2155C">
      <w:pPr>
        <w:pStyle w:val="Zkladntext"/>
        <w:numPr>
          <w:ilvl w:val="1"/>
          <w:numId w:val="2"/>
        </w:numPr>
        <w:shd w:val="clear" w:color="auto" w:fill="auto"/>
        <w:tabs>
          <w:tab w:val="left" w:pos="677"/>
        </w:tabs>
        <w:ind w:left="680" w:hanging="680"/>
        <w:jc w:val="both"/>
      </w:pPr>
      <w:r>
        <w:t>Příkazce je oprávněn smlouvu vypovědět kdykoliv i bez udání důvodů, s jednoměsíční výpovědní lhůtou. V takovém případě má příkazník nárok na zaplacení pouze poměrné části odměny dle čl. 4. odst. 1 této smlouvy k jím doposud provedené činnosti, kterou doložil. Lhůta počíná běžet dnem doručení výpovědi.</w:t>
      </w:r>
    </w:p>
    <w:p w:rsidR="00947EDA" w:rsidRDefault="00C2155C">
      <w:pPr>
        <w:pStyle w:val="Zkladntext"/>
        <w:numPr>
          <w:ilvl w:val="1"/>
          <w:numId w:val="2"/>
        </w:numPr>
        <w:shd w:val="clear" w:color="auto" w:fill="auto"/>
        <w:tabs>
          <w:tab w:val="left" w:pos="677"/>
        </w:tabs>
        <w:ind w:left="680" w:hanging="680"/>
        <w:jc w:val="both"/>
      </w:pPr>
      <w:r>
        <w:t>Příkazník je oprávněn smlouvu jednostranně vypovědět i bez udání důvodu s jednoměsíční výpovědní lhůtou. V takovém případě má příkazník nárok na zaplacení pouze poměrné části odměny dle čl. 4. odst. 1 této smlouvy k jím doposud provedené činnosti, kterou doložil. Lhůta počíná běžet dnem doručení výpovědi.</w:t>
      </w:r>
    </w:p>
    <w:p w:rsidR="00947EDA" w:rsidRDefault="00C2155C">
      <w:pPr>
        <w:pStyle w:val="Zkladntext"/>
        <w:numPr>
          <w:ilvl w:val="1"/>
          <w:numId w:val="2"/>
        </w:numPr>
        <w:shd w:val="clear" w:color="auto" w:fill="auto"/>
        <w:tabs>
          <w:tab w:val="left" w:pos="677"/>
        </w:tabs>
        <w:ind w:left="680" w:hanging="680"/>
        <w:jc w:val="both"/>
      </w:pPr>
      <w:r>
        <w:t>Příkazce je oprávněn odstoupit od smlouvy v případě, kdy příkazník uvedl v nabídce informace nebo doklady, které neodpovídají skutečnosti a měly nebo mohly mít vliv na výsledek zadávacího řízení a/nebo v případě, že příkazník nedodá služby v souladu se smlouvou. Odstoupení od smlouvy je účinné dnem doručení písemného odstoupení příkazníkovi.</w:t>
      </w:r>
    </w:p>
    <w:p w:rsidR="00947EDA" w:rsidRDefault="00C2155C">
      <w:pPr>
        <w:pStyle w:val="Zkladntext"/>
        <w:numPr>
          <w:ilvl w:val="1"/>
          <w:numId w:val="2"/>
        </w:numPr>
        <w:shd w:val="clear" w:color="auto" w:fill="auto"/>
        <w:tabs>
          <w:tab w:val="left" w:pos="677"/>
        </w:tabs>
        <w:ind w:left="680" w:hanging="680"/>
        <w:jc w:val="both"/>
      </w:pPr>
      <w:r>
        <w:t>Příkazník je oprávněn odstoupit od smlouvy v případě, kdy se příkazce dostane do prodlení s úhradou odměny o více než 15 dnů.</w:t>
      </w:r>
    </w:p>
    <w:p w:rsidR="00947EDA" w:rsidRDefault="00C2155C">
      <w:pPr>
        <w:pStyle w:val="Heading10"/>
        <w:keepNext/>
        <w:keepLines/>
        <w:numPr>
          <w:ilvl w:val="0"/>
          <w:numId w:val="2"/>
        </w:numPr>
        <w:shd w:val="clear" w:color="auto" w:fill="auto"/>
        <w:tabs>
          <w:tab w:val="left" w:pos="677"/>
        </w:tabs>
        <w:jc w:val="both"/>
      </w:pPr>
      <w:bookmarkStart w:id="4" w:name="bookmark4"/>
      <w:bookmarkStart w:id="5" w:name="bookmark5"/>
      <w:r>
        <w:t>ODMĚNA</w:t>
      </w:r>
      <w:bookmarkEnd w:id="4"/>
      <w:bookmarkEnd w:id="5"/>
    </w:p>
    <w:p w:rsidR="00947EDA" w:rsidRDefault="00C2155C">
      <w:pPr>
        <w:pStyle w:val="Zkladntext"/>
        <w:numPr>
          <w:ilvl w:val="1"/>
          <w:numId w:val="2"/>
        </w:numPr>
        <w:shd w:val="clear" w:color="auto" w:fill="auto"/>
        <w:tabs>
          <w:tab w:val="left" w:pos="677"/>
        </w:tabs>
        <w:ind w:left="680" w:hanging="680"/>
        <w:jc w:val="both"/>
      </w:pPr>
      <w:r>
        <w:t xml:space="preserve">Odměna příkazce za splnění celého předmětu smlouvy činí částku ve výši 750 000,- Kč bez DPH, 157 500,- Kč DPH a 907 500,- Kč včetně DPH (dále jen </w:t>
      </w:r>
      <w:r>
        <w:rPr>
          <w:b/>
          <w:bCs/>
        </w:rPr>
        <w:t>„odměna").</w:t>
      </w:r>
    </w:p>
    <w:p w:rsidR="00947EDA" w:rsidRDefault="00C2155C">
      <w:pPr>
        <w:pStyle w:val="Zkladntext"/>
        <w:numPr>
          <w:ilvl w:val="1"/>
          <w:numId w:val="2"/>
        </w:numPr>
        <w:shd w:val="clear" w:color="auto" w:fill="auto"/>
        <w:tabs>
          <w:tab w:val="left" w:pos="677"/>
        </w:tabs>
        <w:ind w:left="680" w:hanging="680"/>
        <w:jc w:val="both"/>
      </w:pPr>
      <w:r>
        <w:t xml:space="preserve">Podkladem pro úhradu úplaty budou faktury, které budou mít náležitosti daňového dokladu dle zákona č. 235/2004 Sb., o dani z přidané hodnoty, ve znění pozdějších předpisů a náležitosti stanovené § 435 občanského zákoníku (dále jen </w:t>
      </w:r>
      <w:r>
        <w:rPr>
          <w:b/>
          <w:bCs/>
        </w:rPr>
        <w:t>„faktura").</w:t>
      </w:r>
    </w:p>
    <w:p w:rsidR="00947EDA" w:rsidRDefault="00C2155C">
      <w:pPr>
        <w:pStyle w:val="Zkladntext"/>
        <w:numPr>
          <w:ilvl w:val="1"/>
          <w:numId w:val="2"/>
        </w:numPr>
        <w:shd w:val="clear" w:color="auto" w:fill="auto"/>
        <w:tabs>
          <w:tab w:val="left" w:pos="677"/>
        </w:tabs>
        <w:jc w:val="both"/>
      </w:pPr>
      <w:r>
        <w:t>Odměna bude zaplacena na bankovní účet příkazníka uvedený na faktuře.</w:t>
      </w:r>
    </w:p>
    <w:p w:rsidR="00947EDA" w:rsidRDefault="00C2155C">
      <w:pPr>
        <w:pStyle w:val="Zkladntext"/>
        <w:numPr>
          <w:ilvl w:val="1"/>
          <w:numId w:val="2"/>
        </w:numPr>
        <w:shd w:val="clear" w:color="auto" w:fill="auto"/>
        <w:tabs>
          <w:tab w:val="left" w:pos="677"/>
        </w:tabs>
        <w:spacing w:line="252" w:lineRule="auto"/>
        <w:ind w:left="680" w:hanging="680"/>
        <w:jc w:val="both"/>
      </w:pPr>
      <w:r>
        <w:t>V úplatě jsou zahrnuty veškeré náklady příkazníka nutně nebo účelně vynaložené při plnění jeho veškerých závazků z této smlouvy.</w:t>
      </w:r>
    </w:p>
    <w:p w:rsidR="00947EDA" w:rsidRDefault="00C2155C">
      <w:pPr>
        <w:pStyle w:val="Zkladntext"/>
        <w:numPr>
          <w:ilvl w:val="1"/>
          <w:numId w:val="2"/>
        </w:numPr>
        <w:shd w:val="clear" w:color="auto" w:fill="auto"/>
        <w:tabs>
          <w:tab w:val="left" w:pos="677"/>
        </w:tabs>
        <w:jc w:val="both"/>
      </w:pPr>
      <w:r>
        <w:t>Úplata je dohodnuta jako nejvýše přípustná a platí po celou dobu platnosti smlouvy.</w:t>
      </w:r>
    </w:p>
    <w:p w:rsidR="00947EDA" w:rsidRDefault="00C2155C">
      <w:pPr>
        <w:pStyle w:val="Zkladntext"/>
        <w:numPr>
          <w:ilvl w:val="1"/>
          <w:numId w:val="2"/>
        </w:numPr>
        <w:shd w:val="clear" w:color="auto" w:fill="auto"/>
        <w:tabs>
          <w:tab w:val="left" w:pos="677"/>
        </w:tabs>
        <w:spacing w:line="252" w:lineRule="auto"/>
        <w:ind w:left="680" w:hanging="680"/>
        <w:jc w:val="both"/>
      </w:pPr>
      <w:r>
        <w:t>Strany se dohodly, že zálohy nebudou poskytovány a příkazník není oprávněn požadovat jejich vyplacení.</w:t>
      </w:r>
    </w:p>
    <w:p w:rsidR="00947EDA" w:rsidRDefault="00C2155C">
      <w:pPr>
        <w:pStyle w:val="Zkladntext"/>
        <w:numPr>
          <w:ilvl w:val="1"/>
          <w:numId w:val="2"/>
        </w:numPr>
        <w:shd w:val="clear" w:color="auto" w:fill="auto"/>
        <w:tabs>
          <w:tab w:val="left" w:pos="677"/>
        </w:tabs>
        <w:jc w:val="both"/>
      </w:pPr>
      <w:r>
        <w:t>Lhůta splatnosti faktur je stanovena na 30 kalendářních dnů po jejich doručení příkazci.</w:t>
      </w:r>
    </w:p>
    <w:p w:rsidR="00947EDA" w:rsidRDefault="00C2155C">
      <w:pPr>
        <w:pStyle w:val="Zkladntext"/>
        <w:numPr>
          <w:ilvl w:val="1"/>
          <w:numId w:val="2"/>
        </w:numPr>
        <w:shd w:val="clear" w:color="auto" w:fill="auto"/>
        <w:tabs>
          <w:tab w:val="left" w:pos="677"/>
        </w:tabs>
        <w:ind w:left="680" w:hanging="680"/>
        <w:jc w:val="both"/>
      </w:pPr>
      <w:r>
        <w:lastRenderedPageBreak/>
        <w:t>Nebude-li faktura obsahovat některou povinnou nebo dohodnutou náležitost, bude-li chybně vyúčtována úplata nebo DPH, je příkazce oprávněn fakturu před uplynutím lhůty splatnosti vrátit příkazníkovi k provedení opravy. Ve vrácené faktuře příkazce vyznačí důvod vrácení. Příkazník provede opravu vystavením nové faktury. Odesláním vadné faktury zpět příkazníkovi přestává běžet původní lhůta splatnosti. Celá lhůta splatnosti běží opět ode dne doručení nově vyhotovené faktury příkazci.</w:t>
      </w:r>
    </w:p>
    <w:p w:rsidR="00947EDA" w:rsidRDefault="00C2155C">
      <w:pPr>
        <w:pStyle w:val="Zkladntext"/>
        <w:numPr>
          <w:ilvl w:val="1"/>
          <w:numId w:val="2"/>
        </w:numPr>
        <w:shd w:val="clear" w:color="auto" w:fill="auto"/>
        <w:tabs>
          <w:tab w:val="left" w:pos="677"/>
        </w:tabs>
        <w:ind w:left="680" w:hanging="680"/>
        <w:jc w:val="both"/>
      </w:pPr>
      <w:r>
        <w:t>Příkazce je oprávněn provést kontrolu vyfakturovaných prací a činností. Příkazník je povinen oprávněným zástupcům příkazce provedení kontroly umožnit.</w:t>
      </w:r>
    </w:p>
    <w:p w:rsidR="00947EDA" w:rsidRDefault="00C2155C">
      <w:pPr>
        <w:pStyle w:val="Zkladntext"/>
        <w:numPr>
          <w:ilvl w:val="1"/>
          <w:numId w:val="2"/>
        </w:numPr>
        <w:shd w:val="clear" w:color="auto" w:fill="auto"/>
        <w:tabs>
          <w:tab w:val="left" w:pos="671"/>
        </w:tabs>
      </w:pPr>
      <w:r>
        <w:t>Povinnost zaplatit úplatu je splněna dnem odepsání příslušné částky z účtu příkazce.</w:t>
      </w:r>
    </w:p>
    <w:p w:rsidR="00947EDA" w:rsidRDefault="00C2155C">
      <w:pPr>
        <w:pStyle w:val="Heading10"/>
        <w:keepNext/>
        <w:keepLines/>
        <w:numPr>
          <w:ilvl w:val="0"/>
          <w:numId w:val="2"/>
        </w:numPr>
        <w:shd w:val="clear" w:color="auto" w:fill="auto"/>
        <w:tabs>
          <w:tab w:val="left" w:pos="671"/>
        </w:tabs>
      </w:pPr>
      <w:bookmarkStart w:id="6" w:name="bookmark6"/>
      <w:bookmarkStart w:id="7" w:name="bookmark7"/>
      <w:r>
        <w:t>SANKCE A SMLUVNÍ POKUTY</w:t>
      </w:r>
      <w:bookmarkEnd w:id="6"/>
      <w:bookmarkEnd w:id="7"/>
    </w:p>
    <w:p w:rsidR="00947EDA" w:rsidRDefault="00C2155C">
      <w:pPr>
        <w:pStyle w:val="Zkladntext"/>
        <w:numPr>
          <w:ilvl w:val="1"/>
          <w:numId w:val="2"/>
        </w:numPr>
        <w:shd w:val="clear" w:color="auto" w:fill="auto"/>
        <w:tabs>
          <w:tab w:val="left" w:pos="671"/>
        </w:tabs>
        <w:ind w:left="680" w:hanging="680"/>
        <w:jc w:val="both"/>
      </w:pPr>
      <w:r>
        <w:t>V případě prodlení příkazníka se splněním termínu poskytování služeb dle smlouvy je příkazce oprávněn účtovat příkazníkovi smluvní pokutu ve výši 2.000, - Kč za každý den prodlení a okamžitě odstoupit od smlouvy.</w:t>
      </w:r>
    </w:p>
    <w:p w:rsidR="00947EDA" w:rsidRDefault="00C2155C">
      <w:pPr>
        <w:pStyle w:val="Zkladntext"/>
        <w:numPr>
          <w:ilvl w:val="1"/>
          <w:numId w:val="2"/>
        </w:numPr>
        <w:shd w:val="clear" w:color="auto" w:fill="auto"/>
        <w:tabs>
          <w:tab w:val="left" w:pos="671"/>
        </w:tabs>
        <w:ind w:left="680" w:hanging="680"/>
        <w:jc w:val="both"/>
      </w:pPr>
      <w:r>
        <w:t>V případě, že příkazník neposkytne službu nebo jakoukoli její část v požadované kvalitě, je příkazce oprávněn zajistit bez souhlasu příkazníka náhradní plnění u třetí osoby a požadovat úhradu ceny za náhradní plnění po příkazníkovi. Cena za náhradní plnění bude stanovena ve výši v daném místě a čase obvyklé.</w:t>
      </w:r>
    </w:p>
    <w:p w:rsidR="00947EDA" w:rsidRDefault="00C2155C">
      <w:pPr>
        <w:pStyle w:val="Zkladntext"/>
        <w:numPr>
          <w:ilvl w:val="1"/>
          <w:numId w:val="2"/>
        </w:numPr>
        <w:shd w:val="clear" w:color="auto" w:fill="auto"/>
        <w:tabs>
          <w:tab w:val="left" w:pos="671"/>
        </w:tabs>
        <w:ind w:left="680" w:hanging="680"/>
        <w:jc w:val="both"/>
      </w:pPr>
      <w:r>
        <w:t>Smluvní pokuty budou placeny samostatně. Smluvní pokuty jsou splatné do třiceti (30) dnů ode dne doručení faktury příkazce k úhradě smluvní pokuty příkazníka.</w:t>
      </w:r>
    </w:p>
    <w:p w:rsidR="00947EDA" w:rsidRDefault="00C2155C">
      <w:pPr>
        <w:pStyle w:val="Zkladntext"/>
        <w:numPr>
          <w:ilvl w:val="1"/>
          <w:numId w:val="2"/>
        </w:numPr>
        <w:shd w:val="clear" w:color="auto" w:fill="auto"/>
        <w:tabs>
          <w:tab w:val="left" w:pos="671"/>
        </w:tabs>
      </w:pPr>
      <w:r>
        <w:t>Zaplacením smluvní pokuty není dotčen nárok příkazce na náhradu vzniklé škody v plné výši.</w:t>
      </w:r>
    </w:p>
    <w:p w:rsidR="00947EDA" w:rsidRDefault="00C2155C">
      <w:pPr>
        <w:pStyle w:val="Heading10"/>
        <w:keepNext/>
        <w:keepLines/>
        <w:numPr>
          <w:ilvl w:val="0"/>
          <w:numId w:val="2"/>
        </w:numPr>
        <w:shd w:val="clear" w:color="auto" w:fill="auto"/>
        <w:tabs>
          <w:tab w:val="left" w:pos="671"/>
        </w:tabs>
      </w:pPr>
      <w:bookmarkStart w:id="8" w:name="bookmark8"/>
      <w:bookmarkStart w:id="9" w:name="bookmark9"/>
      <w:r>
        <w:t>POVINNOSTI PŘÍKAZCE</w:t>
      </w:r>
      <w:bookmarkEnd w:id="8"/>
      <w:bookmarkEnd w:id="9"/>
    </w:p>
    <w:p w:rsidR="00947EDA" w:rsidRDefault="00C2155C">
      <w:pPr>
        <w:pStyle w:val="Zkladntext"/>
        <w:numPr>
          <w:ilvl w:val="1"/>
          <w:numId w:val="2"/>
        </w:numPr>
        <w:shd w:val="clear" w:color="auto" w:fill="auto"/>
        <w:tabs>
          <w:tab w:val="left" w:pos="671"/>
        </w:tabs>
        <w:spacing w:line="252" w:lineRule="auto"/>
        <w:ind w:left="680" w:hanging="680"/>
        <w:jc w:val="both"/>
      </w:pPr>
      <w:r>
        <w:t>Nehledě na výše uvedené je příkazník povinen vykonat takovou činnost, ke které ho pověří příkazce.</w:t>
      </w:r>
    </w:p>
    <w:p w:rsidR="00947EDA" w:rsidRDefault="00C2155C">
      <w:pPr>
        <w:pStyle w:val="Zkladntext"/>
        <w:numPr>
          <w:ilvl w:val="1"/>
          <w:numId w:val="2"/>
        </w:numPr>
        <w:shd w:val="clear" w:color="auto" w:fill="auto"/>
        <w:tabs>
          <w:tab w:val="left" w:pos="671"/>
        </w:tabs>
        <w:ind w:left="680" w:hanging="680"/>
        <w:jc w:val="both"/>
      </w:pPr>
      <w:r>
        <w:t>Příkazník se zavazuje, že jakékoliv informace, které se dověděl v souvislosti splněním předmětu smlouvy nebo které jsou obsahem předmětu smlouvy, neposkytne třetím osobám. Povinnosti mlčenlivosti může příkazníka zprostit pouze příkazce svým písemným prohlášením či zmocněním. Povinnost mlčenlivosti trvá i po skončení platnosti smlouvy.</w:t>
      </w:r>
    </w:p>
    <w:p w:rsidR="00947EDA" w:rsidRDefault="00C2155C">
      <w:pPr>
        <w:pStyle w:val="Zkladntext"/>
        <w:numPr>
          <w:ilvl w:val="1"/>
          <w:numId w:val="2"/>
        </w:numPr>
        <w:shd w:val="clear" w:color="auto" w:fill="auto"/>
        <w:tabs>
          <w:tab w:val="left" w:pos="671"/>
        </w:tabs>
        <w:spacing w:line="252" w:lineRule="auto"/>
        <w:ind w:left="680" w:hanging="680"/>
        <w:jc w:val="both"/>
      </w:pPr>
      <w:r>
        <w:t>Příkazník nesmí bez souhlasu příkazce postoupit svá práva a povinnosti plynoucí ze smlouvy třetí osobě.</w:t>
      </w:r>
    </w:p>
    <w:p w:rsidR="00947EDA" w:rsidRDefault="00C2155C">
      <w:pPr>
        <w:pStyle w:val="Zkladntext"/>
        <w:numPr>
          <w:ilvl w:val="1"/>
          <w:numId w:val="2"/>
        </w:numPr>
        <w:shd w:val="clear" w:color="auto" w:fill="auto"/>
        <w:tabs>
          <w:tab w:val="left" w:pos="671"/>
        </w:tabs>
      </w:pPr>
      <w:r>
        <w:t>Příkazník není oprávněn se odchýlit od pokynů příkazce.</w:t>
      </w:r>
    </w:p>
    <w:p w:rsidR="00947EDA" w:rsidRDefault="00C2155C">
      <w:pPr>
        <w:pStyle w:val="Heading10"/>
        <w:keepNext/>
        <w:keepLines/>
        <w:numPr>
          <w:ilvl w:val="0"/>
          <w:numId w:val="2"/>
        </w:numPr>
        <w:shd w:val="clear" w:color="auto" w:fill="auto"/>
        <w:tabs>
          <w:tab w:val="left" w:pos="671"/>
        </w:tabs>
      </w:pPr>
      <w:bookmarkStart w:id="10" w:name="bookmark10"/>
      <w:bookmarkStart w:id="11" w:name="bookmark11"/>
      <w:r>
        <w:t>ODPOVĚDNOST ZA ŠKODU A POJIŠTĚNÍ</w:t>
      </w:r>
      <w:bookmarkEnd w:id="10"/>
      <w:bookmarkEnd w:id="11"/>
    </w:p>
    <w:p w:rsidR="00947EDA" w:rsidRDefault="00C2155C">
      <w:pPr>
        <w:pStyle w:val="Zkladntext"/>
        <w:numPr>
          <w:ilvl w:val="1"/>
          <w:numId w:val="2"/>
        </w:numPr>
        <w:shd w:val="clear" w:color="auto" w:fill="auto"/>
        <w:tabs>
          <w:tab w:val="left" w:pos="671"/>
        </w:tabs>
        <w:spacing w:line="257" w:lineRule="auto"/>
        <w:ind w:left="680" w:hanging="680"/>
        <w:jc w:val="both"/>
      </w:pPr>
      <w:r>
        <w:t>Odpovědnost za škodu se řídí příslušnými ustanoveními občanského zákoníku, nestanoví-li smlouva jinak.</w:t>
      </w:r>
    </w:p>
    <w:p w:rsidR="00947EDA" w:rsidRDefault="00C2155C">
      <w:pPr>
        <w:pStyle w:val="Zkladntext"/>
        <w:numPr>
          <w:ilvl w:val="1"/>
          <w:numId w:val="2"/>
        </w:numPr>
        <w:shd w:val="clear" w:color="auto" w:fill="auto"/>
        <w:tabs>
          <w:tab w:val="left" w:pos="671"/>
        </w:tabs>
        <w:ind w:left="680" w:hanging="680"/>
        <w:jc w:val="both"/>
      </w:pPr>
      <w:r>
        <w:t>Příkazník odpovídá za škodu, která příkazci vznikne v důsledku vadného plnění, a to v plném rozsahu. Za škodu se považuje i újma, která příkazci vznikla tím, že musel vynaložit náklady v důsledku porušení povinností příkazníka.</w:t>
      </w:r>
    </w:p>
    <w:p w:rsidR="00947EDA" w:rsidRDefault="00C2155C">
      <w:pPr>
        <w:pStyle w:val="Zkladntext"/>
        <w:numPr>
          <w:ilvl w:val="1"/>
          <w:numId w:val="2"/>
        </w:numPr>
        <w:shd w:val="clear" w:color="auto" w:fill="auto"/>
        <w:tabs>
          <w:tab w:val="left" w:pos="671"/>
        </w:tabs>
        <w:ind w:left="680" w:hanging="680"/>
        <w:jc w:val="both"/>
      </w:pPr>
      <w:r>
        <w:t>Příkazník se zavazuje, že po celou dobu plnění svého závazku z této smlouvy bude mít na vlastní náklady sjednáno profesní pojištění odpovědnosti za škodu způsobenou třetím osobám vyplývající z dodávaného předmětu smlouvy.</w:t>
      </w:r>
    </w:p>
    <w:p w:rsidR="00947EDA" w:rsidRDefault="00C2155C">
      <w:pPr>
        <w:pStyle w:val="Heading10"/>
        <w:keepNext/>
        <w:keepLines/>
        <w:numPr>
          <w:ilvl w:val="0"/>
          <w:numId w:val="2"/>
        </w:numPr>
        <w:shd w:val="clear" w:color="auto" w:fill="auto"/>
        <w:tabs>
          <w:tab w:val="left" w:pos="671"/>
        </w:tabs>
      </w:pPr>
      <w:bookmarkStart w:id="12" w:name="bookmark12"/>
      <w:bookmarkStart w:id="13" w:name="bookmark13"/>
      <w:r>
        <w:lastRenderedPageBreak/>
        <w:t>ROZHODNÉ PRÁVO</w:t>
      </w:r>
      <w:bookmarkEnd w:id="12"/>
      <w:bookmarkEnd w:id="13"/>
    </w:p>
    <w:p w:rsidR="00947EDA" w:rsidRDefault="00C2155C">
      <w:pPr>
        <w:pStyle w:val="Zkladntext"/>
        <w:shd w:val="clear" w:color="auto" w:fill="auto"/>
        <w:spacing w:line="252" w:lineRule="auto"/>
        <w:ind w:left="680"/>
        <w:jc w:val="both"/>
      </w:pPr>
      <w:r>
        <w:t>Smlouva se řídí českým právem, zejména ustanoveními zákona č. 89/2012 Sb., občanský zákoník, v platném znění.</w:t>
      </w:r>
    </w:p>
    <w:p w:rsidR="00947EDA" w:rsidRDefault="00C2155C">
      <w:pPr>
        <w:pStyle w:val="Zkladntext"/>
        <w:numPr>
          <w:ilvl w:val="0"/>
          <w:numId w:val="2"/>
        </w:numPr>
        <w:shd w:val="clear" w:color="auto" w:fill="auto"/>
        <w:tabs>
          <w:tab w:val="left" w:pos="671"/>
        </w:tabs>
      </w:pPr>
      <w:r>
        <w:rPr>
          <w:b/>
          <w:bCs/>
        </w:rPr>
        <w:t>STEJNOPISY</w:t>
      </w:r>
      <w:r>
        <w:br w:type="page"/>
      </w:r>
    </w:p>
    <w:p w:rsidR="00947EDA" w:rsidRDefault="00C2155C">
      <w:pPr>
        <w:pStyle w:val="Zkladntext"/>
        <w:shd w:val="clear" w:color="auto" w:fill="auto"/>
        <w:spacing w:line="252" w:lineRule="auto"/>
        <w:ind w:left="680"/>
        <w:jc w:val="both"/>
      </w:pPr>
      <w:r>
        <w:lastRenderedPageBreak/>
        <w:t>Tato smlouva je vyhotovena ve dvou (2) stejnopisech, přičemž každá strana obdrží po jednom (1) stejnopisu.</w:t>
      </w:r>
    </w:p>
    <w:p w:rsidR="00947EDA" w:rsidRDefault="00C2155C">
      <w:pPr>
        <w:pStyle w:val="Heading10"/>
        <w:keepNext/>
        <w:keepLines/>
        <w:numPr>
          <w:ilvl w:val="0"/>
          <w:numId w:val="2"/>
        </w:numPr>
        <w:shd w:val="clear" w:color="auto" w:fill="auto"/>
        <w:tabs>
          <w:tab w:val="left" w:pos="664"/>
        </w:tabs>
      </w:pPr>
      <w:bookmarkStart w:id="14" w:name="bookmark14"/>
      <w:bookmarkStart w:id="15" w:name="bookmark15"/>
      <w:r>
        <w:t>PLATNOST A ÚČINNOST</w:t>
      </w:r>
      <w:bookmarkEnd w:id="14"/>
      <w:bookmarkEnd w:id="15"/>
    </w:p>
    <w:p w:rsidR="00947EDA" w:rsidRDefault="00C2155C">
      <w:pPr>
        <w:pStyle w:val="Zkladntext"/>
        <w:numPr>
          <w:ilvl w:val="1"/>
          <w:numId w:val="2"/>
        </w:numPr>
        <w:shd w:val="clear" w:color="auto" w:fill="auto"/>
        <w:tabs>
          <w:tab w:val="left" w:pos="664"/>
        </w:tabs>
        <w:ind w:left="680" w:hanging="680"/>
        <w:jc w:val="both"/>
      </w:pPr>
      <w:r>
        <w:t>Tato smlouva nabývá platnosti dnem jejího podpisu poslední stranou a účinnosti okamžikem uveřejnění v Registru smluv podle zvláštního právního předpisu.</w:t>
      </w:r>
    </w:p>
    <w:p w:rsidR="00947EDA" w:rsidRDefault="00C2155C">
      <w:pPr>
        <w:pStyle w:val="Zkladntext"/>
        <w:numPr>
          <w:ilvl w:val="1"/>
          <w:numId w:val="2"/>
        </w:numPr>
        <w:shd w:val="clear" w:color="auto" w:fill="auto"/>
        <w:tabs>
          <w:tab w:val="left" w:pos="664"/>
        </w:tabs>
        <w:ind w:left="680" w:hanging="680"/>
        <w:jc w:val="both"/>
      </w:pPr>
      <w:r>
        <w:t>Příkazník bere na vědomí, že je příkazce povinen zveřejnit elektronický obraz textového obsahu této smlouvy a jejích případných změn (dodatků) a dalších smluv od této smlouvy odvozených včetně metadat požadovaných k uveřejnění dle zákona č. 340/2015 Sb., o Registru smluv. Příkazník prohlašuje, že tato smlouva neobsahuje obchodní tajemství a uděluje tímto souhlas příkazci k uveřejnění smlouvy a všech pokladů, údajů a informací uvedených v této smlouvě a těch, k jejichž uveřejnění vyplývá pro příkazce povinnost dle právních předpisů.</w:t>
      </w:r>
    </w:p>
    <w:p w:rsidR="00947EDA" w:rsidRDefault="00C2155C">
      <w:pPr>
        <w:pStyle w:val="Zkladntext"/>
        <w:shd w:val="clear" w:color="auto" w:fill="auto"/>
      </w:pPr>
      <w:r>
        <w:rPr>
          <w:b/>
          <w:bCs/>
        </w:rPr>
        <w:t xml:space="preserve">NA DŮKAZ ČEHOŽ </w:t>
      </w:r>
      <w:r>
        <w:t>připojují strany vlastnoruční podpisy:</w:t>
      </w:r>
    </w:p>
    <w:p w:rsidR="00947EDA" w:rsidRDefault="00C2155C">
      <w:pPr>
        <w:pStyle w:val="Zkladntext"/>
        <w:shd w:val="clear" w:color="auto" w:fill="auto"/>
        <w:spacing w:after="1200"/>
      </w:pPr>
      <w:r>
        <w:t>Podpis</w:t>
      </w:r>
    </w:p>
    <w:p w:rsidR="00947EDA" w:rsidRDefault="00C2155C" w:rsidP="00CC6AA8">
      <w:pPr>
        <w:pStyle w:val="Heading10"/>
        <w:keepNext/>
        <w:keepLines/>
        <w:shd w:val="clear" w:color="auto" w:fill="auto"/>
        <w:spacing w:after="360" w:line="252" w:lineRule="auto"/>
      </w:pPr>
      <w:r>
        <w:rPr>
          <w:noProof/>
        </w:rPr>
        <mc:AlternateContent>
          <mc:Choice Requires="wps">
            <w:drawing>
              <wp:anchor distT="0" distB="0" distL="0" distR="0" simplePos="0" relativeHeight="251658240" behindDoc="0" locked="0" layoutInCell="1" allowOverlap="1">
                <wp:simplePos x="0" y="0"/>
                <wp:positionH relativeFrom="page">
                  <wp:posOffset>4083685</wp:posOffset>
                </wp:positionH>
                <wp:positionV relativeFrom="margin">
                  <wp:posOffset>3240405</wp:posOffset>
                </wp:positionV>
                <wp:extent cx="1374775" cy="204470"/>
                <wp:effectExtent l="0" t="0" r="0" b="0"/>
                <wp:wrapNone/>
                <wp:docPr id="3" name="Shape 3"/>
                <wp:cNvGraphicFramePr/>
                <a:graphic xmlns:a="http://schemas.openxmlformats.org/drawingml/2006/main">
                  <a:graphicData uri="http://schemas.microsoft.com/office/word/2010/wordprocessingShape">
                    <wps:wsp>
                      <wps:cNvSpPr txBox="1"/>
                      <wps:spPr>
                        <a:xfrm>
                          <a:off x="0" y="0"/>
                          <a:ext cx="1374775" cy="204470"/>
                        </a:xfrm>
                        <a:prstGeom prst="rect">
                          <a:avLst/>
                        </a:prstGeom>
                        <a:noFill/>
                      </wps:spPr>
                      <wps:txbx>
                        <w:txbxContent>
                          <w:p w:rsidR="00947EDA" w:rsidRDefault="00947EDA">
                            <w:pPr>
                              <w:pStyle w:val="Picturecaption0"/>
                              <w:shd w:val="clear" w:color="auto" w:fill="auto"/>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21.55pt;margin-top:255.15pt;width:108.25pt;height:16.1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" filled="f" stroked="f">
                <v:textbox inset="0,0,0,0">
                  <w:txbxContent>
                    <w:p w:rsidR="00947EDA" w:rsidRDefault="00947EDA">
                      <w:pPr>
                        <w:pStyle w:val="Picturecaption0"/>
                        <w:shd w:val="clear" w:color="auto" w:fill="auto"/>
                      </w:pPr>
                    </w:p>
                  </w:txbxContent>
                </v:textbox>
                <w10:wrap anchorx="page" anchory="margin"/>
              </v:shape>
            </w:pict>
          </mc:Fallback>
        </mc:AlternateContent>
      </w:r>
      <w:r>
        <w:rPr>
          <w:noProof/>
        </w:rPr>
        <mc:AlternateContent>
          <mc:Choice Requires="wps">
            <w:drawing>
              <wp:anchor distT="0" distB="0" distL="0" distR="0" simplePos="0" relativeHeight="251659264" behindDoc="0" locked="0" layoutInCell="1" allowOverlap="1">
                <wp:simplePos x="0" y="0"/>
                <wp:positionH relativeFrom="page">
                  <wp:posOffset>4107815</wp:posOffset>
                </wp:positionH>
                <wp:positionV relativeFrom="margin">
                  <wp:posOffset>2825750</wp:posOffset>
                </wp:positionV>
                <wp:extent cx="414655" cy="179705"/>
                <wp:effectExtent l="0" t="0" r="0" b="0"/>
                <wp:wrapNone/>
                <wp:docPr id="5" name="Shape 5"/>
                <wp:cNvGraphicFramePr/>
                <a:graphic xmlns:a="http://schemas.openxmlformats.org/drawingml/2006/main">
                  <a:graphicData uri="http://schemas.microsoft.com/office/word/2010/wordprocessingShape">
                    <wps:wsp>
                      <wps:cNvSpPr txBox="1"/>
                      <wps:spPr>
                        <a:xfrm>
                          <a:off x="0" y="0"/>
                          <a:ext cx="414655" cy="179705"/>
                        </a:xfrm>
                        <a:prstGeom prst="rect">
                          <a:avLst/>
                        </a:prstGeom>
                        <a:noFill/>
                      </wps:spPr>
                      <wps:txbx>
                        <w:txbxContent>
                          <w:p w:rsidR="00947EDA" w:rsidRDefault="00C2155C">
                            <w:pPr>
                              <w:pStyle w:val="Picturecaption0"/>
                              <w:shd w:val="clear" w:color="auto" w:fill="auto"/>
                              <w:rPr>
                                <w:sz w:val="20"/>
                                <w:szCs w:val="20"/>
                              </w:rPr>
                            </w:pPr>
                            <w:r>
                              <w:rPr>
                                <w:rFonts w:ascii="Calibri" w:eastAsia="Calibri" w:hAnsi="Calibri" w:cs="Calibri"/>
                                <w:b w:val="0"/>
                                <w:bCs w:val="0"/>
                                <w:sz w:val="20"/>
                                <w:szCs w:val="20"/>
                              </w:rPr>
                              <w:t>Podpis:</w:t>
                            </w:r>
                          </w:p>
                        </w:txbxContent>
                      </wps:txbx>
                      <wps:bodyPr lIns="0" tIns="0" rIns="0" bIns="0"/>
                    </wps:wsp>
                  </a:graphicData>
                </a:graphic>
              </wp:anchor>
            </w:drawing>
          </mc:Choice>
          <mc:Fallback>
            <w:pict>
              <v:shape id="Shape 5" o:spid="_x0000_s1027" type="#_x0000_t202" style="position:absolute;margin-left:323.45pt;margin-top:222.5pt;width:32.65pt;height:14.15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" filled="f" stroked="f">
                <v:textbox inset="0,0,0,0">
                  <w:txbxContent>
                    <w:p w:rsidR="00947EDA" w:rsidRDefault="00C2155C">
                      <w:pPr>
                        <w:pStyle w:val="Picturecaption0"/>
                        <w:shd w:val="clear" w:color="auto" w:fill="auto"/>
                        <w:rPr>
                          <w:sz w:val="20"/>
                          <w:szCs w:val="20"/>
                        </w:rPr>
                      </w:pPr>
                      <w:r>
                        <w:rPr>
                          <w:rFonts w:ascii="Calibri" w:eastAsia="Calibri" w:hAnsi="Calibri" w:cs="Calibri"/>
                          <w:b w:val="0"/>
                          <w:bCs w:val="0"/>
                          <w:sz w:val="20"/>
                          <w:szCs w:val="20"/>
                        </w:rPr>
                        <w:t>Podpis:</w:t>
                      </w:r>
                    </w:p>
                  </w:txbxContent>
                </v:textbox>
                <w10:wrap anchorx="page" anchory="margin"/>
              </v:shape>
            </w:pict>
          </mc:Fallback>
        </mc:AlternateContent>
      </w:r>
      <w:r>
        <w:rPr>
          <w:noProof/>
        </w:rPr>
        <mc:AlternateContent>
          <mc:Choice Requires="wps">
            <w:drawing>
              <wp:anchor distT="0" distB="567055" distL="114300" distR="114300" simplePos="0" relativeHeight="125829379" behindDoc="0" locked="0" layoutInCell="1" allowOverlap="1">
                <wp:simplePos x="0" y="0"/>
                <wp:positionH relativeFrom="page">
                  <wp:posOffset>1062990</wp:posOffset>
                </wp:positionH>
                <wp:positionV relativeFrom="margin">
                  <wp:posOffset>3761105</wp:posOffset>
                </wp:positionV>
                <wp:extent cx="1621790" cy="17970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621790" cy="179705"/>
                        </a:xfrm>
                        <a:prstGeom prst="rect">
                          <a:avLst/>
                        </a:prstGeom>
                        <a:noFill/>
                      </wps:spPr>
                      <wps:txbx>
                        <w:txbxContent>
                          <w:p w:rsidR="00947EDA" w:rsidRDefault="00947EDA">
                            <w:pPr>
                              <w:pStyle w:val="Zkladntext"/>
                              <w:shd w:val="clear" w:color="auto" w:fill="auto"/>
                              <w:spacing w:after="0"/>
                            </w:pPr>
                          </w:p>
                        </w:txbxContent>
                      </wps:txbx>
                      <wps:bodyPr wrap="none" lIns="0" tIns="0" rIns="0" bIns="0"/>
                    </wps:wsp>
                  </a:graphicData>
                </a:graphic>
              </wp:anchor>
            </w:drawing>
          </mc:Choice>
          <mc:Fallback>
            <w:pict>
              <v:shape id="Shape 7" o:spid="_x0000_s1028" type="#_x0000_t202" style="position:absolute;margin-left:83.7pt;margin-top:296.15pt;width:127.7pt;height:14.15pt;z-index:125829379;visibility:visible;mso-wrap-style:none;mso-wrap-distance-left:9pt;mso-wrap-distance-top:0;mso-wrap-distance-right:9pt;mso-wrap-distance-bottom:44.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" filled="f" stroked="f">
                <v:textbox inset="0,0,0,0">
                  <w:txbxContent>
                    <w:p w:rsidR="00947EDA" w:rsidRDefault="00947EDA">
                      <w:pPr>
                        <w:pStyle w:val="Zkladntext"/>
                        <w:shd w:val="clear" w:color="auto" w:fill="auto"/>
                        <w:spacing w:after="0"/>
                      </w:pPr>
                    </w:p>
                  </w:txbxContent>
                </v:textbox>
                <w10:wrap type="square" side="right" anchorx="page" anchory="margin"/>
              </v:shape>
            </w:pict>
          </mc:Fallback>
        </mc:AlternateContent>
      </w:r>
      <w:r>
        <w:rPr>
          <w:noProof/>
        </w:rPr>
        <mc:AlternateContent>
          <mc:Choice Requires="wps">
            <w:drawing>
              <wp:anchor distT="326390" distB="194945" distL="800100" distR="285115" simplePos="0" relativeHeight="125829381" behindDoc="0" locked="0" layoutInCell="1" allowOverlap="1">
                <wp:simplePos x="0" y="0"/>
                <wp:positionH relativeFrom="page">
                  <wp:posOffset>1748790</wp:posOffset>
                </wp:positionH>
                <wp:positionV relativeFrom="margin">
                  <wp:posOffset>4087495</wp:posOffset>
                </wp:positionV>
                <wp:extent cx="765175" cy="22542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765175" cy="225425"/>
                        </a:xfrm>
                        <a:prstGeom prst="rect">
                          <a:avLst/>
                        </a:prstGeom>
                        <a:noFill/>
                      </wps:spPr>
                      <wps:txbx>
                        <w:txbxContent>
                          <w:p w:rsidR="00947EDA" w:rsidRDefault="00947EDA">
                            <w:pPr>
                              <w:pStyle w:val="Bodytext30"/>
                              <w:pBdr>
                                <w:bottom w:val="single" w:sz="4" w:space="0" w:color="auto"/>
                              </w:pBdr>
                              <w:shd w:val="clear" w:color="auto" w:fill="auto"/>
                            </w:pPr>
                          </w:p>
                        </w:txbxContent>
                      </wps:txbx>
                      <wps:bodyPr wrap="none" lIns="0" tIns="0" rIns="0" bIns="0"/>
                    </wps:wsp>
                  </a:graphicData>
                </a:graphic>
              </wp:anchor>
            </w:drawing>
          </mc:Choice>
          <mc:Fallback>
            <w:pict>
              <v:shape id="Shape 9" o:spid="_x0000_s1029" type="#_x0000_t202" style="position:absolute;margin-left:137.7pt;margin-top:321.85pt;width:60.25pt;height:17.75pt;z-index:125829381;visibility:visible;mso-wrap-style:none;mso-wrap-distance-left:63pt;mso-wrap-distance-top:25.7pt;mso-wrap-distance-right:22.45pt;mso-wrap-distance-bottom:15.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" filled="f" stroked="f">
                <v:textbox inset="0,0,0,0">
                  <w:txbxContent>
                    <w:p w:rsidR="00947EDA" w:rsidRDefault="00947EDA">
                      <w:pPr>
                        <w:pStyle w:val="Bodytext30"/>
                        <w:pBdr>
                          <w:bottom w:val="single" w:sz="4" w:space="0" w:color="auto"/>
                        </w:pBdr>
                        <w:shd w:val="clear" w:color="auto" w:fill="auto"/>
                      </w:pPr>
                    </w:p>
                  </w:txbxContent>
                </v:textbox>
                <w10:wrap type="square" side="right" anchorx="page" anchory="margin"/>
              </v:shape>
            </w:pict>
          </mc:Fallback>
        </mc:AlternateContent>
      </w:r>
      <w:r>
        <w:rPr>
          <w:noProof/>
        </w:rPr>
        <mc:AlternateContent>
          <mc:Choice Requires="wps">
            <w:drawing>
              <wp:anchor distT="567055" distB="0" distL="120650" distR="1321435" simplePos="0" relativeHeight="125829383" behindDoc="0" locked="0" layoutInCell="1" allowOverlap="1">
                <wp:simplePos x="0" y="0"/>
                <wp:positionH relativeFrom="page">
                  <wp:posOffset>1069340</wp:posOffset>
                </wp:positionH>
                <wp:positionV relativeFrom="margin">
                  <wp:posOffset>4328160</wp:posOffset>
                </wp:positionV>
                <wp:extent cx="408305" cy="179705"/>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408305" cy="179705"/>
                        </a:xfrm>
                        <a:prstGeom prst="rect">
                          <a:avLst/>
                        </a:prstGeom>
                        <a:noFill/>
                      </wps:spPr>
                      <wps:txbx>
                        <w:txbxContent>
                          <w:p w:rsidR="00947EDA" w:rsidRDefault="00947EDA">
                            <w:pPr>
                              <w:pStyle w:val="Zkladntext"/>
                              <w:shd w:val="clear" w:color="auto" w:fill="auto"/>
                              <w:spacing w:after="0"/>
                            </w:pPr>
                          </w:p>
                        </w:txbxContent>
                      </wps:txbx>
                      <wps:bodyPr wrap="none" lIns="0" tIns="0" rIns="0" bIns="0"/>
                    </wps:wsp>
                  </a:graphicData>
                </a:graphic>
              </wp:anchor>
            </w:drawing>
          </mc:Choice>
          <mc:Fallback>
            <w:pict>
              <v:shape id="Shape 11" o:spid="_x0000_s1030" type="#_x0000_t202" style="position:absolute;margin-left:84.2pt;margin-top:340.8pt;width:32.15pt;height:14.15pt;z-index:125829383;visibility:visible;mso-wrap-style:none;mso-wrap-distance-left:9.5pt;mso-wrap-distance-top:44.65pt;mso-wrap-distance-right:104.0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" filled="f" stroked="f">
                <v:textbox inset="0,0,0,0">
                  <w:txbxContent>
                    <w:p w:rsidR="00947EDA" w:rsidRDefault="00947EDA">
                      <w:pPr>
                        <w:pStyle w:val="Zkladntext"/>
                        <w:shd w:val="clear" w:color="auto" w:fill="auto"/>
                        <w:spacing w:after="0"/>
                      </w:pPr>
                    </w:p>
                  </w:txbxContent>
                </v:textbox>
                <w10:wrap type="square" side="right" anchorx="page" anchory="margin"/>
              </v:shape>
            </w:pict>
          </mc:Fallback>
        </mc:AlternateContent>
      </w:r>
    </w:p>
    <w:p w:rsidR="00947EDA" w:rsidRDefault="00947EDA">
      <w:pPr>
        <w:pStyle w:val="Bodytext20"/>
        <w:framePr w:w="1440" w:h="240" w:wrap="none" w:vAnchor="text" w:hAnchor="page" w:x="3883" w:y="44"/>
        <w:shd w:val="clear" w:color="auto" w:fill="auto"/>
      </w:pPr>
    </w:p>
    <w:p w:rsidR="00947EDA" w:rsidRDefault="00C2155C">
      <w:pPr>
        <w:pStyle w:val="Bodytext20"/>
        <w:framePr w:w="278" w:h="250" w:wrap="none" w:vAnchor="text" w:hAnchor="page" w:x="5040" w:y="481"/>
        <w:shd w:val="clear" w:color="auto" w:fill="auto"/>
      </w:pPr>
      <w:r>
        <w:rPr>
          <w:color w:val="74A9C9"/>
        </w:rPr>
        <w:t>(D</w:t>
      </w:r>
    </w:p>
    <w:p w:rsidR="00947EDA" w:rsidRDefault="00947EDA">
      <w:pPr>
        <w:spacing w:line="360" w:lineRule="exact"/>
      </w:pPr>
    </w:p>
    <w:p w:rsidR="00947EDA" w:rsidRDefault="00947EDA">
      <w:pPr>
        <w:spacing w:after="369" w:line="1" w:lineRule="exact"/>
      </w:pPr>
    </w:p>
    <w:p w:rsidR="00947EDA" w:rsidRDefault="00947EDA">
      <w:pPr>
        <w:spacing w:line="1" w:lineRule="exact"/>
      </w:pPr>
      <w:bookmarkStart w:id="16" w:name="_GoBack"/>
      <w:bookmarkEnd w:id="16"/>
    </w:p>
    <w:sectPr w:rsidR="00947EDA">
      <w:footerReference w:type="default" r:id="rId7"/>
      <w:type w:val="continuous"/>
      <w:pgSz w:w="11900" w:h="16840"/>
      <w:pgMar w:top="1854" w:right="1551" w:bottom="1077" w:left="17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F0A" w:rsidRDefault="00627F0A">
      <w:r>
        <w:separator/>
      </w:r>
    </w:p>
  </w:endnote>
  <w:endnote w:type="continuationSeparator" w:id="0">
    <w:p w:rsidR="00627F0A" w:rsidRDefault="0062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EDA" w:rsidRDefault="00C2155C">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3648075</wp:posOffset>
              </wp:positionH>
              <wp:positionV relativeFrom="page">
                <wp:posOffset>9949815</wp:posOffset>
              </wp:positionV>
              <wp:extent cx="225425" cy="100330"/>
              <wp:effectExtent l="0" t="0" r="0" b="0"/>
              <wp:wrapNone/>
              <wp:docPr id="13" name="Shape 13"/>
              <wp:cNvGraphicFramePr/>
              <a:graphic xmlns:a="http://schemas.openxmlformats.org/drawingml/2006/main">
                <a:graphicData uri="http://schemas.microsoft.com/office/word/2010/wordprocessingShape">
                  <wps:wsp>
                    <wps:cNvSpPr txBox="1"/>
                    <wps:spPr>
                      <a:xfrm>
                        <a:off x="0" y="0"/>
                        <a:ext cx="225425" cy="100330"/>
                      </a:xfrm>
                      <a:prstGeom prst="rect">
                        <a:avLst/>
                      </a:prstGeom>
                      <a:noFill/>
                    </wps:spPr>
                    <wps:txbx>
                      <w:txbxContent>
                        <w:p w:rsidR="00947EDA" w:rsidRDefault="00C2155C">
                          <w:pPr>
                            <w:pStyle w:val="Headerorfooter20"/>
                            <w:shd w:val="clear" w:color="auto" w:fill="auto"/>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1" type="#_x0000_t202" style="position:absolute;margin-left:287.25pt;margin-top:783.45pt;width:17.7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" filled="f" stroked="f">
              <v:textbox style="mso-fit-shape-to-text:t" inset="0,0,0,0">
                <w:txbxContent>
                  <w:p w:rsidR="00947EDA" w:rsidRDefault="00C2155C">
                    <w:pPr>
                      <w:pStyle w:val="Headerorfooter20"/>
                      <w:shd w:val="clear" w:color="auto" w:fill="auto"/>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F0A" w:rsidRDefault="00627F0A"/>
  </w:footnote>
  <w:footnote w:type="continuationSeparator" w:id="0">
    <w:p w:rsidR="00627F0A" w:rsidRDefault="00627F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1743"/>
    <w:multiLevelType w:val="multilevel"/>
    <w:tmpl w:val="31B69B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61F85"/>
    <w:multiLevelType w:val="multilevel"/>
    <w:tmpl w:val="D77EAE78"/>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0338A1"/>
    <w:multiLevelType w:val="multilevel"/>
    <w:tmpl w:val="7E8A102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EDA"/>
    <w:rsid w:val="00086C4B"/>
    <w:rsid w:val="00240449"/>
    <w:rsid w:val="00627F0A"/>
    <w:rsid w:val="00947EDA"/>
    <w:rsid w:val="00BD7B39"/>
    <w:rsid w:val="00C2155C"/>
    <w:rsid w:val="00CC6A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94E0"/>
  <w15:docId w15:val="{BCC491E9-C410-4FF2-BB33-204E4271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
    <w:name w:val="Picture caption_"/>
    <w:basedOn w:val="Standardnpsmoodstavce"/>
    <w:link w:val="Picturecaption0"/>
    <w:rPr>
      <w:rFonts w:ascii="Arial" w:eastAsia="Arial" w:hAnsi="Arial" w:cs="Arial"/>
      <w:b/>
      <w:bCs/>
      <w:i w:val="0"/>
      <w:iCs w:val="0"/>
      <w:smallCaps w:val="0"/>
      <w:strike w:val="0"/>
      <w:sz w:val="11"/>
      <w:szCs w:val="11"/>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sz w:val="20"/>
      <w:szCs w:val="20"/>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24"/>
      <w:szCs w:val="24"/>
      <w:u w:val="none"/>
    </w:rPr>
  </w:style>
  <w:style w:type="character" w:customStyle="1" w:styleId="Heading1">
    <w:name w:val="Heading #1_"/>
    <w:basedOn w:val="Standardnpsmoodstavce"/>
    <w:link w:val="Heading10"/>
    <w:rPr>
      <w:rFonts w:ascii="Calibri" w:eastAsia="Calibri" w:hAnsi="Calibri" w:cs="Calibri"/>
      <w:b/>
      <w:bCs/>
      <w:i w:val="0"/>
      <w:iCs w:val="0"/>
      <w:smallCaps w:val="0"/>
      <w:strike w:val="0"/>
      <w:sz w:val="20"/>
      <w:szCs w:val="20"/>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color w:val="9FBFCB"/>
      <w:sz w:val="17"/>
      <w:szCs w:val="17"/>
      <w:u w:val="none"/>
    </w:rPr>
  </w:style>
  <w:style w:type="paragraph" w:customStyle="1" w:styleId="Picturecaption0">
    <w:name w:val="Picture caption"/>
    <w:basedOn w:val="Normln"/>
    <w:link w:val="Picturecaption"/>
    <w:pPr>
      <w:shd w:val="clear" w:color="auto" w:fill="FFFFFF"/>
    </w:pPr>
    <w:rPr>
      <w:rFonts w:ascii="Arial" w:eastAsia="Arial" w:hAnsi="Arial" w:cs="Arial"/>
      <w:b/>
      <w:bCs/>
      <w:sz w:val="11"/>
      <w:szCs w:val="11"/>
    </w:rPr>
  </w:style>
  <w:style w:type="paragraph" w:styleId="Zkladntext">
    <w:name w:val="Body Text"/>
    <w:basedOn w:val="Normln"/>
    <w:link w:val="ZkladntextChar"/>
    <w:qFormat/>
    <w:pPr>
      <w:shd w:val="clear" w:color="auto" w:fill="FFFFFF"/>
      <w:spacing w:after="220"/>
    </w:pPr>
    <w:rPr>
      <w:rFonts w:ascii="Calibri" w:eastAsia="Calibri" w:hAnsi="Calibri" w:cs="Calibri"/>
      <w:sz w:val="20"/>
      <w:szCs w:val="20"/>
    </w:rPr>
  </w:style>
  <w:style w:type="paragraph" w:customStyle="1" w:styleId="Bodytext30">
    <w:name w:val="Body text (3)"/>
    <w:basedOn w:val="Normln"/>
    <w:link w:val="Bodytext3"/>
    <w:pPr>
      <w:shd w:val="clear" w:color="auto" w:fill="FFFFFF"/>
    </w:pPr>
    <w:rPr>
      <w:rFonts w:ascii="Arial" w:eastAsia="Arial" w:hAnsi="Arial" w:cs="Arial"/>
    </w:rPr>
  </w:style>
  <w:style w:type="paragraph" w:customStyle="1" w:styleId="Heading10">
    <w:name w:val="Heading #1"/>
    <w:basedOn w:val="Normln"/>
    <w:link w:val="Heading1"/>
    <w:pPr>
      <w:shd w:val="clear" w:color="auto" w:fill="FFFFFF"/>
      <w:spacing w:after="220"/>
      <w:outlineLvl w:val="0"/>
    </w:pPr>
    <w:rPr>
      <w:rFonts w:ascii="Calibri" w:eastAsia="Calibri" w:hAnsi="Calibri" w:cs="Calibri"/>
      <w:b/>
      <w:bCs/>
      <w:sz w:val="20"/>
      <w:szCs w:val="20"/>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customStyle="1" w:styleId="Bodytext20">
    <w:name w:val="Body text (2)"/>
    <w:basedOn w:val="Normln"/>
    <w:link w:val="Bodytext2"/>
    <w:pPr>
      <w:shd w:val="clear" w:color="auto" w:fill="FFFFFF"/>
    </w:pPr>
    <w:rPr>
      <w:rFonts w:ascii="Arial" w:eastAsia="Arial" w:hAnsi="Arial" w:cs="Arial"/>
      <w:color w:val="9FBFCB"/>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1593</Words>
  <Characters>9403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Věra Přenosilová</dc:creator>
  <cp:lastModifiedBy>PhDr. Věra Přenosilová</cp:lastModifiedBy>
  <cp:revision>4</cp:revision>
  <dcterms:created xsi:type="dcterms:W3CDTF">2024-03-26T14:51:00Z</dcterms:created>
  <dcterms:modified xsi:type="dcterms:W3CDTF">2024-03-26T15:11:00Z</dcterms:modified>
</cp:coreProperties>
</file>