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7FF9A" w14:textId="5512AB20" w:rsidR="00336B4A" w:rsidRDefault="00C354A5" w:rsidP="00CF780A">
      <w:pPr>
        <w:pStyle w:val="Nzev"/>
        <w:rPr>
          <w:sz w:val="36"/>
          <w:szCs w:val="36"/>
        </w:rPr>
      </w:pPr>
      <w:r>
        <w:rPr>
          <w:sz w:val="36"/>
          <w:szCs w:val="36"/>
        </w:rPr>
        <w:t xml:space="preserve">Dodatek č. </w:t>
      </w:r>
      <w:r w:rsidR="00FF7F5F">
        <w:rPr>
          <w:sz w:val="36"/>
          <w:szCs w:val="36"/>
        </w:rPr>
        <w:t>1</w:t>
      </w:r>
      <w:r>
        <w:rPr>
          <w:sz w:val="36"/>
          <w:szCs w:val="36"/>
        </w:rPr>
        <w:t xml:space="preserve"> </w:t>
      </w:r>
    </w:p>
    <w:p w14:paraId="5F5C65D4" w14:textId="3CEDA70B" w:rsidR="0089564D" w:rsidRPr="005A42EC" w:rsidRDefault="00C354A5" w:rsidP="00CF780A">
      <w:pPr>
        <w:pStyle w:val="Nzev"/>
        <w:rPr>
          <w:sz w:val="36"/>
          <w:szCs w:val="36"/>
        </w:rPr>
      </w:pPr>
      <w:r>
        <w:rPr>
          <w:sz w:val="36"/>
          <w:szCs w:val="36"/>
        </w:rPr>
        <w:t>ke</w:t>
      </w:r>
      <w:r w:rsidR="00336B4A">
        <w:rPr>
          <w:sz w:val="36"/>
          <w:szCs w:val="36"/>
        </w:rPr>
        <w:t xml:space="preserve"> </w:t>
      </w:r>
      <w:r w:rsidR="0089564D" w:rsidRPr="005A42EC">
        <w:rPr>
          <w:sz w:val="36"/>
          <w:szCs w:val="36"/>
        </w:rPr>
        <w:t>Smlouv</w:t>
      </w:r>
      <w:r>
        <w:rPr>
          <w:sz w:val="36"/>
          <w:szCs w:val="36"/>
        </w:rPr>
        <w:t xml:space="preserve">ě </w:t>
      </w:r>
      <w:r w:rsidR="0089564D" w:rsidRPr="005A42EC">
        <w:rPr>
          <w:sz w:val="36"/>
          <w:szCs w:val="36"/>
        </w:rPr>
        <w:t>o nájmu</w:t>
      </w:r>
      <w:r w:rsidR="0060334C" w:rsidRPr="005A42EC">
        <w:rPr>
          <w:sz w:val="36"/>
          <w:szCs w:val="36"/>
        </w:rPr>
        <w:t xml:space="preserve"> </w:t>
      </w:r>
      <w:r w:rsidR="00FF7F5F">
        <w:rPr>
          <w:sz w:val="36"/>
          <w:szCs w:val="36"/>
        </w:rPr>
        <w:t>skladu č. 96/23</w:t>
      </w:r>
    </w:p>
    <w:p w14:paraId="79C7D441" w14:textId="77777777" w:rsidR="009200E9" w:rsidRDefault="009200E9" w:rsidP="00CF780A">
      <w:pPr>
        <w:jc w:val="both"/>
        <w:rPr>
          <w:rStyle w:val="preformatted"/>
          <w:b/>
          <w:sz w:val="22"/>
          <w:szCs w:val="22"/>
        </w:rPr>
      </w:pPr>
    </w:p>
    <w:p w14:paraId="4B8AB7B8" w14:textId="77777777" w:rsidR="006052F5" w:rsidRDefault="006052F5" w:rsidP="006052F5">
      <w:pPr>
        <w:jc w:val="both"/>
        <w:rPr>
          <w:rStyle w:val="preformatted"/>
        </w:rPr>
      </w:pPr>
      <w:r>
        <w:rPr>
          <w:rStyle w:val="preformatted"/>
          <w:b/>
        </w:rPr>
        <w:t>CIF Alfa, s.r.o.</w:t>
      </w:r>
      <w:r>
        <w:rPr>
          <w:rStyle w:val="preformatted"/>
        </w:rPr>
        <w:t xml:space="preserve">, </w:t>
      </w:r>
    </w:p>
    <w:p w14:paraId="23B6E49D" w14:textId="77777777" w:rsidR="006052F5" w:rsidRDefault="006052F5" w:rsidP="006052F5">
      <w:pPr>
        <w:jc w:val="both"/>
      </w:pPr>
      <w:r>
        <w:rPr>
          <w:rStyle w:val="preformatted"/>
        </w:rPr>
        <w:t xml:space="preserve">se sídlem </w:t>
      </w:r>
      <w:r>
        <w:t xml:space="preserve">Praha 10, Malešice, Počernická 272/96, PSČ 108 00, </w:t>
      </w:r>
    </w:p>
    <w:p w14:paraId="3A6D1B8D" w14:textId="77777777" w:rsidR="006052F5" w:rsidRDefault="006052F5" w:rsidP="006052F5">
      <w:pPr>
        <w:jc w:val="both"/>
        <w:rPr>
          <w:rStyle w:val="nowrap"/>
        </w:rPr>
      </w:pPr>
      <w:r>
        <w:t>IČ: 179</w:t>
      </w:r>
      <w:r>
        <w:rPr>
          <w:rStyle w:val="nowrap"/>
        </w:rPr>
        <w:t xml:space="preserve"> 75 093</w:t>
      </w:r>
    </w:p>
    <w:p w14:paraId="06C6B2C3" w14:textId="77777777" w:rsidR="006052F5" w:rsidRDefault="006052F5" w:rsidP="006052F5">
      <w:pPr>
        <w:jc w:val="both"/>
        <w:rPr>
          <w:rStyle w:val="nowrap"/>
        </w:rPr>
      </w:pPr>
      <w:r>
        <w:rPr>
          <w:rStyle w:val="nowrap"/>
        </w:rPr>
        <w:t xml:space="preserve">obchodní společnost, zapsaná v obchodním rejstříku, </w:t>
      </w:r>
    </w:p>
    <w:p w14:paraId="0FC4A1B5" w14:textId="77777777" w:rsidR="006052F5" w:rsidRDefault="006052F5" w:rsidP="006052F5">
      <w:pPr>
        <w:jc w:val="both"/>
        <w:rPr>
          <w:szCs w:val="24"/>
        </w:rPr>
      </w:pPr>
      <w:r>
        <w:rPr>
          <w:rStyle w:val="nowrap"/>
        </w:rPr>
        <w:t>vedeném Městským soudem v Praze, oddíl C, vložka 379551</w:t>
      </w:r>
      <w:r>
        <w:rPr>
          <w:szCs w:val="24"/>
        </w:rPr>
        <w:t>,</w:t>
      </w:r>
    </w:p>
    <w:p w14:paraId="057C5F72" w14:textId="77777777" w:rsidR="006052F5" w:rsidRDefault="006052F5" w:rsidP="006052F5">
      <w:pPr>
        <w:pStyle w:val="Prosttext"/>
        <w:spacing w:after="120"/>
        <w:jc w:val="both"/>
        <w:rPr>
          <w:rFonts w:ascii="Times New Roman" w:eastAsia="MS Mincho" w:hAnsi="Times New Roman"/>
          <w:sz w:val="24"/>
        </w:rPr>
      </w:pPr>
      <w:r>
        <w:rPr>
          <w:rStyle w:val="nowrap"/>
          <w:rFonts w:ascii="Times New Roman" w:hAnsi="Times New Roman"/>
          <w:sz w:val="24"/>
          <w:szCs w:val="24"/>
        </w:rPr>
        <w:t>která je zastoupena Ing. Radkem Vášou</w:t>
      </w:r>
      <w:r>
        <w:rPr>
          <w:rFonts w:ascii="Times New Roman" w:hAnsi="Times New Roman"/>
          <w:sz w:val="24"/>
          <w:szCs w:val="24"/>
        </w:rPr>
        <w:t>, jednatelem</w:t>
      </w:r>
    </w:p>
    <w:p w14:paraId="3BA2AB58" w14:textId="77777777" w:rsidR="001F4041" w:rsidRPr="008224BE" w:rsidRDefault="001F4041" w:rsidP="00CF780A">
      <w:pPr>
        <w:jc w:val="both"/>
        <w:rPr>
          <w:rFonts w:eastAsia="MS Mincho"/>
          <w:szCs w:val="24"/>
        </w:rPr>
      </w:pPr>
      <w:r w:rsidRPr="008224BE">
        <w:rPr>
          <w:i/>
          <w:szCs w:val="24"/>
        </w:rPr>
        <w:t>na jedné straně</w:t>
      </w:r>
      <w:r w:rsidRPr="008224BE">
        <w:rPr>
          <w:szCs w:val="24"/>
        </w:rPr>
        <w:t xml:space="preserve">, </w:t>
      </w:r>
      <w:r w:rsidRPr="008224BE">
        <w:rPr>
          <w:rFonts w:eastAsia="MS Mincho"/>
          <w:szCs w:val="24"/>
        </w:rPr>
        <w:t>dále jen „</w:t>
      </w:r>
      <w:r w:rsidRPr="008224BE">
        <w:rPr>
          <w:rFonts w:eastAsia="MS Mincho"/>
          <w:b/>
          <w:bCs/>
          <w:i/>
          <w:iCs/>
          <w:szCs w:val="24"/>
        </w:rPr>
        <w:t>Pronajímatel</w:t>
      </w:r>
      <w:r w:rsidRPr="008224BE">
        <w:rPr>
          <w:rFonts w:eastAsia="MS Mincho"/>
          <w:szCs w:val="24"/>
        </w:rPr>
        <w:t>“</w:t>
      </w:r>
    </w:p>
    <w:p w14:paraId="6A94340B" w14:textId="77777777" w:rsidR="001F4041" w:rsidRPr="005A42EC" w:rsidRDefault="001F4041" w:rsidP="00CF780A">
      <w:pPr>
        <w:pStyle w:val="Prosttext"/>
        <w:jc w:val="both"/>
        <w:rPr>
          <w:rFonts w:ascii="Times New Roman" w:eastAsia="MS Mincho" w:hAnsi="Times New Roman"/>
        </w:rPr>
      </w:pPr>
    </w:p>
    <w:p w14:paraId="529D8B79" w14:textId="77777777" w:rsidR="001F4041" w:rsidRPr="00F84EE1" w:rsidRDefault="001F4041" w:rsidP="00CF780A">
      <w:pPr>
        <w:pStyle w:val="Prosttext"/>
        <w:jc w:val="both"/>
        <w:rPr>
          <w:rFonts w:ascii="Times New Roman" w:eastAsia="MS Mincho" w:hAnsi="Times New Roman"/>
          <w:sz w:val="22"/>
          <w:szCs w:val="22"/>
        </w:rPr>
      </w:pPr>
      <w:r w:rsidRPr="00F84EE1">
        <w:rPr>
          <w:rFonts w:ascii="Times New Roman" w:eastAsia="MS Mincho" w:hAnsi="Times New Roman"/>
          <w:sz w:val="22"/>
          <w:szCs w:val="22"/>
        </w:rPr>
        <w:t>a</w:t>
      </w:r>
    </w:p>
    <w:p w14:paraId="00FC7601" w14:textId="77777777" w:rsidR="001F4041" w:rsidRPr="005A42EC" w:rsidRDefault="001F4041" w:rsidP="00CF780A">
      <w:pPr>
        <w:pStyle w:val="Prosttext"/>
        <w:jc w:val="both"/>
        <w:rPr>
          <w:rFonts w:ascii="Times New Roman" w:eastAsia="MS Mincho" w:hAnsi="Times New Roman"/>
        </w:rPr>
      </w:pPr>
    </w:p>
    <w:p w14:paraId="35287F11" w14:textId="77777777" w:rsidR="00FF7F5F" w:rsidRDefault="00FF7F5F" w:rsidP="00FF7F5F">
      <w:pPr>
        <w:jc w:val="both"/>
        <w:rPr>
          <w:rStyle w:val="preformatted"/>
          <w:szCs w:val="24"/>
        </w:rPr>
      </w:pPr>
      <w:r>
        <w:rPr>
          <w:rStyle w:val="preformatted"/>
          <w:b/>
        </w:rPr>
        <w:t>Technologie hlavního města Prahy, a.s.</w:t>
      </w:r>
      <w:r>
        <w:rPr>
          <w:rStyle w:val="preformatted"/>
        </w:rPr>
        <w:t xml:space="preserve">, </w:t>
      </w:r>
    </w:p>
    <w:p w14:paraId="6D9F7143" w14:textId="77777777" w:rsidR="00FF7F5F" w:rsidRDefault="00FF7F5F" w:rsidP="00FF7F5F">
      <w:pPr>
        <w:jc w:val="both"/>
      </w:pPr>
      <w:r>
        <w:rPr>
          <w:rStyle w:val="preformatted"/>
        </w:rPr>
        <w:t xml:space="preserve">se sídlem </w:t>
      </w:r>
      <w:r>
        <w:t>Praha 7, Holešovice, Dělnická 213/12, PSČ 170 00,</w:t>
      </w:r>
    </w:p>
    <w:p w14:paraId="18C8F920" w14:textId="77777777" w:rsidR="00FF7F5F" w:rsidRDefault="00FF7F5F" w:rsidP="00FF7F5F">
      <w:pPr>
        <w:jc w:val="both"/>
        <w:rPr>
          <w:rStyle w:val="nowrap"/>
          <w:szCs w:val="24"/>
        </w:rPr>
      </w:pPr>
      <w:r>
        <w:t xml:space="preserve">IČO: </w:t>
      </w:r>
      <w:r>
        <w:rPr>
          <w:rStyle w:val="nowrap"/>
        </w:rPr>
        <w:t>256 72 541</w:t>
      </w:r>
      <w:r>
        <w:rPr>
          <w:rStyle w:val="nowrap"/>
          <w:szCs w:val="24"/>
        </w:rPr>
        <w:t>, DIČ: CZ</w:t>
      </w:r>
      <w:r>
        <w:rPr>
          <w:rStyle w:val="nowrap"/>
        </w:rPr>
        <w:t>25672541</w:t>
      </w:r>
      <w:r>
        <w:rPr>
          <w:rStyle w:val="nowrap"/>
          <w:szCs w:val="24"/>
        </w:rPr>
        <w:t>,</w:t>
      </w:r>
    </w:p>
    <w:p w14:paraId="7109F5BF" w14:textId="77777777" w:rsidR="00FF7F5F" w:rsidRDefault="00FF7F5F" w:rsidP="00FF7F5F">
      <w:pPr>
        <w:jc w:val="both"/>
        <w:rPr>
          <w:rStyle w:val="nowrap"/>
          <w:szCs w:val="24"/>
        </w:rPr>
      </w:pPr>
      <w:r>
        <w:rPr>
          <w:rStyle w:val="nowrap"/>
          <w:szCs w:val="24"/>
        </w:rPr>
        <w:t xml:space="preserve">obchodní společnost, zapsaná v obchodním rejstříku, </w:t>
      </w:r>
    </w:p>
    <w:p w14:paraId="26259846" w14:textId="77777777" w:rsidR="00FF7F5F" w:rsidRDefault="00FF7F5F" w:rsidP="00FF7F5F">
      <w:pPr>
        <w:jc w:val="both"/>
      </w:pPr>
      <w:r>
        <w:rPr>
          <w:rStyle w:val="nowrap"/>
          <w:szCs w:val="24"/>
        </w:rPr>
        <w:t>vedeném Městským soudem v Praze, oddíl B, vložka 5402</w:t>
      </w:r>
      <w:r>
        <w:rPr>
          <w:szCs w:val="24"/>
        </w:rPr>
        <w:t>,</w:t>
      </w:r>
    </w:p>
    <w:p w14:paraId="0B4F80E3" w14:textId="77777777" w:rsidR="00FF7F5F" w:rsidRDefault="00FF7F5F" w:rsidP="00FF7F5F">
      <w:pPr>
        <w:jc w:val="both"/>
        <w:rPr>
          <w:szCs w:val="24"/>
        </w:rPr>
      </w:pPr>
      <w:r>
        <w:rPr>
          <w:szCs w:val="24"/>
        </w:rPr>
        <w:t>zastoupená Tomášem Jílkem, předsedou představenstva,</w:t>
      </w:r>
    </w:p>
    <w:p w14:paraId="04103493" w14:textId="77777777" w:rsidR="00FF7F5F" w:rsidRDefault="00FF7F5F" w:rsidP="00FF7F5F">
      <w:pPr>
        <w:spacing w:after="120"/>
        <w:jc w:val="both"/>
        <w:rPr>
          <w:szCs w:val="24"/>
        </w:rPr>
      </w:pPr>
      <w:r>
        <w:rPr>
          <w:szCs w:val="24"/>
        </w:rPr>
        <w:t>a Tomášem Novotným, místopředsedou představenstva,</w:t>
      </w:r>
    </w:p>
    <w:p w14:paraId="7E414BB5" w14:textId="6D4716E5" w:rsidR="001F4041" w:rsidRPr="008224BE" w:rsidRDefault="001F4041" w:rsidP="00F84EE1">
      <w:pPr>
        <w:spacing w:after="120"/>
        <w:jc w:val="both"/>
        <w:rPr>
          <w:rFonts w:eastAsia="MS Mincho"/>
          <w:szCs w:val="24"/>
        </w:rPr>
      </w:pPr>
      <w:r w:rsidRPr="008224BE">
        <w:rPr>
          <w:i/>
          <w:szCs w:val="24"/>
        </w:rPr>
        <w:t>na druhé straně</w:t>
      </w:r>
      <w:r w:rsidRPr="008224BE">
        <w:rPr>
          <w:szCs w:val="24"/>
        </w:rPr>
        <w:t xml:space="preserve">, </w:t>
      </w:r>
      <w:r w:rsidRPr="008224BE">
        <w:rPr>
          <w:rFonts w:eastAsia="MS Mincho"/>
          <w:szCs w:val="24"/>
        </w:rPr>
        <w:t>dále jen „</w:t>
      </w:r>
      <w:r w:rsidRPr="008224BE">
        <w:rPr>
          <w:rFonts w:eastAsia="MS Mincho"/>
          <w:b/>
          <w:bCs/>
          <w:i/>
          <w:iCs/>
          <w:szCs w:val="24"/>
        </w:rPr>
        <w:t>Nájemce</w:t>
      </w:r>
      <w:r w:rsidRPr="008224BE">
        <w:rPr>
          <w:rFonts w:eastAsia="MS Mincho"/>
          <w:bCs/>
          <w:iCs/>
          <w:szCs w:val="24"/>
        </w:rPr>
        <w:t>“</w:t>
      </w:r>
    </w:p>
    <w:p w14:paraId="2A025F42" w14:textId="77777777" w:rsidR="009A3F07" w:rsidRPr="008224BE" w:rsidRDefault="009A3F07" w:rsidP="00CF780A">
      <w:pPr>
        <w:jc w:val="both"/>
        <w:rPr>
          <w:szCs w:val="24"/>
        </w:rPr>
      </w:pPr>
    </w:p>
    <w:p w14:paraId="380D2E3C" w14:textId="77777777" w:rsidR="009F6821" w:rsidRPr="008224BE" w:rsidRDefault="0089564D" w:rsidP="00CF780A">
      <w:pPr>
        <w:jc w:val="center"/>
        <w:rPr>
          <w:i/>
          <w:szCs w:val="24"/>
        </w:rPr>
      </w:pPr>
      <w:r w:rsidRPr="008224BE">
        <w:rPr>
          <w:i/>
          <w:szCs w:val="24"/>
        </w:rPr>
        <w:t>uzavírají, v souladu s</w:t>
      </w:r>
      <w:r w:rsidR="009F6821" w:rsidRPr="008224BE">
        <w:rPr>
          <w:i/>
          <w:szCs w:val="24"/>
        </w:rPr>
        <w:t> ustanovením § 2201</w:t>
      </w:r>
      <w:r w:rsidRPr="008224BE">
        <w:rPr>
          <w:i/>
          <w:szCs w:val="24"/>
        </w:rPr>
        <w:t xml:space="preserve"> zákon</w:t>
      </w:r>
      <w:r w:rsidR="009F6821" w:rsidRPr="008224BE">
        <w:rPr>
          <w:i/>
          <w:szCs w:val="24"/>
        </w:rPr>
        <w:t>a</w:t>
      </w:r>
      <w:r w:rsidRPr="008224BE">
        <w:rPr>
          <w:i/>
          <w:szCs w:val="24"/>
        </w:rPr>
        <w:t xml:space="preserve"> č. </w:t>
      </w:r>
      <w:r w:rsidR="009F6821" w:rsidRPr="008224BE">
        <w:rPr>
          <w:i/>
          <w:szCs w:val="24"/>
        </w:rPr>
        <w:t>89</w:t>
      </w:r>
      <w:r w:rsidRPr="008224BE">
        <w:rPr>
          <w:i/>
          <w:szCs w:val="24"/>
        </w:rPr>
        <w:t>/</w:t>
      </w:r>
      <w:r w:rsidR="009F6821" w:rsidRPr="008224BE">
        <w:rPr>
          <w:i/>
          <w:szCs w:val="24"/>
        </w:rPr>
        <w:t>2</w:t>
      </w:r>
      <w:r w:rsidRPr="008224BE">
        <w:rPr>
          <w:i/>
          <w:szCs w:val="24"/>
        </w:rPr>
        <w:t>0</w:t>
      </w:r>
      <w:r w:rsidR="009F6821" w:rsidRPr="008224BE">
        <w:rPr>
          <w:i/>
          <w:szCs w:val="24"/>
        </w:rPr>
        <w:t>12</w:t>
      </w:r>
      <w:r w:rsidRPr="008224BE">
        <w:rPr>
          <w:i/>
          <w:szCs w:val="24"/>
        </w:rPr>
        <w:t xml:space="preserve"> Sb., občansk</w:t>
      </w:r>
      <w:r w:rsidR="009F6821" w:rsidRPr="008224BE">
        <w:rPr>
          <w:i/>
          <w:szCs w:val="24"/>
        </w:rPr>
        <w:t>ý</w:t>
      </w:r>
      <w:r w:rsidRPr="008224BE">
        <w:rPr>
          <w:i/>
          <w:szCs w:val="24"/>
        </w:rPr>
        <w:t xml:space="preserve"> zákoník, </w:t>
      </w:r>
    </w:p>
    <w:p w14:paraId="6CB383AB" w14:textId="664437DC" w:rsidR="0089564D" w:rsidRPr="008224BE" w:rsidRDefault="009F6821" w:rsidP="00CF780A">
      <w:pPr>
        <w:jc w:val="center"/>
        <w:rPr>
          <w:i/>
          <w:szCs w:val="24"/>
        </w:rPr>
      </w:pPr>
      <w:r w:rsidRPr="008224BE">
        <w:rPr>
          <w:i/>
          <w:szCs w:val="24"/>
        </w:rPr>
        <w:t>ve znění pozdějších předpisů</w:t>
      </w:r>
      <w:r w:rsidR="00F03D8F" w:rsidRPr="008224BE">
        <w:rPr>
          <w:i/>
          <w:szCs w:val="24"/>
        </w:rPr>
        <w:t xml:space="preserve"> (dále též jen „</w:t>
      </w:r>
      <w:r w:rsidR="00F03D8F" w:rsidRPr="008224BE">
        <w:rPr>
          <w:b/>
          <w:i/>
          <w:szCs w:val="24"/>
        </w:rPr>
        <w:t>OZ</w:t>
      </w:r>
      <w:r w:rsidR="00F03D8F" w:rsidRPr="008224BE">
        <w:rPr>
          <w:i/>
          <w:szCs w:val="24"/>
        </w:rPr>
        <w:t>“)</w:t>
      </w:r>
      <w:r w:rsidRPr="008224BE">
        <w:rPr>
          <w:i/>
          <w:szCs w:val="24"/>
        </w:rPr>
        <w:t xml:space="preserve">, </w:t>
      </w:r>
      <w:r w:rsidR="0089564D" w:rsidRPr="008224BE">
        <w:rPr>
          <w:i/>
          <w:szCs w:val="24"/>
        </w:rPr>
        <w:t>t</w:t>
      </w:r>
      <w:r w:rsidR="00C354A5" w:rsidRPr="008224BE">
        <w:rPr>
          <w:i/>
          <w:szCs w:val="24"/>
        </w:rPr>
        <w:t>ento</w:t>
      </w:r>
    </w:p>
    <w:p w14:paraId="3DCF2916" w14:textId="77777777" w:rsidR="00FD1BA0" w:rsidRPr="005A42EC" w:rsidRDefault="00FD1BA0" w:rsidP="00CF780A">
      <w:pPr>
        <w:rPr>
          <w:sz w:val="20"/>
        </w:rPr>
      </w:pPr>
    </w:p>
    <w:p w14:paraId="621FD7B3" w14:textId="76964ECC" w:rsidR="00C354A5" w:rsidRDefault="00C354A5" w:rsidP="00CF780A">
      <w:pPr>
        <w:pStyle w:val="Nadpis1"/>
        <w:jc w:val="center"/>
        <w:rPr>
          <w:smallCaps/>
          <w:spacing w:val="20"/>
          <w:sz w:val="32"/>
          <w:szCs w:val="32"/>
          <w:u w:val="none"/>
        </w:rPr>
      </w:pPr>
      <w:r>
        <w:rPr>
          <w:smallCaps/>
          <w:spacing w:val="20"/>
          <w:sz w:val="32"/>
          <w:szCs w:val="32"/>
          <w:u w:val="none"/>
        </w:rPr>
        <w:t xml:space="preserve">Dodatek č. </w:t>
      </w:r>
      <w:r w:rsidR="00FF7F5F">
        <w:rPr>
          <w:smallCaps/>
          <w:spacing w:val="20"/>
          <w:sz w:val="32"/>
          <w:szCs w:val="32"/>
          <w:u w:val="none"/>
        </w:rPr>
        <w:t>1</w:t>
      </w:r>
      <w:r>
        <w:rPr>
          <w:smallCaps/>
          <w:spacing w:val="20"/>
          <w:sz w:val="32"/>
          <w:szCs w:val="32"/>
          <w:u w:val="none"/>
        </w:rPr>
        <w:t xml:space="preserve"> </w:t>
      </w:r>
    </w:p>
    <w:p w14:paraId="4F681578" w14:textId="02235B3F" w:rsidR="0089564D" w:rsidRPr="005A42EC" w:rsidRDefault="00C354A5" w:rsidP="00CF780A">
      <w:pPr>
        <w:pStyle w:val="Nadpis1"/>
        <w:jc w:val="center"/>
        <w:rPr>
          <w:smallCaps/>
          <w:spacing w:val="20"/>
          <w:sz w:val="32"/>
          <w:szCs w:val="32"/>
          <w:u w:val="none"/>
        </w:rPr>
      </w:pPr>
      <w:r>
        <w:rPr>
          <w:smallCaps/>
          <w:spacing w:val="20"/>
          <w:sz w:val="32"/>
          <w:szCs w:val="32"/>
          <w:u w:val="none"/>
        </w:rPr>
        <w:t xml:space="preserve">ke </w:t>
      </w:r>
      <w:r w:rsidR="0089564D" w:rsidRPr="005A42EC">
        <w:rPr>
          <w:smallCaps/>
          <w:spacing w:val="20"/>
          <w:sz w:val="32"/>
          <w:szCs w:val="32"/>
          <w:u w:val="none"/>
        </w:rPr>
        <w:t>Smlouv</w:t>
      </w:r>
      <w:r>
        <w:rPr>
          <w:smallCaps/>
          <w:spacing w:val="20"/>
          <w:sz w:val="32"/>
          <w:szCs w:val="32"/>
          <w:u w:val="none"/>
        </w:rPr>
        <w:t>ě</w:t>
      </w:r>
      <w:r w:rsidR="0089564D" w:rsidRPr="005A42EC">
        <w:rPr>
          <w:smallCaps/>
          <w:spacing w:val="20"/>
          <w:sz w:val="32"/>
          <w:szCs w:val="32"/>
          <w:u w:val="none"/>
        </w:rPr>
        <w:t xml:space="preserve"> o nájmu</w:t>
      </w:r>
      <w:r w:rsidR="00FF7F5F">
        <w:rPr>
          <w:smallCaps/>
          <w:spacing w:val="20"/>
          <w:sz w:val="32"/>
          <w:szCs w:val="32"/>
          <w:u w:val="none"/>
        </w:rPr>
        <w:t xml:space="preserve"> skladu č. 96/23</w:t>
      </w:r>
    </w:p>
    <w:p w14:paraId="56A3D25C" w14:textId="728BA5B7" w:rsidR="00336B4A" w:rsidRDefault="00336B4A" w:rsidP="00336B4A">
      <w:pPr>
        <w:spacing w:line="252" w:lineRule="auto"/>
        <w:jc w:val="center"/>
        <w:rPr>
          <w:b/>
          <w:szCs w:val="24"/>
        </w:rPr>
      </w:pPr>
      <w:r>
        <w:rPr>
          <w:b/>
          <w:szCs w:val="24"/>
        </w:rPr>
        <w:t>uzavřené dne 2</w:t>
      </w:r>
      <w:r w:rsidR="00FF7F5F">
        <w:rPr>
          <w:b/>
          <w:szCs w:val="24"/>
        </w:rPr>
        <w:t>5</w:t>
      </w:r>
      <w:r>
        <w:rPr>
          <w:b/>
          <w:szCs w:val="24"/>
        </w:rPr>
        <w:t xml:space="preserve">. </w:t>
      </w:r>
      <w:r w:rsidR="00FF7F5F">
        <w:rPr>
          <w:b/>
          <w:szCs w:val="24"/>
        </w:rPr>
        <w:t>května</w:t>
      </w:r>
      <w:r>
        <w:rPr>
          <w:b/>
          <w:szCs w:val="24"/>
        </w:rPr>
        <w:t xml:space="preserve"> 20</w:t>
      </w:r>
      <w:r w:rsidR="00FF7F5F">
        <w:rPr>
          <w:b/>
          <w:szCs w:val="24"/>
        </w:rPr>
        <w:t>23</w:t>
      </w:r>
    </w:p>
    <w:p w14:paraId="1AF5C5C6" w14:textId="464BA8B4" w:rsidR="00336B4A" w:rsidRDefault="00A13EE1" w:rsidP="00A13EE1">
      <w:pPr>
        <w:pStyle w:val="Prosttext"/>
        <w:spacing w:line="252" w:lineRule="auto"/>
        <w:jc w:val="center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(dále jen „</w:t>
      </w:r>
      <w:r w:rsidRPr="00A13EE1">
        <w:rPr>
          <w:rFonts w:ascii="Times New Roman" w:eastAsia="MS Mincho" w:hAnsi="Times New Roman"/>
          <w:b/>
          <w:bCs/>
          <w:i/>
          <w:iCs/>
          <w:sz w:val="24"/>
        </w:rPr>
        <w:t>Dodatek</w:t>
      </w:r>
      <w:r>
        <w:rPr>
          <w:rFonts w:ascii="Times New Roman" w:eastAsia="MS Mincho" w:hAnsi="Times New Roman"/>
          <w:b/>
          <w:bCs/>
          <w:sz w:val="24"/>
        </w:rPr>
        <w:t>“)</w:t>
      </w:r>
    </w:p>
    <w:p w14:paraId="6DF2C624" w14:textId="77777777" w:rsidR="00A13EE1" w:rsidRDefault="00A13EE1" w:rsidP="00A13EE1">
      <w:pPr>
        <w:pStyle w:val="Prosttext"/>
        <w:spacing w:line="252" w:lineRule="auto"/>
        <w:jc w:val="center"/>
        <w:rPr>
          <w:rFonts w:ascii="Times New Roman" w:eastAsia="MS Mincho" w:hAnsi="Times New Roman"/>
          <w:b/>
          <w:bCs/>
          <w:sz w:val="24"/>
        </w:rPr>
      </w:pPr>
    </w:p>
    <w:p w14:paraId="61B0EBFC" w14:textId="77777777" w:rsidR="00336B4A" w:rsidRDefault="00336B4A" w:rsidP="00336B4A">
      <w:pPr>
        <w:pStyle w:val="Prosttext"/>
        <w:spacing w:line="252" w:lineRule="auto"/>
        <w:jc w:val="center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Článek I.</w:t>
      </w:r>
    </w:p>
    <w:p w14:paraId="5B59FF15" w14:textId="77777777" w:rsidR="00336B4A" w:rsidRDefault="00336B4A" w:rsidP="00336B4A">
      <w:pPr>
        <w:pStyle w:val="Prosttext"/>
        <w:spacing w:after="120" w:line="252" w:lineRule="auto"/>
        <w:jc w:val="center"/>
        <w:rPr>
          <w:rFonts w:ascii="Times New Roman" w:eastAsia="MS Mincho" w:hAnsi="Times New Roman"/>
          <w:b/>
          <w:bCs/>
          <w:sz w:val="28"/>
        </w:rPr>
      </w:pPr>
      <w:r>
        <w:rPr>
          <w:rFonts w:ascii="Times New Roman" w:eastAsia="MS Mincho" w:hAnsi="Times New Roman"/>
          <w:b/>
          <w:bCs/>
          <w:sz w:val="28"/>
        </w:rPr>
        <w:t>Konstatování právního stavu</w:t>
      </w:r>
    </w:p>
    <w:p w14:paraId="277A1166" w14:textId="2B56BF59" w:rsidR="006052F5" w:rsidRPr="006052F5" w:rsidRDefault="006052F5" w:rsidP="006052F5">
      <w:pPr>
        <w:pStyle w:val="Zkladntext"/>
        <w:numPr>
          <w:ilvl w:val="0"/>
          <w:numId w:val="31"/>
        </w:numPr>
        <w:spacing w:after="120" w:line="252" w:lineRule="auto"/>
        <w:ind w:left="426" w:hanging="426"/>
        <w:rPr>
          <w:sz w:val="24"/>
          <w:szCs w:val="24"/>
        </w:rPr>
      </w:pPr>
      <w:r w:rsidRPr="006052F5">
        <w:rPr>
          <w:sz w:val="24"/>
          <w:szCs w:val="24"/>
        </w:rPr>
        <w:t>Mezi Pronajímatelem a Nájemcem existuje platná a účinná nájemní smlouva, označená jako „</w:t>
      </w:r>
      <w:r w:rsidRPr="006052F5">
        <w:rPr>
          <w:i/>
          <w:sz w:val="24"/>
          <w:szCs w:val="24"/>
        </w:rPr>
        <w:t>Smlouva o nájmu</w:t>
      </w:r>
      <w:r w:rsidR="00FF7F5F">
        <w:rPr>
          <w:i/>
          <w:sz w:val="24"/>
          <w:szCs w:val="24"/>
        </w:rPr>
        <w:t xml:space="preserve"> skladu</w:t>
      </w:r>
      <w:r w:rsidRPr="006052F5">
        <w:rPr>
          <w:sz w:val="24"/>
          <w:szCs w:val="24"/>
        </w:rPr>
        <w:t>“ ze dne</w:t>
      </w:r>
      <w:r w:rsidRPr="006052F5">
        <w:rPr>
          <w:rFonts w:eastAsia="MS Mincho"/>
          <w:sz w:val="24"/>
          <w:szCs w:val="24"/>
        </w:rPr>
        <w:t xml:space="preserve"> 2</w:t>
      </w:r>
      <w:r w:rsidR="00FF7F5F">
        <w:rPr>
          <w:rFonts w:eastAsia="MS Mincho"/>
          <w:sz w:val="24"/>
          <w:szCs w:val="24"/>
        </w:rPr>
        <w:t>5</w:t>
      </w:r>
      <w:r w:rsidRPr="006052F5">
        <w:rPr>
          <w:sz w:val="24"/>
          <w:szCs w:val="24"/>
        </w:rPr>
        <w:t xml:space="preserve">. </w:t>
      </w:r>
      <w:r w:rsidR="00FF7F5F">
        <w:rPr>
          <w:sz w:val="24"/>
          <w:szCs w:val="24"/>
        </w:rPr>
        <w:t>května</w:t>
      </w:r>
      <w:r w:rsidRPr="006052F5">
        <w:rPr>
          <w:sz w:val="24"/>
          <w:szCs w:val="24"/>
        </w:rPr>
        <w:t xml:space="preserve"> 20</w:t>
      </w:r>
      <w:r w:rsidR="00FF7F5F">
        <w:rPr>
          <w:sz w:val="24"/>
          <w:szCs w:val="24"/>
        </w:rPr>
        <w:t>23 (dále jen „</w:t>
      </w:r>
      <w:r w:rsidR="00FF7F5F" w:rsidRPr="00FF7F5F">
        <w:rPr>
          <w:b/>
          <w:bCs/>
          <w:i/>
          <w:iCs/>
          <w:sz w:val="24"/>
          <w:szCs w:val="24"/>
        </w:rPr>
        <w:t>Smlouva</w:t>
      </w:r>
      <w:r w:rsidR="00FF7F5F">
        <w:rPr>
          <w:sz w:val="24"/>
          <w:szCs w:val="24"/>
        </w:rPr>
        <w:t>“</w:t>
      </w:r>
      <w:proofErr w:type="gramStart"/>
      <w:r w:rsidR="00FF7F5F">
        <w:rPr>
          <w:sz w:val="24"/>
          <w:szCs w:val="24"/>
        </w:rPr>
        <w:t>)</w:t>
      </w:r>
      <w:r w:rsidRPr="006052F5">
        <w:rPr>
          <w:sz w:val="24"/>
          <w:szCs w:val="24"/>
        </w:rPr>
        <w:t>,</w:t>
      </w:r>
      <w:r w:rsidR="00FF7F5F">
        <w:rPr>
          <w:sz w:val="24"/>
          <w:szCs w:val="24"/>
        </w:rPr>
        <w:t xml:space="preserve"> </w:t>
      </w:r>
      <w:r w:rsidRPr="006052F5">
        <w:rPr>
          <w:sz w:val="24"/>
          <w:szCs w:val="24"/>
        </w:rPr>
        <w:t xml:space="preserve"> </w:t>
      </w:r>
      <w:r w:rsidRPr="006052F5">
        <w:rPr>
          <w:rFonts w:eastAsia="MS Mincho"/>
          <w:iCs/>
          <w:sz w:val="24"/>
          <w:szCs w:val="24"/>
        </w:rPr>
        <w:t>jejímž</w:t>
      </w:r>
      <w:proofErr w:type="gramEnd"/>
      <w:r w:rsidRPr="006052F5">
        <w:rPr>
          <w:rFonts w:eastAsia="MS Mincho"/>
          <w:iCs/>
          <w:sz w:val="24"/>
          <w:szCs w:val="24"/>
        </w:rPr>
        <w:t xml:space="preserve"> předmětem </w:t>
      </w:r>
      <w:r w:rsidRPr="006052F5">
        <w:rPr>
          <w:rFonts w:eastAsia="MS Mincho"/>
          <w:sz w:val="24"/>
          <w:szCs w:val="24"/>
        </w:rPr>
        <w:t>je ke dni uzavření tohoto Dodatku nájem níže uvedených prostor určených podnikání nacházející se v budově</w:t>
      </w:r>
      <w:r w:rsidRPr="006052F5">
        <w:rPr>
          <w:sz w:val="24"/>
          <w:szCs w:val="24"/>
        </w:rPr>
        <w:t xml:space="preserve"> čp. 213, jiná stavba, v Praze 7, Holešovice, Dělnická ul., č. or. 12 (dále jen „</w:t>
      </w:r>
      <w:r w:rsidRPr="006052F5">
        <w:rPr>
          <w:b/>
          <w:i/>
          <w:sz w:val="24"/>
          <w:szCs w:val="24"/>
        </w:rPr>
        <w:t>Budova</w:t>
      </w:r>
      <w:r w:rsidRPr="006052F5">
        <w:rPr>
          <w:sz w:val="24"/>
          <w:szCs w:val="24"/>
        </w:rPr>
        <w:t xml:space="preserve">“), stojící na pozemcích </w:t>
      </w:r>
      <w:proofErr w:type="spellStart"/>
      <w:r w:rsidRPr="006052F5">
        <w:rPr>
          <w:sz w:val="24"/>
          <w:szCs w:val="24"/>
        </w:rPr>
        <w:t>parc</w:t>
      </w:r>
      <w:proofErr w:type="spellEnd"/>
      <w:r w:rsidRPr="006052F5">
        <w:rPr>
          <w:sz w:val="24"/>
          <w:szCs w:val="24"/>
        </w:rPr>
        <w:t>. č. 1075/4, zastavěná plocha a nádvoří, parc. č. 1075/6, zastavěná plocha a nádvoří, parc. č. 1075/9, zastavěná plocha a nádvoří, parc. č. 1075/15, zastavěná plocha a nádvoří, parc. č. 1090/3, zastavěná plocha a nádvoří, parc. č. 1090/6, zastavěná plocha a nádvoří, parc. č. 2312/3, zastavěná plocha a nádvoří, a parc. č. 2312/4, zastavěná plocha a nádvoří, zapsané v katastru nemovitostí na listu vlastnictví číslo 925, vedeném Katastrálním úřadem pro Hlavní město Prahu, Katastrální pracoviště Praha, pro okres Hlavní město Praha, obec Praha, část obce a katastrální území Holešovice</w:t>
      </w:r>
      <w:r w:rsidRPr="006052F5">
        <w:rPr>
          <w:rFonts w:eastAsia="MS Mincho"/>
          <w:sz w:val="24"/>
          <w:szCs w:val="24"/>
        </w:rPr>
        <w:t xml:space="preserve">. </w:t>
      </w:r>
      <w:r w:rsidRPr="006052F5">
        <w:rPr>
          <w:sz w:val="24"/>
          <w:szCs w:val="24"/>
        </w:rPr>
        <w:t xml:space="preserve">Pronajímatel se stal vlastníkem Budovy s účinky ke dni 1. 5. 2023, přičemž jeho vlastnické právo k Budově bylo na základě příslušné kupní smlouvy zapsáno do katastru nemovitostí dne 25. 5. 2023. Pronajímatel nabytím vlastnictví k Budově ze zákona vstoupil do práv a povinností předchozího pronajímatele, resp. stal se stranou uvedené nájemní smlouvy na straně </w:t>
      </w:r>
      <w:r w:rsidRPr="006052F5">
        <w:rPr>
          <w:sz w:val="24"/>
          <w:szCs w:val="24"/>
        </w:rPr>
        <w:lastRenderedPageBreak/>
        <w:t xml:space="preserve">pronajímatele namísto spol. Czech </w:t>
      </w:r>
      <w:proofErr w:type="spellStart"/>
      <w:r w:rsidRPr="006052F5">
        <w:rPr>
          <w:sz w:val="24"/>
          <w:szCs w:val="24"/>
        </w:rPr>
        <w:t>Investment</w:t>
      </w:r>
      <w:proofErr w:type="spellEnd"/>
      <w:r w:rsidRPr="006052F5">
        <w:rPr>
          <w:sz w:val="24"/>
          <w:szCs w:val="24"/>
        </w:rPr>
        <w:t xml:space="preserve"> </w:t>
      </w:r>
      <w:proofErr w:type="spellStart"/>
      <w:r w:rsidRPr="006052F5">
        <w:rPr>
          <w:sz w:val="24"/>
          <w:szCs w:val="24"/>
        </w:rPr>
        <w:t>Fund</w:t>
      </w:r>
      <w:proofErr w:type="spellEnd"/>
      <w:r w:rsidRPr="006052F5">
        <w:rPr>
          <w:sz w:val="24"/>
          <w:szCs w:val="24"/>
        </w:rPr>
        <w:t xml:space="preserve"> SICAV, a.s. v souladu s </w:t>
      </w:r>
      <w:proofErr w:type="spellStart"/>
      <w:r w:rsidRPr="006052F5">
        <w:rPr>
          <w:sz w:val="24"/>
          <w:szCs w:val="24"/>
        </w:rPr>
        <w:t>ust</w:t>
      </w:r>
      <w:proofErr w:type="spellEnd"/>
      <w:r w:rsidRPr="006052F5">
        <w:rPr>
          <w:sz w:val="24"/>
          <w:szCs w:val="24"/>
        </w:rPr>
        <w:t>. § 2221 odst. 1 ve spojení s poslední větou § 2302 odst. 1 občanského zákoníku.</w:t>
      </w:r>
    </w:p>
    <w:p w14:paraId="778AECB1" w14:textId="1DAD23C9" w:rsidR="006052F5" w:rsidRDefault="006052F5" w:rsidP="00FF7F5F">
      <w:pPr>
        <w:pStyle w:val="Zkladntext"/>
        <w:numPr>
          <w:ilvl w:val="0"/>
          <w:numId w:val="31"/>
        </w:numPr>
        <w:spacing w:after="120" w:line="252" w:lineRule="auto"/>
        <w:ind w:left="426" w:hanging="426"/>
        <w:rPr>
          <w:sz w:val="24"/>
          <w:szCs w:val="24"/>
        </w:rPr>
      </w:pPr>
      <w:r w:rsidRPr="00FF7F5F">
        <w:rPr>
          <w:rFonts w:eastAsia="MS Mincho"/>
          <w:sz w:val="24"/>
          <w:szCs w:val="24"/>
        </w:rPr>
        <w:t>Nájemce je oprávněn užívat na základě Smlouvy ke dni uzavření tohoto Dodatku jako předmět nájmu (dále jen „</w:t>
      </w:r>
      <w:r w:rsidRPr="00FF7F5F">
        <w:rPr>
          <w:rFonts w:eastAsia="MS Mincho"/>
          <w:b/>
          <w:i/>
          <w:sz w:val="24"/>
          <w:szCs w:val="24"/>
        </w:rPr>
        <w:t>Předmět nájmu</w:t>
      </w:r>
      <w:r w:rsidRPr="00FF7F5F">
        <w:rPr>
          <w:rFonts w:eastAsia="MS Mincho"/>
          <w:sz w:val="24"/>
          <w:szCs w:val="24"/>
        </w:rPr>
        <w:t>“)</w:t>
      </w:r>
      <w:r w:rsidR="00FF7F5F" w:rsidRPr="00FF7F5F">
        <w:rPr>
          <w:rFonts w:eastAsia="MS Mincho"/>
          <w:sz w:val="24"/>
          <w:szCs w:val="24"/>
        </w:rPr>
        <w:t xml:space="preserve"> </w:t>
      </w:r>
      <w:r w:rsidR="00FF7F5F" w:rsidRPr="00FF7F5F">
        <w:rPr>
          <w:b/>
          <w:bCs/>
          <w:sz w:val="24"/>
          <w:szCs w:val="24"/>
        </w:rPr>
        <w:t>skladové prostory č. 149 – č. 152</w:t>
      </w:r>
      <w:r w:rsidR="00FF7F5F" w:rsidRPr="00FF7F5F">
        <w:rPr>
          <w:sz w:val="24"/>
          <w:szCs w:val="24"/>
        </w:rPr>
        <w:t xml:space="preserve"> o celkové výměře </w:t>
      </w:r>
      <w:r w:rsidR="00FF7F5F" w:rsidRPr="00FF7F5F">
        <w:rPr>
          <w:b/>
          <w:bCs/>
          <w:sz w:val="24"/>
          <w:szCs w:val="24"/>
        </w:rPr>
        <w:t>56,02 m</w:t>
      </w:r>
      <w:r w:rsidR="00FF7F5F" w:rsidRPr="00FF7F5F">
        <w:rPr>
          <w:b/>
          <w:bCs/>
          <w:sz w:val="24"/>
          <w:szCs w:val="24"/>
          <w:vertAlign w:val="superscript"/>
        </w:rPr>
        <w:t>2</w:t>
      </w:r>
      <w:r w:rsidR="00FF7F5F" w:rsidRPr="00FF7F5F">
        <w:rPr>
          <w:sz w:val="24"/>
          <w:szCs w:val="24"/>
        </w:rPr>
        <w:t xml:space="preserve"> (dále jen „</w:t>
      </w:r>
      <w:r w:rsidR="00FF7F5F" w:rsidRPr="00FF7F5F">
        <w:rPr>
          <w:b/>
          <w:bCs/>
          <w:i/>
          <w:iCs/>
          <w:sz w:val="24"/>
          <w:szCs w:val="24"/>
        </w:rPr>
        <w:t>Výměra</w:t>
      </w:r>
      <w:r w:rsidR="00FF7F5F" w:rsidRPr="00FF7F5F">
        <w:rPr>
          <w:sz w:val="24"/>
          <w:szCs w:val="24"/>
        </w:rPr>
        <w:t xml:space="preserve">“) nacházející se v 1. podzemním podlaží Budovy </w:t>
      </w:r>
      <w:r w:rsidRPr="00FF7F5F">
        <w:rPr>
          <w:sz w:val="24"/>
          <w:szCs w:val="24"/>
        </w:rPr>
        <w:t>(dále jen „</w:t>
      </w:r>
      <w:r w:rsidRPr="00FF7F5F">
        <w:rPr>
          <w:b/>
          <w:bCs/>
          <w:i/>
          <w:iCs/>
          <w:sz w:val="24"/>
          <w:szCs w:val="24"/>
        </w:rPr>
        <w:t>Skladové plochy</w:t>
      </w:r>
      <w:r w:rsidRPr="00FF7F5F">
        <w:rPr>
          <w:sz w:val="24"/>
          <w:szCs w:val="24"/>
        </w:rPr>
        <w:t>“)</w:t>
      </w:r>
      <w:r w:rsidR="00FF7F5F">
        <w:rPr>
          <w:sz w:val="24"/>
          <w:szCs w:val="24"/>
        </w:rPr>
        <w:t>.</w:t>
      </w:r>
    </w:p>
    <w:p w14:paraId="3DCCA8D4" w14:textId="3021C25F" w:rsidR="006052F5" w:rsidRPr="005F3926" w:rsidRDefault="006052F5" w:rsidP="002921C5">
      <w:pPr>
        <w:pStyle w:val="Zkladntext"/>
        <w:numPr>
          <w:ilvl w:val="0"/>
          <w:numId w:val="31"/>
        </w:numPr>
        <w:spacing w:after="60" w:line="252" w:lineRule="auto"/>
        <w:ind w:left="567" w:hanging="426"/>
        <w:rPr>
          <w:sz w:val="24"/>
          <w:szCs w:val="24"/>
        </w:rPr>
      </w:pPr>
      <w:r w:rsidRPr="005F3926">
        <w:rPr>
          <w:sz w:val="24"/>
          <w:szCs w:val="24"/>
        </w:rPr>
        <w:t xml:space="preserve">Pronajímatel a Nájemce uzavírají tento </w:t>
      </w:r>
      <w:r w:rsidR="00A13EE1" w:rsidRPr="005F3926">
        <w:rPr>
          <w:sz w:val="24"/>
          <w:szCs w:val="24"/>
        </w:rPr>
        <w:t>D</w:t>
      </w:r>
      <w:r w:rsidRPr="005F3926">
        <w:rPr>
          <w:sz w:val="24"/>
          <w:szCs w:val="24"/>
        </w:rPr>
        <w:t>odatek</w:t>
      </w:r>
      <w:r w:rsidR="00A13EE1" w:rsidRPr="005F3926">
        <w:rPr>
          <w:sz w:val="24"/>
          <w:szCs w:val="24"/>
        </w:rPr>
        <w:t xml:space="preserve"> </w:t>
      </w:r>
      <w:r w:rsidRPr="005F3926">
        <w:rPr>
          <w:sz w:val="24"/>
          <w:szCs w:val="24"/>
        </w:rPr>
        <w:t xml:space="preserve">ke Smlouvě, na jehož základě se dohodli na rozšíření předmětu nájmu o </w:t>
      </w:r>
      <w:r w:rsidR="00FF7F5F" w:rsidRPr="005F3926">
        <w:rPr>
          <w:sz w:val="24"/>
          <w:szCs w:val="24"/>
        </w:rPr>
        <w:t xml:space="preserve">skladové </w:t>
      </w:r>
      <w:r w:rsidRPr="005F3926">
        <w:rPr>
          <w:sz w:val="24"/>
          <w:szCs w:val="24"/>
        </w:rPr>
        <w:t>prostory</w:t>
      </w:r>
      <w:r w:rsidR="005F3926" w:rsidRPr="005F3926">
        <w:rPr>
          <w:sz w:val="24"/>
          <w:szCs w:val="24"/>
        </w:rPr>
        <w:t xml:space="preserve"> </w:t>
      </w:r>
      <w:r w:rsidRPr="005F3926">
        <w:rPr>
          <w:sz w:val="24"/>
          <w:szCs w:val="24"/>
        </w:rPr>
        <w:t xml:space="preserve">č. </w:t>
      </w:r>
      <w:r w:rsidR="00FF7F5F" w:rsidRPr="005F3926">
        <w:rPr>
          <w:sz w:val="24"/>
          <w:szCs w:val="24"/>
        </w:rPr>
        <w:t>170 a 171 o výměře 22,08 m2</w:t>
      </w:r>
      <w:r w:rsidR="005F3926" w:rsidRPr="005F3926">
        <w:rPr>
          <w:sz w:val="24"/>
          <w:szCs w:val="24"/>
        </w:rPr>
        <w:t xml:space="preserve"> </w:t>
      </w:r>
      <w:r w:rsidR="00FF7F5F" w:rsidRPr="005F3926">
        <w:rPr>
          <w:sz w:val="24"/>
          <w:szCs w:val="24"/>
        </w:rPr>
        <w:t xml:space="preserve">a skladové prostory č. 153 o výměře 6,09 m2, </w:t>
      </w:r>
      <w:r w:rsidR="005F3926" w:rsidRPr="005F3926">
        <w:rPr>
          <w:sz w:val="24"/>
          <w:szCs w:val="24"/>
        </w:rPr>
        <w:t xml:space="preserve">tj. celkem </w:t>
      </w:r>
      <w:r w:rsidR="00FF7F5F" w:rsidRPr="005F3926">
        <w:rPr>
          <w:b/>
          <w:bCs/>
          <w:sz w:val="24"/>
          <w:szCs w:val="24"/>
        </w:rPr>
        <w:t>28,17 m2</w:t>
      </w:r>
      <w:r w:rsidR="00FF7F5F" w:rsidRPr="005F3926">
        <w:rPr>
          <w:sz w:val="24"/>
          <w:szCs w:val="24"/>
        </w:rPr>
        <w:t xml:space="preserve">, </w:t>
      </w:r>
      <w:r w:rsidRPr="005F3926">
        <w:rPr>
          <w:sz w:val="24"/>
          <w:szCs w:val="24"/>
        </w:rPr>
        <w:t xml:space="preserve">umístěné v </w:t>
      </w:r>
      <w:r w:rsidR="00FF7F5F" w:rsidRPr="005F3926">
        <w:rPr>
          <w:sz w:val="24"/>
          <w:szCs w:val="24"/>
        </w:rPr>
        <w:t>1</w:t>
      </w:r>
      <w:r w:rsidRPr="005F3926">
        <w:rPr>
          <w:sz w:val="24"/>
          <w:szCs w:val="24"/>
        </w:rPr>
        <w:t xml:space="preserve">. </w:t>
      </w:r>
      <w:r w:rsidR="00FF7F5F" w:rsidRPr="005F3926">
        <w:rPr>
          <w:sz w:val="24"/>
          <w:szCs w:val="24"/>
        </w:rPr>
        <w:t>po</w:t>
      </w:r>
      <w:r w:rsidRPr="005F3926">
        <w:rPr>
          <w:sz w:val="24"/>
          <w:szCs w:val="24"/>
        </w:rPr>
        <w:t>dzemním podlaží Budovy</w:t>
      </w:r>
      <w:r w:rsidR="00FF7F5F" w:rsidRPr="005F3926">
        <w:rPr>
          <w:sz w:val="24"/>
          <w:szCs w:val="24"/>
        </w:rPr>
        <w:t xml:space="preserve"> </w:t>
      </w:r>
      <w:r w:rsidRPr="005F3926">
        <w:rPr>
          <w:sz w:val="24"/>
          <w:szCs w:val="24"/>
        </w:rPr>
        <w:t>(dále jen „</w:t>
      </w:r>
      <w:r w:rsidRPr="005F3926">
        <w:rPr>
          <w:b/>
          <w:bCs/>
          <w:i/>
          <w:iCs/>
          <w:sz w:val="24"/>
          <w:szCs w:val="24"/>
        </w:rPr>
        <w:t>Nové prostory</w:t>
      </w:r>
      <w:r w:rsidRPr="005F3926">
        <w:rPr>
          <w:sz w:val="24"/>
          <w:szCs w:val="24"/>
        </w:rPr>
        <w:t xml:space="preserve">“). Nové prostory jsou vyznačeny na půdorysném plánu podlaží Budovy, který tvoří přílohu č. </w:t>
      </w:r>
      <w:r w:rsidR="008224BE" w:rsidRPr="005F3926">
        <w:rPr>
          <w:sz w:val="24"/>
          <w:szCs w:val="24"/>
        </w:rPr>
        <w:t>1</w:t>
      </w:r>
      <w:r w:rsidRPr="005F3926">
        <w:rPr>
          <w:sz w:val="24"/>
          <w:szCs w:val="24"/>
        </w:rPr>
        <w:t xml:space="preserve"> této Smlouvy.</w:t>
      </w:r>
    </w:p>
    <w:p w14:paraId="38ADB357" w14:textId="7AC5ED4A" w:rsidR="00D41FA2" w:rsidRDefault="00D41FA2" w:rsidP="00D41FA2">
      <w:pPr>
        <w:jc w:val="both"/>
        <w:rPr>
          <w:sz w:val="20"/>
        </w:rPr>
      </w:pPr>
    </w:p>
    <w:p w14:paraId="57C61A99" w14:textId="77777777" w:rsidR="00D41FA2" w:rsidRPr="00D43F78" w:rsidRDefault="00D41FA2" w:rsidP="00D41FA2">
      <w:pPr>
        <w:pStyle w:val="Prosttext"/>
        <w:spacing w:line="252" w:lineRule="auto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D43F78">
        <w:rPr>
          <w:rFonts w:ascii="Times New Roman" w:eastAsia="MS Mincho" w:hAnsi="Times New Roman"/>
          <w:b/>
          <w:sz w:val="28"/>
          <w:szCs w:val="28"/>
        </w:rPr>
        <w:t>Článek II.</w:t>
      </w:r>
    </w:p>
    <w:p w14:paraId="65F74BB4" w14:textId="6D03F68D" w:rsidR="00D41FA2" w:rsidRPr="00D43F78" w:rsidRDefault="00D41FA2" w:rsidP="00D41FA2">
      <w:pPr>
        <w:pStyle w:val="Prosttext"/>
        <w:spacing w:after="120" w:line="252" w:lineRule="auto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D43F78">
        <w:rPr>
          <w:rFonts w:ascii="Times New Roman" w:hAnsi="Times New Roman"/>
          <w:b/>
          <w:sz w:val="28"/>
          <w:szCs w:val="28"/>
        </w:rPr>
        <w:t>Změny ve Smlouvě</w:t>
      </w:r>
    </w:p>
    <w:p w14:paraId="0D1FABBB" w14:textId="2B10A9AA" w:rsidR="00D41FA2" w:rsidRPr="008224BE" w:rsidRDefault="00D41FA2" w:rsidP="00D41FA2">
      <w:pPr>
        <w:jc w:val="both"/>
        <w:rPr>
          <w:rFonts w:eastAsia="MS Mincho"/>
          <w:szCs w:val="24"/>
        </w:rPr>
      </w:pPr>
      <w:r w:rsidRPr="008224BE">
        <w:rPr>
          <w:rFonts w:eastAsia="MS Mincho"/>
          <w:szCs w:val="24"/>
        </w:rPr>
        <w:t xml:space="preserve">Pronajímatel a Nájemce se dohodli na tom, že se s účinností ode dne </w:t>
      </w:r>
      <w:r w:rsidR="00DD3B54" w:rsidRPr="00DD3B54">
        <w:rPr>
          <w:rFonts w:eastAsia="MS Mincho"/>
          <w:b/>
          <w:bCs/>
          <w:szCs w:val="24"/>
        </w:rPr>
        <w:t>1</w:t>
      </w:r>
      <w:r w:rsidRPr="00DD3B54">
        <w:rPr>
          <w:rFonts w:eastAsia="MS Mincho"/>
          <w:b/>
          <w:bCs/>
          <w:szCs w:val="24"/>
        </w:rPr>
        <w:t xml:space="preserve">. </w:t>
      </w:r>
      <w:r w:rsidR="00DD3B54" w:rsidRPr="00DD3B54">
        <w:rPr>
          <w:rFonts w:eastAsia="MS Mincho"/>
          <w:b/>
          <w:bCs/>
          <w:szCs w:val="24"/>
        </w:rPr>
        <w:t>dubna</w:t>
      </w:r>
      <w:r w:rsidRPr="008224BE">
        <w:rPr>
          <w:rFonts w:eastAsia="MS Mincho"/>
          <w:b/>
          <w:bCs/>
          <w:szCs w:val="24"/>
        </w:rPr>
        <w:t xml:space="preserve"> 202</w:t>
      </w:r>
      <w:r w:rsidR="008224BE">
        <w:rPr>
          <w:rFonts w:eastAsia="MS Mincho"/>
          <w:b/>
          <w:bCs/>
          <w:szCs w:val="24"/>
        </w:rPr>
        <w:t>4</w:t>
      </w:r>
      <w:r w:rsidRPr="008224BE">
        <w:rPr>
          <w:rFonts w:eastAsia="MS Mincho"/>
          <w:szCs w:val="24"/>
        </w:rPr>
        <w:t xml:space="preserve"> (dále jen „</w:t>
      </w:r>
      <w:r w:rsidRPr="008224BE">
        <w:rPr>
          <w:rFonts w:eastAsia="MS Mincho"/>
          <w:b/>
          <w:i/>
          <w:szCs w:val="24"/>
        </w:rPr>
        <w:t>Den změny</w:t>
      </w:r>
      <w:r w:rsidRPr="008224BE">
        <w:rPr>
          <w:rFonts w:eastAsia="MS Mincho"/>
          <w:szCs w:val="24"/>
        </w:rPr>
        <w:t xml:space="preserve">“) se </w:t>
      </w:r>
      <w:r w:rsidR="008D65E1" w:rsidRPr="008224BE">
        <w:rPr>
          <w:rFonts w:eastAsia="MS Mincho"/>
          <w:szCs w:val="24"/>
        </w:rPr>
        <w:t xml:space="preserve">mění </w:t>
      </w:r>
      <w:r w:rsidRPr="008224BE">
        <w:rPr>
          <w:rFonts w:eastAsia="MS Mincho"/>
          <w:szCs w:val="24"/>
        </w:rPr>
        <w:t xml:space="preserve">článek I. </w:t>
      </w:r>
      <w:r w:rsidR="00DD3B54">
        <w:rPr>
          <w:rFonts w:eastAsia="MS Mincho"/>
          <w:szCs w:val="24"/>
        </w:rPr>
        <w:t>P</w:t>
      </w:r>
      <w:r w:rsidRPr="008224BE">
        <w:rPr>
          <w:rFonts w:eastAsia="MS Mincho"/>
          <w:szCs w:val="24"/>
        </w:rPr>
        <w:t>ředmět nájmu</w:t>
      </w:r>
      <w:r w:rsidR="00DD3B54">
        <w:rPr>
          <w:rFonts w:eastAsia="MS Mincho"/>
          <w:szCs w:val="24"/>
        </w:rPr>
        <w:t>, odstavec 2.</w:t>
      </w:r>
      <w:r w:rsidR="00113E4C">
        <w:rPr>
          <w:rFonts w:eastAsia="MS Mincho"/>
          <w:szCs w:val="24"/>
        </w:rPr>
        <w:t xml:space="preserve"> Smlouvy</w:t>
      </w:r>
      <w:r w:rsidRPr="008224BE">
        <w:rPr>
          <w:rFonts w:eastAsia="MS Mincho"/>
          <w:szCs w:val="24"/>
        </w:rPr>
        <w:t xml:space="preserve"> takto:</w:t>
      </w:r>
    </w:p>
    <w:p w14:paraId="53343740" w14:textId="77777777" w:rsidR="008D65E1" w:rsidRPr="00F84EE1" w:rsidRDefault="008D65E1" w:rsidP="00D41FA2">
      <w:pPr>
        <w:jc w:val="both"/>
        <w:rPr>
          <w:rFonts w:eastAsia="MS Mincho"/>
          <w:sz w:val="12"/>
          <w:szCs w:val="12"/>
        </w:rPr>
      </w:pPr>
    </w:p>
    <w:p w14:paraId="5AA4B3EB" w14:textId="0C4F910B" w:rsidR="00DD3B54" w:rsidRPr="005F3926" w:rsidRDefault="004D3FFB" w:rsidP="00DD3B54">
      <w:pPr>
        <w:spacing w:after="120"/>
        <w:ind w:left="425"/>
        <w:jc w:val="both"/>
        <w:rPr>
          <w:i/>
          <w:iCs/>
          <w:szCs w:val="24"/>
        </w:rPr>
      </w:pPr>
      <w:r>
        <w:rPr>
          <w:rFonts w:eastAsia="MS Mincho"/>
          <w:i/>
          <w:iCs/>
          <w:szCs w:val="24"/>
        </w:rPr>
        <w:t>„</w:t>
      </w:r>
      <w:r w:rsidR="00DD3B54" w:rsidRPr="005F3926">
        <w:rPr>
          <w:rFonts w:eastAsia="MS Mincho"/>
          <w:i/>
          <w:iCs/>
          <w:szCs w:val="24"/>
        </w:rPr>
        <w:t>2.</w:t>
      </w:r>
      <w:r>
        <w:rPr>
          <w:rFonts w:eastAsia="MS Mincho"/>
          <w:i/>
          <w:iCs/>
          <w:szCs w:val="24"/>
        </w:rPr>
        <w:t xml:space="preserve">  </w:t>
      </w:r>
      <w:r w:rsidR="00DD3B54" w:rsidRPr="005F3926">
        <w:rPr>
          <w:i/>
          <w:iCs/>
          <w:szCs w:val="24"/>
        </w:rPr>
        <w:t>Předmětem nájmu podle této Smlouvy jsou:</w:t>
      </w:r>
    </w:p>
    <w:p w14:paraId="5C87BDB0" w14:textId="763B0137" w:rsidR="005F3926" w:rsidRPr="005F3926" w:rsidRDefault="00DD3B54" w:rsidP="00DD3B54">
      <w:pPr>
        <w:pStyle w:val="Odstavecseseznamem"/>
        <w:numPr>
          <w:ilvl w:val="0"/>
          <w:numId w:val="39"/>
        </w:numPr>
        <w:spacing w:after="120"/>
        <w:jc w:val="both"/>
        <w:rPr>
          <w:i/>
          <w:iCs/>
          <w:sz w:val="24"/>
          <w:szCs w:val="24"/>
        </w:rPr>
      </w:pPr>
      <w:r w:rsidRPr="005F3926">
        <w:rPr>
          <w:i/>
          <w:iCs/>
          <w:sz w:val="24"/>
          <w:szCs w:val="24"/>
        </w:rPr>
        <w:t>skladové prostory č. 149 – č. 152 o celkové výměře 56,02 m</w:t>
      </w:r>
      <w:r w:rsidRPr="005F3926">
        <w:rPr>
          <w:i/>
          <w:iCs/>
          <w:sz w:val="24"/>
          <w:szCs w:val="24"/>
          <w:vertAlign w:val="superscript"/>
        </w:rPr>
        <w:t>2</w:t>
      </w:r>
      <w:r w:rsidR="005F3926" w:rsidRPr="005F3926">
        <w:rPr>
          <w:i/>
          <w:iCs/>
          <w:sz w:val="24"/>
          <w:szCs w:val="24"/>
        </w:rPr>
        <w:t>,</w:t>
      </w:r>
    </w:p>
    <w:p w14:paraId="2433D7C6" w14:textId="5442A363" w:rsidR="005F3926" w:rsidRPr="005F3926" w:rsidRDefault="005F3926" w:rsidP="005F3926">
      <w:pPr>
        <w:pStyle w:val="Zkladntext"/>
        <w:numPr>
          <w:ilvl w:val="0"/>
          <w:numId w:val="39"/>
        </w:numPr>
        <w:spacing w:after="60" w:line="252" w:lineRule="auto"/>
        <w:rPr>
          <w:i/>
          <w:iCs/>
          <w:sz w:val="24"/>
          <w:szCs w:val="24"/>
        </w:rPr>
      </w:pPr>
      <w:r w:rsidRPr="005F3926">
        <w:rPr>
          <w:i/>
          <w:iCs/>
          <w:sz w:val="24"/>
          <w:szCs w:val="24"/>
        </w:rPr>
        <w:t>skladové prostory č. 170 a č. 171 o výměře 22,08 m2</w:t>
      </w:r>
    </w:p>
    <w:p w14:paraId="73E99899" w14:textId="77777777" w:rsidR="005F3926" w:rsidRPr="005F3926" w:rsidRDefault="005F3926" w:rsidP="005F3926">
      <w:pPr>
        <w:pStyle w:val="Zkladntext"/>
        <w:spacing w:after="60" w:line="252" w:lineRule="auto"/>
        <w:ind w:left="1066"/>
        <w:rPr>
          <w:i/>
          <w:iCs/>
          <w:sz w:val="24"/>
          <w:szCs w:val="24"/>
        </w:rPr>
      </w:pPr>
      <w:r w:rsidRPr="005F3926">
        <w:rPr>
          <w:i/>
          <w:iCs/>
          <w:sz w:val="24"/>
          <w:szCs w:val="24"/>
        </w:rPr>
        <w:t xml:space="preserve">a </w:t>
      </w:r>
    </w:p>
    <w:p w14:paraId="0AE83B77" w14:textId="77777777" w:rsidR="005F3926" w:rsidRPr="005F3926" w:rsidRDefault="005F3926" w:rsidP="005F3926">
      <w:pPr>
        <w:pStyle w:val="Zkladntext"/>
        <w:numPr>
          <w:ilvl w:val="0"/>
          <w:numId w:val="39"/>
        </w:numPr>
        <w:spacing w:after="60" w:line="252" w:lineRule="auto"/>
        <w:rPr>
          <w:i/>
          <w:iCs/>
          <w:sz w:val="24"/>
          <w:szCs w:val="24"/>
        </w:rPr>
      </w:pPr>
      <w:r w:rsidRPr="005F3926">
        <w:rPr>
          <w:i/>
          <w:iCs/>
          <w:sz w:val="24"/>
          <w:szCs w:val="24"/>
        </w:rPr>
        <w:t>skladové prostory č. 153 o výměře 6,09 m2,</w:t>
      </w:r>
    </w:p>
    <w:p w14:paraId="5280390F" w14:textId="148D44E2" w:rsidR="00D41FA2" w:rsidRPr="005F3926" w:rsidRDefault="005F3926" w:rsidP="005F3926">
      <w:pPr>
        <w:pStyle w:val="Zkladntext"/>
        <w:spacing w:after="60" w:line="252" w:lineRule="auto"/>
        <w:ind w:left="709"/>
        <w:rPr>
          <w:i/>
          <w:iCs/>
          <w:sz w:val="24"/>
          <w:szCs w:val="24"/>
        </w:rPr>
      </w:pPr>
      <w:r w:rsidRPr="005F3926">
        <w:rPr>
          <w:i/>
          <w:iCs/>
          <w:sz w:val="24"/>
          <w:szCs w:val="24"/>
        </w:rPr>
        <w:t xml:space="preserve">kdy celková výměra skladových prostor činí </w:t>
      </w:r>
      <w:r w:rsidRPr="005F3926">
        <w:rPr>
          <w:b/>
          <w:bCs/>
          <w:i/>
          <w:iCs/>
          <w:sz w:val="24"/>
          <w:szCs w:val="24"/>
        </w:rPr>
        <w:t>84,19 m2</w:t>
      </w:r>
      <w:r w:rsidRPr="005F3926">
        <w:rPr>
          <w:i/>
          <w:iCs/>
          <w:sz w:val="24"/>
          <w:szCs w:val="24"/>
        </w:rPr>
        <w:t xml:space="preserve"> </w:t>
      </w:r>
      <w:r w:rsidR="00DD3B54" w:rsidRPr="005F3926">
        <w:rPr>
          <w:i/>
          <w:iCs/>
          <w:sz w:val="24"/>
          <w:szCs w:val="24"/>
        </w:rPr>
        <w:t>(dále jen „</w:t>
      </w:r>
      <w:r w:rsidR="00DD3B54" w:rsidRPr="005F3926">
        <w:rPr>
          <w:b/>
          <w:bCs/>
          <w:i/>
          <w:iCs/>
          <w:sz w:val="24"/>
          <w:szCs w:val="24"/>
        </w:rPr>
        <w:t>Výměra</w:t>
      </w:r>
      <w:r w:rsidR="00DD3B54" w:rsidRPr="005F3926">
        <w:rPr>
          <w:i/>
          <w:iCs/>
          <w:sz w:val="24"/>
          <w:szCs w:val="24"/>
        </w:rPr>
        <w:t>“)</w:t>
      </w:r>
      <w:r>
        <w:rPr>
          <w:i/>
          <w:iCs/>
          <w:sz w:val="24"/>
          <w:szCs w:val="24"/>
        </w:rPr>
        <w:t>,</w:t>
      </w:r>
      <w:r w:rsidR="00DD3B54" w:rsidRPr="005F3926">
        <w:rPr>
          <w:i/>
          <w:iCs/>
          <w:sz w:val="24"/>
          <w:szCs w:val="24"/>
        </w:rPr>
        <w:t xml:space="preserve"> nacházející se v 1. podzemním podlaží Budovy. Prostory jsou vyznačeny na půdorysném plánu podlaží Budovy, který tvoří přílohu č. 2 této Smlouvy (dále jen „</w:t>
      </w:r>
      <w:r w:rsidR="00DD3B54" w:rsidRPr="005F3926">
        <w:rPr>
          <w:b/>
          <w:bCs/>
          <w:i/>
          <w:iCs/>
          <w:sz w:val="24"/>
          <w:szCs w:val="24"/>
        </w:rPr>
        <w:t>Prostory</w:t>
      </w:r>
      <w:r w:rsidR="00DD3B54" w:rsidRPr="005F3926">
        <w:rPr>
          <w:i/>
          <w:iCs/>
          <w:sz w:val="24"/>
          <w:szCs w:val="24"/>
        </w:rPr>
        <w:t>“ nebo „</w:t>
      </w:r>
      <w:r w:rsidR="00DD3B54" w:rsidRPr="005F3926">
        <w:rPr>
          <w:b/>
          <w:i/>
          <w:iCs/>
          <w:sz w:val="24"/>
          <w:szCs w:val="24"/>
          <w:lang w:val="pl-PL"/>
        </w:rPr>
        <w:t>Předmět nájmu</w:t>
      </w:r>
      <w:r w:rsidR="00DD3B54" w:rsidRPr="005F3926">
        <w:rPr>
          <w:i/>
          <w:iCs/>
          <w:sz w:val="24"/>
          <w:szCs w:val="24"/>
          <w:lang w:val="pl-PL"/>
        </w:rPr>
        <w:t>“</w:t>
      </w:r>
      <w:r w:rsidR="00DD3B54" w:rsidRPr="005F3926">
        <w:rPr>
          <w:i/>
          <w:iCs/>
          <w:sz w:val="24"/>
          <w:szCs w:val="24"/>
        </w:rPr>
        <w:t>).</w:t>
      </w:r>
      <w:r w:rsidR="00113E4C">
        <w:rPr>
          <w:rFonts w:eastAsia="MS Mincho"/>
          <w:i/>
          <w:iCs/>
          <w:szCs w:val="24"/>
        </w:rPr>
        <w:t>“</w:t>
      </w:r>
    </w:p>
    <w:p w14:paraId="023AFD52" w14:textId="2C14E6CA" w:rsidR="00D41FA2" w:rsidRPr="008224BE" w:rsidRDefault="00D41FA2" w:rsidP="00D41FA2">
      <w:pPr>
        <w:jc w:val="both"/>
        <w:rPr>
          <w:rFonts w:eastAsia="MS Mincho"/>
          <w:szCs w:val="24"/>
        </w:rPr>
      </w:pPr>
    </w:p>
    <w:p w14:paraId="74743E09" w14:textId="46EC731D" w:rsidR="000134EF" w:rsidRPr="00D43F78" w:rsidRDefault="000134EF" w:rsidP="00CF780A">
      <w:pPr>
        <w:jc w:val="center"/>
        <w:rPr>
          <w:b/>
          <w:sz w:val="28"/>
          <w:szCs w:val="28"/>
        </w:rPr>
      </w:pPr>
      <w:r w:rsidRPr="00D43F78">
        <w:rPr>
          <w:b/>
          <w:sz w:val="28"/>
          <w:szCs w:val="28"/>
        </w:rPr>
        <w:t xml:space="preserve">Článek </w:t>
      </w:r>
      <w:r w:rsidR="00D43F78" w:rsidRPr="00D43F78">
        <w:rPr>
          <w:b/>
          <w:sz w:val="28"/>
          <w:szCs w:val="28"/>
        </w:rPr>
        <w:t>III.</w:t>
      </w:r>
    </w:p>
    <w:p w14:paraId="2A7CE29F" w14:textId="77777777" w:rsidR="000134EF" w:rsidRPr="00D43F78" w:rsidRDefault="000134EF" w:rsidP="00CF780A">
      <w:pPr>
        <w:pStyle w:val="Nadpis5"/>
        <w:spacing w:after="120" w:line="240" w:lineRule="auto"/>
        <w:rPr>
          <w:sz w:val="28"/>
          <w:szCs w:val="28"/>
        </w:rPr>
      </w:pPr>
      <w:r w:rsidRPr="00D43F78">
        <w:rPr>
          <w:sz w:val="28"/>
          <w:szCs w:val="28"/>
        </w:rPr>
        <w:t>Závěrečná ustanovení</w:t>
      </w:r>
    </w:p>
    <w:p w14:paraId="10A20459" w14:textId="6FC2BD22" w:rsidR="00A13EE1" w:rsidRPr="00A13EE1" w:rsidRDefault="00A13EE1" w:rsidP="00A13EE1">
      <w:pPr>
        <w:pStyle w:val="Zkladntextodsazen"/>
        <w:numPr>
          <w:ilvl w:val="0"/>
          <w:numId w:val="10"/>
        </w:numPr>
        <w:tabs>
          <w:tab w:val="clear" w:pos="720"/>
          <w:tab w:val="num" w:pos="851"/>
        </w:tabs>
        <w:spacing w:after="120" w:line="252" w:lineRule="auto"/>
        <w:ind w:left="426" w:hanging="426"/>
        <w:rPr>
          <w:sz w:val="24"/>
          <w:szCs w:val="24"/>
        </w:rPr>
      </w:pPr>
      <w:r>
        <w:rPr>
          <w:rFonts w:eastAsia="MS Mincho"/>
          <w:sz w:val="24"/>
          <w:szCs w:val="24"/>
        </w:rPr>
        <w:t>Ke Dni změny bude o</w:t>
      </w:r>
      <w:r w:rsidRPr="00A13EE1">
        <w:rPr>
          <w:rFonts w:eastAsia="MS Mincho"/>
          <w:sz w:val="24"/>
          <w:szCs w:val="24"/>
        </w:rPr>
        <w:t xml:space="preserve"> předání </w:t>
      </w:r>
      <w:r w:rsidR="005F3926">
        <w:rPr>
          <w:rFonts w:eastAsia="MS Mincho"/>
          <w:sz w:val="24"/>
          <w:szCs w:val="24"/>
        </w:rPr>
        <w:t>Nových prostor</w:t>
      </w:r>
      <w:r w:rsidRPr="00A13EE1">
        <w:rPr>
          <w:rFonts w:eastAsia="MS Mincho"/>
          <w:sz w:val="24"/>
          <w:szCs w:val="24"/>
        </w:rPr>
        <w:t xml:space="preserve"> ze strany Pronajímatele a je</w:t>
      </w:r>
      <w:r w:rsidR="005F3926">
        <w:rPr>
          <w:rFonts w:eastAsia="MS Mincho"/>
          <w:sz w:val="24"/>
          <w:szCs w:val="24"/>
        </w:rPr>
        <w:t>jich</w:t>
      </w:r>
      <w:r w:rsidRPr="00A13EE1">
        <w:rPr>
          <w:rFonts w:eastAsia="MS Mincho"/>
          <w:sz w:val="24"/>
          <w:szCs w:val="24"/>
        </w:rPr>
        <w:t xml:space="preserve"> převzetí Nájemcem sepsán a ze strany Pronajímatele, v postavení předávajícího, a Nájemce, v postavení přebírajícího, podepsán písemný protokol</w:t>
      </w:r>
      <w:r w:rsidRPr="00A13EE1">
        <w:rPr>
          <w:sz w:val="24"/>
          <w:szCs w:val="24"/>
        </w:rPr>
        <w:t>.</w:t>
      </w:r>
    </w:p>
    <w:p w14:paraId="208A3D85" w14:textId="65542A47" w:rsidR="00A13EE1" w:rsidRPr="005F3926" w:rsidRDefault="00D41FA2" w:rsidP="00A13EE1">
      <w:pPr>
        <w:pStyle w:val="Zkladntextodsazen"/>
        <w:numPr>
          <w:ilvl w:val="0"/>
          <w:numId w:val="10"/>
        </w:numPr>
        <w:tabs>
          <w:tab w:val="clear" w:pos="720"/>
          <w:tab w:val="num" w:pos="851"/>
        </w:tabs>
        <w:spacing w:after="120" w:line="252" w:lineRule="auto"/>
        <w:ind w:left="426" w:hanging="426"/>
        <w:rPr>
          <w:sz w:val="24"/>
          <w:szCs w:val="24"/>
        </w:rPr>
      </w:pPr>
      <w:r w:rsidRPr="008224BE">
        <w:rPr>
          <w:sz w:val="24"/>
          <w:szCs w:val="24"/>
        </w:rPr>
        <w:t xml:space="preserve">Všechna zbývající ustanovení Smlouvy, která jsou tímto </w:t>
      </w:r>
      <w:r w:rsidR="00895FE9">
        <w:rPr>
          <w:sz w:val="24"/>
          <w:szCs w:val="24"/>
        </w:rPr>
        <w:t>D</w:t>
      </w:r>
      <w:r w:rsidRPr="008224BE">
        <w:rPr>
          <w:sz w:val="24"/>
          <w:szCs w:val="24"/>
        </w:rPr>
        <w:t xml:space="preserve">odatkem ke Smlouvě nedotčena, </w:t>
      </w:r>
      <w:r w:rsidRPr="005F3926">
        <w:rPr>
          <w:sz w:val="24"/>
          <w:szCs w:val="24"/>
        </w:rPr>
        <w:t>jsou i nadále platná a účinná a zůstávají pro obě smluvní strany v plném rozsahu závazná.</w:t>
      </w:r>
    </w:p>
    <w:p w14:paraId="1933E796" w14:textId="69C939C9" w:rsidR="005F3926" w:rsidRPr="005F3926" w:rsidRDefault="005F3926" w:rsidP="005F3926">
      <w:pPr>
        <w:pStyle w:val="Zkladntextodsazen"/>
        <w:numPr>
          <w:ilvl w:val="0"/>
          <w:numId w:val="10"/>
        </w:numPr>
        <w:tabs>
          <w:tab w:val="clear" w:pos="720"/>
          <w:tab w:val="num" w:pos="851"/>
        </w:tabs>
        <w:spacing w:after="120" w:line="252" w:lineRule="auto"/>
        <w:ind w:left="426" w:hanging="426"/>
        <w:rPr>
          <w:sz w:val="24"/>
          <w:szCs w:val="24"/>
        </w:rPr>
      </w:pPr>
      <w:r w:rsidRPr="005F3926">
        <w:rPr>
          <w:sz w:val="24"/>
          <w:szCs w:val="24"/>
        </w:rPr>
        <w:t>Smluvní strany berou na vědomí, že t</w:t>
      </w:r>
      <w:r w:rsidR="004D3FFB">
        <w:rPr>
          <w:sz w:val="24"/>
          <w:szCs w:val="24"/>
        </w:rPr>
        <w:t>en</w:t>
      </w:r>
      <w:r w:rsidRPr="005F3926">
        <w:rPr>
          <w:sz w:val="24"/>
          <w:szCs w:val="24"/>
        </w:rPr>
        <w:t xml:space="preserve">to </w:t>
      </w:r>
      <w:r w:rsidR="004D3FFB">
        <w:rPr>
          <w:sz w:val="24"/>
          <w:szCs w:val="24"/>
        </w:rPr>
        <w:t>Dodatek</w:t>
      </w:r>
      <w:r w:rsidRPr="005F3926">
        <w:rPr>
          <w:sz w:val="24"/>
          <w:szCs w:val="24"/>
        </w:rPr>
        <w:t xml:space="preserve"> podléhá povinnosti jeho uveřejnění prostřednictvím registru smluv v souladu se zákonem č. 340/2015 Sb., o zvláštních podmínkách účinnosti některých smluv, uveřejňování těchto smluv a o registru smluv (zákon o registru smluv), ve znění pozdějších předpisů. Smluvní strany berou dále na vědomí, že t</w:t>
      </w:r>
      <w:r w:rsidR="004D3FFB">
        <w:rPr>
          <w:sz w:val="24"/>
          <w:szCs w:val="24"/>
        </w:rPr>
        <w:t>en</w:t>
      </w:r>
      <w:r w:rsidRPr="005F3926">
        <w:rPr>
          <w:sz w:val="24"/>
          <w:szCs w:val="24"/>
        </w:rPr>
        <w:t xml:space="preserve">to </w:t>
      </w:r>
      <w:r w:rsidR="004D3FFB">
        <w:rPr>
          <w:sz w:val="24"/>
          <w:szCs w:val="24"/>
        </w:rPr>
        <w:t>Dodatek</w:t>
      </w:r>
      <w:r w:rsidRPr="005F3926">
        <w:rPr>
          <w:sz w:val="24"/>
          <w:szCs w:val="24"/>
        </w:rPr>
        <w:t xml:space="preserve"> nabývá účinnosti nejdříve dnem jeho uveřejnění prostřednictvím registru smluv. Nájemce zašle t</w:t>
      </w:r>
      <w:r w:rsidR="004D3FFB">
        <w:rPr>
          <w:sz w:val="24"/>
          <w:szCs w:val="24"/>
        </w:rPr>
        <w:t>en</w:t>
      </w:r>
      <w:r w:rsidRPr="005F3926">
        <w:rPr>
          <w:sz w:val="24"/>
          <w:szCs w:val="24"/>
        </w:rPr>
        <w:t xml:space="preserve">to </w:t>
      </w:r>
      <w:r w:rsidR="004D3FFB">
        <w:rPr>
          <w:sz w:val="24"/>
          <w:szCs w:val="24"/>
        </w:rPr>
        <w:t>Dodatek</w:t>
      </w:r>
      <w:r w:rsidRPr="005F3926">
        <w:rPr>
          <w:sz w:val="24"/>
          <w:szCs w:val="24"/>
        </w:rPr>
        <w:t xml:space="preserve"> správci registru smluv k uveřejnění bez zbytečného odkladu, nejpozději však do třiceti (30) dnů od jeho uzavření. Nebude-li </w:t>
      </w:r>
      <w:r w:rsidR="004D3FFB" w:rsidRPr="005F3926">
        <w:rPr>
          <w:sz w:val="24"/>
          <w:szCs w:val="24"/>
        </w:rPr>
        <w:t>t</w:t>
      </w:r>
      <w:r w:rsidR="004D3FFB">
        <w:rPr>
          <w:sz w:val="24"/>
          <w:szCs w:val="24"/>
        </w:rPr>
        <w:t>en</w:t>
      </w:r>
      <w:r w:rsidR="004D3FFB" w:rsidRPr="005F3926">
        <w:rPr>
          <w:sz w:val="24"/>
          <w:szCs w:val="24"/>
        </w:rPr>
        <w:t xml:space="preserve">to </w:t>
      </w:r>
      <w:r w:rsidR="004D3FFB">
        <w:rPr>
          <w:sz w:val="24"/>
          <w:szCs w:val="24"/>
        </w:rPr>
        <w:t>Dodatek</w:t>
      </w:r>
      <w:r w:rsidR="004D3FFB" w:rsidRPr="005F3926">
        <w:rPr>
          <w:sz w:val="24"/>
          <w:szCs w:val="24"/>
        </w:rPr>
        <w:t xml:space="preserve"> </w:t>
      </w:r>
      <w:r w:rsidRPr="005F3926">
        <w:rPr>
          <w:sz w:val="24"/>
          <w:szCs w:val="24"/>
        </w:rPr>
        <w:t xml:space="preserve">zaslán k uveřejnění a/nebo uveřejněn prostřednictvím registru smluv, není žádná ze Smluvních stran oprávněna požadovat po druhé Smluvní straně náhradu škody ani jiné újmy, která by jí v této souvislosti vznikla nebo vzniknout mohla. </w:t>
      </w:r>
    </w:p>
    <w:p w14:paraId="74EA6312" w14:textId="3A99C37F" w:rsidR="00D41FA2" w:rsidRPr="008224BE" w:rsidRDefault="00D41FA2" w:rsidP="00D43F78">
      <w:pPr>
        <w:pStyle w:val="Zkladntextodsazen"/>
        <w:numPr>
          <w:ilvl w:val="0"/>
          <w:numId w:val="10"/>
        </w:numPr>
        <w:tabs>
          <w:tab w:val="clear" w:pos="720"/>
          <w:tab w:val="num" w:pos="851"/>
        </w:tabs>
        <w:spacing w:after="120" w:line="252" w:lineRule="auto"/>
        <w:ind w:left="426" w:hanging="426"/>
        <w:rPr>
          <w:sz w:val="24"/>
          <w:szCs w:val="24"/>
        </w:rPr>
      </w:pPr>
      <w:r w:rsidRPr="005F3926">
        <w:rPr>
          <w:sz w:val="24"/>
          <w:szCs w:val="24"/>
        </w:rPr>
        <w:lastRenderedPageBreak/>
        <w:t xml:space="preserve">Pojmy a slovní spojení používané v tomto </w:t>
      </w:r>
      <w:r w:rsidR="00945D3C" w:rsidRPr="005F3926">
        <w:rPr>
          <w:sz w:val="24"/>
          <w:szCs w:val="24"/>
        </w:rPr>
        <w:t>D</w:t>
      </w:r>
      <w:r w:rsidRPr="005F3926">
        <w:rPr>
          <w:sz w:val="24"/>
          <w:szCs w:val="24"/>
        </w:rPr>
        <w:t>odatku</w:t>
      </w:r>
      <w:r w:rsidRPr="008224BE">
        <w:rPr>
          <w:sz w:val="24"/>
          <w:szCs w:val="24"/>
        </w:rPr>
        <w:t xml:space="preserve">, pokud z tohoto </w:t>
      </w:r>
      <w:r w:rsidR="00945D3C" w:rsidRPr="008224BE">
        <w:rPr>
          <w:sz w:val="24"/>
          <w:szCs w:val="24"/>
        </w:rPr>
        <w:t>D</w:t>
      </w:r>
      <w:r w:rsidRPr="008224BE">
        <w:rPr>
          <w:sz w:val="24"/>
          <w:szCs w:val="24"/>
        </w:rPr>
        <w:t>odatku nevyplývá něco jiného, mají smysl a jsou vykládány tak, jako pojmy a slovní spojení obsažené ve Smlouvě.</w:t>
      </w:r>
    </w:p>
    <w:p w14:paraId="5EE7B20F" w14:textId="7AE61B78" w:rsidR="00D41FA2" w:rsidRPr="008224BE" w:rsidRDefault="00D41FA2" w:rsidP="00D43F78">
      <w:pPr>
        <w:pStyle w:val="Zkladntextodsazen"/>
        <w:numPr>
          <w:ilvl w:val="0"/>
          <w:numId w:val="10"/>
        </w:numPr>
        <w:tabs>
          <w:tab w:val="clear" w:pos="720"/>
          <w:tab w:val="num" w:pos="851"/>
        </w:tabs>
        <w:suppressAutoHyphens/>
        <w:spacing w:after="120" w:line="252" w:lineRule="auto"/>
        <w:ind w:left="426" w:hanging="426"/>
        <w:rPr>
          <w:sz w:val="24"/>
          <w:szCs w:val="24"/>
        </w:rPr>
      </w:pPr>
      <w:r w:rsidRPr="008224BE">
        <w:rPr>
          <w:bCs/>
          <w:iCs/>
          <w:sz w:val="24"/>
          <w:szCs w:val="24"/>
        </w:rPr>
        <w:t xml:space="preserve">Pokud se jakékoliv ustanovení tohoto </w:t>
      </w:r>
      <w:r w:rsidR="00945D3C" w:rsidRPr="008224BE">
        <w:rPr>
          <w:bCs/>
          <w:iCs/>
          <w:sz w:val="24"/>
          <w:szCs w:val="24"/>
        </w:rPr>
        <w:t>D</w:t>
      </w:r>
      <w:r w:rsidRPr="008224BE">
        <w:rPr>
          <w:bCs/>
          <w:iCs/>
          <w:sz w:val="24"/>
          <w:szCs w:val="24"/>
        </w:rPr>
        <w:t xml:space="preserve">odatku stane nebo bude určeno jako neplatné nebo nevynutitelné, pak taková neplatnost nebo nevynutitelnost neovlivní platnost nebo vynutitelnost zbylých ustanovení tohoto </w:t>
      </w:r>
      <w:r w:rsidR="00945D3C" w:rsidRPr="008224BE">
        <w:rPr>
          <w:bCs/>
          <w:iCs/>
          <w:sz w:val="24"/>
          <w:szCs w:val="24"/>
        </w:rPr>
        <w:t>D</w:t>
      </w:r>
      <w:r w:rsidRPr="008224BE">
        <w:rPr>
          <w:bCs/>
          <w:iCs/>
          <w:sz w:val="24"/>
          <w:szCs w:val="24"/>
        </w:rPr>
        <w:t xml:space="preserve">odatku. V takovém případě se účastníci tohoto </w:t>
      </w:r>
      <w:r w:rsidR="00945D3C" w:rsidRPr="008224BE">
        <w:rPr>
          <w:bCs/>
          <w:iCs/>
          <w:sz w:val="24"/>
          <w:szCs w:val="24"/>
        </w:rPr>
        <w:t>D</w:t>
      </w:r>
      <w:r w:rsidRPr="008224BE">
        <w:rPr>
          <w:bCs/>
          <w:iCs/>
          <w:sz w:val="24"/>
          <w:szCs w:val="24"/>
        </w:rPr>
        <w:t>odatku dohodli, že bez zbytečného odkladu nahradí neplatné nebo nevynutitelné ustanovení ustanovením platným a vynutitelným, aby se dosáhlo v maximální možné míře dovolené právními předpisy stejného účinku a výsledku, jaký byl sledován nahrazovaným ustanovením.</w:t>
      </w:r>
    </w:p>
    <w:p w14:paraId="79A6C17D" w14:textId="18B24686" w:rsidR="00D41FA2" w:rsidRPr="008224BE" w:rsidRDefault="00D41FA2" w:rsidP="00D43F78">
      <w:pPr>
        <w:numPr>
          <w:ilvl w:val="0"/>
          <w:numId w:val="10"/>
        </w:numPr>
        <w:tabs>
          <w:tab w:val="clear" w:pos="720"/>
          <w:tab w:val="num" w:pos="851"/>
        </w:tabs>
        <w:spacing w:after="120" w:line="252" w:lineRule="auto"/>
        <w:ind w:left="426" w:hanging="426"/>
        <w:jc w:val="both"/>
        <w:rPr>
          <w:szCs w:val="24"/>
        </w:rPr>
      </w:pPr>
      <w:r w:rsidRPr="008224BE">
        <w:rPr>
          <w:szCs w:val="24"/>
        </w:rPr>
        <w:t xml:space="preserve">Tento </w:t>
      </w:r>
      <w:r w:rsidR="00945D3C" w:rsidRPr="008224BE">
        <w:rPr>
          <w:szCs w:val="24"/>
        </w:rPr>
        <w:t>D</w:t>
      </w:r>
      <w:r w:rsidRPr="008224BE">
        <w:rPr>
          <w:szCs w:val="24"/>
        </w:rPr>
        <w:t xml:space="preserve">odatek ke Smlouvě nabývá platnosti </w:t>
      </w:r>
      <w:r w:rsidR="00945D3C" w:rsidRPr="008224BE">
        <w:rPr>
          <w:szCs w:val="24"/>
        </w:rPr>
        <w:t xml:space="preserve">dnem </w:t>
      </w:r>
      <w:r w:rsidRPr="008224BE">
        <w:rPr>
          <w:szCs w:val="24"/>
        </w:rPr>
        <w:t xml:space="preserve">jeho podpisu oběma smluvními stranami, resp. osobami oprávněnými smluvní strany zastupovat. </w:t>
      </w:r>
    </w:p>
    <w:p w14:paraId="0D59C2A9" w14:textId="784CA5C9" w:rsidR="00D41FA2" w:rsidRPr="008224BE" w:rsidRDefault="00D41FA2" w:rsidP="00D43F78">
      <w:pPr>
        <w:numPr>
          <w:ilvl w:val="0"/>
          <w:numId w:val="10"/>
        </w:numPr>
        <w:tabs>
          <w:tab w:val="clear" w:pos="720"/>
          <w:tab w:val="num" w:pos="851"/>
        </w:tabs>
        <w:spacing w:after="120" w:line="252" w:lineRule="auto"/>
        <w:ind w:left="426" w:hanging="426"/>
        <w:jc w:val="both"/>
        <w:rPr>
          <w:szCs w:val="24"/>
        </w:rPr>
      </w:pPr>
      <w:r w:rsidRPr="008224BE">
        <w:rPr>
          <w:szCs w:val="24"/>
        </w:rPr>
        <w:t xml:space="preserve">Tento </w:t>
      </w:r>
      <w:r w:rsidR="00945D3C" w:rsidRPr="008224BE">
        <w:rPr>
          <w:szCs w:val="24"/>
        </w:rPr>
        <w:t>Do</w:t>
      </w:r>
      <w:r w:rsidRPr="008224BE">
        <w:rPr>
          <w:szCs w:val="24"/>
        </w:rPr>
        <w:t xml:space="preserve">datek ke Smlouvě je sepsán a podepsán ve </w:t>
      </w:r>
      <w:r w:rsidR="004D3FFB">
        <w:rPr>
          <w:szCs w:val="24"/>
        </w:rPr>
        <w:t>2</w:t>
      </w:r>
      <w:r w:rsidRPr="008224BE">
        <w:rPr>
          <w:szCs w:val="24"/>
        </w:rPr>
        <w:t xml:space="preserve"> (slovy: </w:t>
      </w:r>
      <w:r w:rsidR="004D3FFB">
        <w:rPr>
          <w:szCs w:val="24"/>
        </w:rPr>
        <w:t>dvou</w:t>
      </w:r>
      <w:r w:rsidRPr="008224BE">
        <w:rPr>
          <w:szCs w:val="24"/>
        </w:rPr>
        <w:t xml:space="preserve">) vyhotoveních s platností originálu, 1 (slovy: jedno) vyhotovení obdrží Pronajímatel a </w:t>
      </w:r>
      <w:r w:rsidR="004D3FFB">
        <w:rPr>
          <w:szCs w:val="24"/>
        </w:rPr>
        <w:t>1</w:t>
      </w:r>
      <w:r w:rsidRPr="008224BE">
        <w:rPr>
          <w:szCs w:val="24"/>
        </w:rPr>
        <w:t xml:space="preserve"> (slovy: </w:t>
      </w:r>
      <w:r w:rsidR="004D3FFB">
        <w:rPr>
          <w:szCs w:val="24"/>
        </w:rPr>
        <w:t>jedno</w:t>
      </w:r>
      <w:r w:rsidRPr="008224BE">
        <w:rPr>
          <w:szCs w:val="24"/>
        </w:rPr>
        <w:t>) vyhotovení obdrží Nájemce.</w:t>
      </w:r>
    </w:p>
    <w:p w14:paraId="61C18A9B" w14:textId="6915FFFF" w:rsidR="005F3926" w:rsidRPr="005F3926" w:rsidRDefault="00D41FA2" w:rsidP="005F3926">
      <w:pPr>
        <w:pStyle w:val="Zkladntext2"/>
        <w:numPr>
          <w:ilvl w:val="0"/>
          <w:numId w:val="10"/>
        </w:numPr>
        <w:tabs>
          <w:tab w:val="clear" w:pos="720"/>
          <w:tab w:val="num" w:pos="851"/>
        </w:tabs>
        <w:spacing w:after="120" w:line="252" w:lineRule="auto"/>
        <w:ind w:left="425" w:hanging="425"/>
        <w:rPr>
          <w:szCs w:val="24"/>
        </w:rPr>
      </w:pPr>
      <w:r w:rsidRPr="008224BE">
        <w:rPr>
          <w:szCs w:val="24"/>
        </w:rPr>
        <w:t xml:space="preserve">Obě smluvní strany prohlašují, že si tento </w:t>
      </w:r>
      <w:r w:rsidR="00945D3C" w:rsidRPr="008224BE">
        <w:rPr>
          <w:szCs w:val="24"/>
        </w:rPr>
        <w:t>D</w:t>
      </w:r>
      <w:r w:rsidRPr="008224BE">
        <w:rPr>
          <w:szCs w:val="24"/>
        </w:rPr>
        <w:t>odatek</w:t>
      </w:r>
      <w:r w:rsidR="00895FE9">
        <w:rPr>
          <w:szCs w:val="24"/>
        </w:rPr>
        <w:t xml:space="preserve"> </w:t>
      </w:r>
      <w:r w:rsidRPr="008224BE">
        <w:rPr>
          <w:szCs w:val="24"/>
        </w:rPr>
        <w:t>ke Smlouvě</w:t>
      </w:r>
      <w:r w:rsidR="00895FE9">
        <w:rPr>
          <w:szCs w:val="24"/>
        </w:rPr>
        <w:t xml:space="preserve"> </w:t>
      </w:r>
      <w:r w:rsidRPr="008224BE">
        <w:rPr>
          <w:szCs w:val="24"/>
        </w:rPr>
        <w:t>před jeho podpisem řádně a pečlivě přečetly, že byl uzavřen podle jejich pravé a svobodné vůle, určitě, vážně a srozumitelně, nikoli v tísni ani za nápadně nevýhodných podmínek. Na důkaz toho připojují smluvní strany, resp. osobami oprávněnými smluvní strany zastupovat pod vlastní text dodatku své vlastnoruční podpisy.</w:t>
      </w:r>
    </w:p>
    <w:p w14:paraId="7177612B" w14:textId="07ED4786" w:rsidR="00D43F78" w:rsidRPr="008224BE" w:rsidRDefault="0073134A" w:rsidP="005F3926">
      <w:pPr>
        <w:pStyle w:val="Zkladntext2"/>
        <w:numPr>
          <w:ilvl w:val="0"/>
          <w:numId w:val="10"/>
        </w:numPr>
        <w:tabs>
          <w:tab w:val="clear" w:pos="720"/>
          <w:tab w:val="num" w:pos="851"/>
        </w:tabs>
        <w:spacing w:after="120" w:line="252" w:lineRule="auto"/>
        <w:ind w:left="425" w:hanging="425"/>
        <w:rPr>
          <w:szCs w:val="24"/>
        </w:rPr>
      </w:pPr>
      <w:r w:rsidRPr="008224BE">
        <w:rPr>
          <w:szCs w:val="24"/>
        </w:rPr>
        <w:t xml:space="preserve">Nedílnou součástí tohoto </w:t>
      </w:r>
      <w:r w:rsidR="00945D3C" w:rsidRPr="008224BE">
        <w:rPr>
          <w:szCs w:val="24"/>
        </w:rPr>
        <w:t>D</w:t>
      </w:r>
      <w:r w:rsidRPr="008224BE">
        <w:rPr>
          <w:szCs w:val="24"/>
        </w:rPr>
        <w:t>odatku j</w:t>
      </w:r>
      <w:r w:rsidR="00D43F78" w:rsidRPr="008224BE">
        <w:rPr>
          <w:szCs w:val="24"/>
        </w:rPr>
        <w:t>sou</w:t>
      </w:r>
      <w:r w:rsidRPr="008224BE">
        <w:rPr>
          <w:szCs w:val="24"/>
        </w:rPr>
        <w:t>:</w:t>
      </w:r>
    </w:p>
    <w:p w14:paraId="131B3534" w14:textId="2F810296" w:rsidR="0099460E" w:rsidRPr="008224BE" w:rsidRDefault="00D43F78" w:rsidP="008224BE">
      <w:pPr>
        <w:pStyle w:val="Zkladntext2"/>
        <w:tabs>
          <w:tab w:val="num" w:pos="851"/>
        </w:tabs>
        <w:spacing w:line="252" w:lineRule="auto"/>
        <w:ind w:left="426"/>
        <w:rPr>
          <w:szCs w:val="24"/>
        </w:rPr>
      </w:pPr>
      <w:r w:rsidRPr="008224BE">
        <w:rPr>
          <w:b/>
          <w:bCs/>
          <w:i/>
          <w:iCs/>
          <w:szCs w:val="24"/>
        </w:rPr>
        <w:t>Příloha č.1:</w:t>
      </w:r>
      <w:r w:rsidRPr="008224BE">
        <w:rPr>
          <w:szCs w:val="24"/>
        </w:rPr>
        <w:t xml:space="preserve"> </w:t>
      </w:r>
      <w:r w:rsidR="008224BE">
        <w:rPr>
          <w:szCs w:val="24"/>
        </w:rPr>
        <w:t xml:space="preserve"> </w:t>
      </w:r>
      <w:r w:rsidRPr="008224BE">
        <w:rPr>
          <w:szCs w:val="24"/>
        </w:rPr>
        <w:t>Půdorysný plán podlaží Budovy s</w:t>
      </w:r>
      <w:r w:rsidR="00170088" w:rsidRPr="008224BE">
        <w:rPr>
          <w:szCs w:val="24"/>
        </w:rPr>
        <w:t> </w:t>
      </w:r>
      <w:r w:rsidRPr="008224BE">
        <w:rPr>
          <w:szCs w:val="24"/>
        </w:rPr>
        <w:t>vyznačen</w:t>
      </w:r>
      <w:r w:rsidR="00170088" w:rsidRPr="008224BE">
        <w:rPr>
          <w:szCs w:val="24"/>
        </w:rPr>
        <w:t>ím Nových prostor</w:t>
      </w:r>
      <w:r w:rsidR="004D3FFB">
        <w:rPr>
          <w:szCs w:val="24"/>
        </w:rPr>
        <w:t>.</w:t>
      </w:r>
    </w:p>
    <w:p w14:paraId="20C45BC2" w14:textId="77777777" w:rsidR="009200E9" w:rsidRPr="005A42EC" w:rsidRDefault="009200E9" w:rsidP="00CF780A">
      <w:pPr>
        <w:jc w:val="both"/>
        <w:rPr>
          <w:b/>
          <w:sz w:val="20"/>
        </w:rPr>
      </w:pPr>
    </w:p>
    <w:p w14:paraId="08F81FF2" w14:textId="77777777" w:rsidR="00922148" w:rsidRDefault="00922148" w:rsidP="00CF780A">
      <w:pPr>
        <w:jc w:val="both"/>
        <w:rPr>
          <w:sz w:val="20"/>
        </w:rPr>
      </w:pPr>
    </w:p>
    <w:p w14:paraId="15D4BB2C" w14:textId="7FAC1D97" w:rsidR="0099460E" w:rsidRPr="00D43F78" w:rsidRDefault="0099460E" w:rsidP="00CF780A">
      <w:pPr>
        <w:jc w:val="both"/>
        <w:rPr>
          <w:b/>
          <w:sz w:val="22"/>
          <w:szCs w:val="22"/>
        </w:rPr>
      </w:pPr>
      <w:r w:rsidRPr="00D43F78">
        <w:rPr>
          <w:sz w:val="22"/>
          <w:szCs w:val="22"/>
        </w:rPr>
        <w:t xml:space="preserve">V Praze dne </w:t>
      </w:r>
      <w:r w:rsidR="006D7C15" w:rsidRPr="00D43F78">
        <w:rPr>
          <w:sz w:val="22"/>
          <w:szCs w:val="22"/>
        </w:rPr>
        <w:t>________________</w:t>
      </w:r>
    </w:p>
    <w:p w14:paraId="1D1D5211" w14:textId="77777777" w:rsidR="0099460E" w:rsidRPr="00D43F78" w:rsidRDefault="0099460E" w:rsidP="00CF780A">
      <w:pPr>
        <w:jc w:val="both"/>
        <w:rPr>
          <w:b/>
          <w:sz w:val="22"/>
          <w:szCs w:val="22"/>
        </w:rPr>
      </w:pPr>
    </w:p>
    <w:p w14:paraId="08E209CE" w14:textId="77777777" w:rsidR="000A04D8" w:rsidRPr="00F84EE1" w:rsidRDefault="00D21756" w:rsidP="00CF780A">
      <w:pPr>
        <w:ind w:left="2124" w:firstLine="708"/>
        <w:jc w:val="both"/>
        <w:rPr>
          <w:szCs w:val="24"/>
        </w:rPr>
      </w:pPr>
      <w:r w:rsidRPr="00F84EE1">
        <w:rPr>
          <w:szCs w:val="24"/>
        </w:rPr>
        <w:t>Pronajímatel:</w:t>
      </w:r>
      <w:r w:rsidRPr="00F84EE1">
        <w:rPr>
          <w:szCs w:val="24"/>
        </w:rPr>
        <w:tab/>
      </w:r>
      <w:r w:rsidRPr="00F84EE1">
        <w:rPr>
          <w:szCs w:val="24"/>
        </w:rPr>
        <w:tab/>
      </w:r>
    </w:p>
    <w:p w14:paraId="482569A8" w14:textId="77777777" w:rsidR="00922148" w:rsidRPr="00D43F78" w:rsidRDefault="00922148" w:rsidP="00CF780A">
      <w:pPr>
        <w:ind w:left="4248" w:firstLine="708"/>
        <w:jc w:val="both"/>
        <w:rPr>
          <w:sz w:val="22"/>
          <w:szCs w:val="22"/>
        </w:rPr>
      </w:pPr>
    </w:p>
    <w:p w14:paraId="38119852" w14:textId="77777777" w:rsidR="00922148" w:rsidRPr="00D43F78" w:rsidRDefault="00922148" w:rsidP="00CF780A">
      <w:pPr>
        <w:ind w:left="4248" w:firstLine="708"/>
        <w:jc w:val="both"/>
        <w:rPr>
          <w:sz w:val="22"/>
          <w:szCs w:val="22"/>
        </w:rPr>
      </w:pPr>
    </w:p>
    <w:p w14:paraId="629EDD14" w14:textId="5E532DD1" w:rsidR="00EF623C" w:rsidRPr="00D43F78" w:rsidRDefault="00D34D2E" w:rsidP="00CF780A">
      <w:pPr>
        <w:ind w:left="4248" w:firstLine="708"/>
        <w:jc w:val="both"/>
        <w:rPr>
          <w:sz w:val="22"/>
          <w:szCs w:val="22"/>
        </w:rPr>
      </w:pPr>
      <w:r w:rsidRPr="00D43F78">
        <w:rPr>
          <w:sz w:val="22"/>
          <w:szCs w:val="22"/>
        </w:rPr>
        <w:t>________________________</w:t>
      </w:r>
      <w:r w:rsidRPr="00D43F78">
        <w:rPr>
          <w:sz w:val="22"/>
          <w:szCs w:val="22"/>
        </w:rPr>
        <w:tab/>
      </w:r>
    </w:p>
    <w:p w14:paraId="01146C1A" w14:textId="6138757E" w:rsidR="00F84EE1" w:rsidRPr="00F84EE1" w:rsidRDefault="00F84EE1" w:rsidP="00F84EE1">
      <w:pPr>
        <w:pStyle w:val="Zkladntext"/>
        <w:ind w:left="4254" w:firstLine="709"/>
        <w:rPr>
          <w:b/>
          <w:sz w:val="24"/>
          <w:szCs w:val="24"/>
        </w:rPr>
      </w:pPr>
      <w:r>
        <w:rPr>
          <w:rStyle w:val="preformatted"/>
          <w:b/>
          <w:szCs w:val="24"/>
        </w:rPr>
        <w:t xml:space="preserve">            </w:t>
      </w:r>
      <w:r w:rsidRPr="00F84EE1">
        <w:rPr>
          <w:rStyle w:val="preformatted"/>
          <w:b/>
          <w:sz w:val="24"/>
          <w:szCs w:val="24"/>
        </w:rPr>
        <w:t>CIF Alfa s.r.o.</w:t>
      </w:r>
    </w:p>
    <w:p w14:paraId="695F8444" w14:textId="167592A8" w:rsidR="00EF623C" w:rsidRPr="00F84EE1" w:rsidRDefault="00F84EE1" w:rsidP="00F84EE1">
      <w:pPr>
        <w:ind w:left="3540" w:firstLine="708"/>
        <w:jc w:val="both"/>
        <w:rPr>
          <w:b/>
          <w:szCs w:val="24"/>
        </w:rPr>
      </w:pPr>
      <w:r w:rsidRPr="00F84EE1">
        <w:rPr>
          <w:rStyle w:val="nowrap"/>
          <w:szCs w:val="24"/>
        </w:rPr>
        <w:t xml:space="preserve">              Ing. Radek Váša, jednatel</w:t>
      </w:r>
    </w:p>
    <w:p w14:paraId="6F220EAD" w14:textId="77777777" w:rsidR="009200E9" w:rsidRPr="00D43F78" w:rsidRDefault="009200E9" w:rsidP="00CF780A">
      <w:pPr>
        <w:ind w:left="3540" w:firstLine="708"/>
        <w:jc w:val="both"/>
        <w:rPr>
          <w:b/>
          <w:sz w:val="22"/>
          <w:szCs w:val="22"/>
        </w:rPr>
      </w:pPr>
    </w:p>
    <w:p w14:paraId="10620FC7" w14:textId="77777777" w:rsidR="00D34D2E" w:rsidRPr="00D43F78" w:rsidRDefault="00D34D2E" w:rsidP="00CF780A">
      <w:pPr>
        <w:jc w:val="both"/>
        <w:rPr>
          <w:b/>
          <w:sz w:val="22"/>
          <w:szCs w:val="22"/>
        </w:rPr>
      </w:pPr>
      <w:r w:rsidRPr="00D43F78">
        <w:rPr>
          <w:sz w:val="22"/>
          <w:szCs w:val="22"/>
        </w:rPr>
        <w:t>V Praze dne ________________</w:t>
      </w:r>
    </w:p>
    <w:p w14:paraId="1D040E6D" w14:textId="77777777" w:rsidR="00D34D2E" w:rsidRPr="00D43F78" w:rsidRDefault="00D34D2E" w:rsidP="00CF780A">
      <w:pPr>
        <w:jc w:val="both"/>
        <w:rPr>
          <w:b/>
          <w:sz w:val="22"/>
          <w:szCs w:val="22"/>
        </w:rPr>
      </w:pPr>
    </w:p>
    <w:p w14:paraId="3FAA29DD" w14:textId="77777777" w:rsidR="000A04D8" w:rsidRDefault="00D34D2E" w:rsidP="00CF780A">
      <w:pPr>
        <w:ind w:left="2124" w:firstLine="708"/>
        <w:jc w:val="both"/>
        <w:rPr>
          <w:szCs w:val="24"/>
        </w:rPr>
      </w:pPr>
      <w:r w:rsidRPr="00F84EE1">
        <w:rPr>
          <w:szCs w:val="24"/>
        </w:rPr>
        <w:t>Nájemce</w:t>
      </w:r>
      <w:r w:rsidR="00991C28" w:rsidRPr="00F84EE1">
        <w:rPr>
          <w:szCs w:val="24"/>
        </w:rPr>
        <w:t>:</w:t>
      </w:r>
      <w:r w:rsidR="00991C28" w:rsidRPr="00F84EE1">
        <w:rPr>
          <w:szCs w:val="24"/>
        </w:rPr>
        <w:tab/>
      </w:r>
      <w:r w:rsidR="00991C28" w:rsidRPr="00F84EE1">
        <w:rPr>
          <w:szCs w:val="24"/>
        </w:rPr>
        <w:tab/>
      </w:r>
    </w:p>
    <w:p w14:paraId="6CE85626" w14:textId="77777777" w:rsidR="00895FE9" w:rsidRDefault="00895FE9" w:rsidP="00CF780A">
      <w:pPr>
        <w:ind w:left="2124" w:firstLine="708"/>
        <w:jc w:val="both"/>
        <w:rPr>
          <w:szCs w:val="24"/>
        </w:rPr>
      </w:pPr>
    </w:p>
    <w:p w14:paraId="11E8E950" w14:textId="77777777" w:rsidR="00922148" w:rsidRPr="00D43F78" w:rsidRDefault="00922148" w:rsidP="00305DEC">
      <w:pPr>
        <w:ind w:left="4248" w:firstLine="708"/>
        <w:jc w:val="both"/>
        <w:rPr>
          <w:sz w:val="22"/>
          <w:szCs w:val="22"/>
        </w:rPr>
      </w:pPr>
    </w:p>
    <w:p w14:paraId="7AE640BB" w14:textId="77777777" w:rsidR="00922148" w:rsidRPr="00D43F78" w:rsidRDefault="00922148" w:rsidP="00305DEC">
      <w:pPr>
        <w:ind w:left="4248" w:firstLine="708"/>
        <w:jc w:val="both"/>
        <w:rPr>
          <w:sz w:val="22"/>
          <w:szCs w:val="22"/>
        </w:rPr>
      </w:pPr>
    </w:p>
    <w:p w14:paraId="70DB54EE" w14:textId="77777777" w:rsidR="004D3FFB" w:rsidRDefault="004D3FFB" w:rsidP="004D3FFB">
      <w:pPr>
        <w:ind w:left="4254" w:firstLine="709"/>
        <w:jc w:val="both"/>
        <w:rPr>
          <w:szCs w:val="24"/>
        </w:rPr>
      </w:pPr>
      <w:r>
        <w:rPr>
          <w:szCs w:val="24"/>
        </w:rPr>
        <w:t>________________________</w:t>
      </w:r>
    </w:p>
    <w:p w14:paraId="2956218D" w14:textId="60202723" w:rsidR="004D3FFB" w:rsidRDefault="004D3FFB" w:rsidP="004D3FFB">
      <w:pPr>
        <w:ind w:left="3545" w:firstLine="709"/>
        <w:jc w:val="both"/>
        <w:rPr>
          <w:rStyle w:val="preformatted"/>
          <w:b/>
        </w:rPr>
      </w:pPr>
      <w:r>
        <w:rPr>
          <w:rStyle w:val="preformatted"/>
          <w:bCs/>
        </w:rPr>
        <w:t xml:space="preserve">          </w:t>
      </w:r>
      <w:r>
        <w:rPr>
          <w:rStyle w:val="preformatted"/>
          <w:b/>
          <w:szCs w:val="24"/>
        </w:rPr>
        <w:t xml:space="preserve">Technologie hlavního města Prahy, a.s. </w:t>
      </w:r>
    </w:p>
    <w:p w14:paraId="6851F80F" w14:textId="5166643C" w:rsidR="004D3FFB" w:rsidRDefault="004D3FFB" w:rsidP="004D3FFB">
      <w:pPr>
        <w:ind w:left="4254"/>
        <w:jc w:val="both"/>
      </w:pPr>
      <w:r>
        <w:rPr>
          <w:szCs w:val="24"/>
        </w:rPr>
        <w:t xml:space="preserve">          Tomáš Jílek, předseda představenstva</w:t>
      </w:r>
    </w:p>
    <w:p w14:paraId="2BA64F7C" w14:textId="6CF6C166" w:rsidR="004D3FFB" w:rsidRDefault="004D3FFB" w:rsidP="004D3FFB">
      <w:pPr>
        <w:ind w:left="3919" w:firstLine="336"/>
        <w:rPr>
          <w:b/>
          <w:szCs w:val="24"/>
        </w:rPr>
      </w:pPr>
      <w:r>
        <w:rPr>
          <w:szCs w:val="24"/>
        </w:rPr>
        <w:t xml:space="preserve">          Tomáš Novotný, místopředseda představenstva</w:t>
      </w:r>
    </w:p>
    <w:p w14:paraId="26442170" w14:textId="77777777" w:rsidR="004D3FFB" w:rsidRDefault="004D3FFB" w:rsidP="004D3FFB">
      <w:pPr>
        <w:spacing w:after="120"/>
        <w:jc w:val="both"/>
        <w:rPr>
          <w:b/>
          <w:szCs w:val="24"/>
        </w:rPr>
      </w:pPr>
    </w:p>
    <w:p w14:paraId="390322B0" w14:textId="4627685B" w:rsidR="0009178D" w:rsidRPr="00895FE9" w:rsidRDefault="0009178D" w:rsidP="004D3FFB">
      <w:pPr>
        <w:ind w:left="2832" w:firstLine="708"/>
        <w:jc w:val="both"/>
        <w:rPr>
          <w:szCs w:val="24"/>
        </w:rPr>
      </w:pPr>
    </w:p>
    <w:sectPr w:rsidR="0009178D" w:rsidRPr="00895FE9" w:rsidSect="008224BE">
      <w:footerReference w:type="even" r:id="rId8"/>
      <w:footerReference w:type="default" r:id="rId9"/>
      <w:pgSz w:w="11906" w:h="16838"/>
      <w:pgMar w:top="1134" w:right="1191" w:bottom="1134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F1680" w14:textId="77777777" w:rsidR="0020744B" w:rsidRDefault="0020744B">
      <w:r>
        <w:separator/>
      </w:r>
    </w:p>
  </w:endnote>
  <w:endnote w:type="continuationSeparator" w:id="0">
    <w:p w14:paraId="30F6B226" w14:textId="77777777" w:rsidR="0020744B" w:rsidRDefault="0020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D8B7F" w14:textId="77777777" w:rsidR="004B4053" w:rsidRDefault="004B405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95D79B3" w14:textId="77777777" w:rsidR="004B4053" w:rsidRDefault="004B405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8C314" w14:textId="77777777" w:rsidR="004B4053" w:rsidRDefault="004B4053">
    <w:pPr>
      <w:pStyle w:val="Zpat"/>
      <w:framePr w:wrap="around" w:vAnchor="text" w:hAnchor="margin" w:xAlign="right" w:y="1"/>
      <w:rPr>
        <w:rStyle w:val="slostrnky"/>
      </w:rPr>
    </w:pPr>
  </w:p>
  <w:p w14:paraId="0F30D366" w14:textId="77777777" w:rsidR="004B4053" w:rsidRPr="009414E1" w:rsidRDefault="004B4053" w:rsidP="00A127BE">
    <w:pPr>
      <w:pStyle w:val="Zpat"/>
      <w:jc w:val="both"/>
      <w:rPr>
        <w:sz w:val="20"/>
      </w:rPr>
    </w:pPr>
    <w:r w:rsidRPr="009414E1">
      <w:rPr>
        <w:sz w:val="20"/>
      </w:rPr>
      <w:t>_______________________________________________________________________________</w:t>
    </w:r>
    <w:r>
      <w:rPr>
        <w:sz w:val="20"/>
      </w:rPr>
      <w:t>___</w:t>
    </w:r>
    <w:r w:rsidRPr="009414E1">
      <w:rPr>
        <w:sz w:val="20"/>
      </w:rPr>
      <w:t>________</w:t>
    </w:r>
  </w:p>
  <w:p w14:paraId="5F2AB0B7" w14:textId="44376A34" w:rsidR="003278AE" w:rsidRPr="00482ADC" w:rsidRDefault="00482ADC" w:rsidP="003278AE">
    <w:pPr>
      <w:pStyle w:val="Zpat"/>
      <w:ind w:right="360"/>
      <w:jc w:val="both"/>
      <w:rPr>
        <w:sz w:val="16"/>
        <w:szCs w:val="16"/>
      </w:rPr>
    </w:pPr>
    <w:r w:rsidRPr="00482ADC">
      <w:rPr>
        <w:sz w:val="16"/>
        <w:szCs w:val="16"/>
      </w:rPr>
      <w:tab/>
    </w:r>
    <w:r w:rsidR="003278AE" w:rsidRPr="00482ADC">
      <w:rPr>
        <w:rStyle w:val="slostrnky"/>
        <w:sz w:val="16"/>
        <w:szCs w:val="16"/>
      </w:rPr>
      <w:t xml:space="preserve">Strana </w:t>
    </w:r>
    <w:r w:rsidR="003278AE" w:rsidRPr="00482ADC">
      <w:rPr>
        <w:rStyle w:val="slostrnky"/>
        <w:sz w:val="16"/>
        <w:szCs w:val="16"/>
      </w:rPr>
      <w:fldChar w:fldCharType="begin"/>
    </w:r>
    <w:r w:rsidR="003278AE" w:rsidRPr="00482ADC">
      <w:rPr>
        <w:rStyle w:val="slostrnky"/>
        <w:sz w:val="16"/>
        <w:szCs w:val="16"/>
      </w:rPr>
      <w:instrText xml:space="preserve"> PAGE </w:instrText>
    </w:r>
    <w:r w:rsidR="003278AE" w:rsidRPr="00482ADC">
      <w:rPr>
        <w:rStyle w:val="slostrnky"/>
        <w:sz w:val="16"/>
        <w:szCs w:val="16"/>
      </w:rPr>
      <w:fldChar w:fldCharType="separate"/>
    </w:r>
    <w:r w:rsidR="007A727A">
      <w:rPr>
        <w:rStyle w:val="slostrnky"/>
        <w:noProof/>
        <w:sz w:val="16"/>
        <w:szCs w:val="16"/>
      </w:rPr>
      <w:t>2</w:t>
    </w:r>
    <w:r w:rsidR="003278AE" w:rsidRPr="00482ADC">
      <w:rPr>
        <w:rStyle w:val="slostrnky"/>
        <w:sz w:val="16"/>
        <w:szCs w:val="16"/>
      </w:rPr>
      <w:fldChar w:fldCharType="end"/>
    </w:r>
    <w:r w:rsidR="003278AE" w:rsidRPr="00482ADC">
      <w:rPr>
        <w:rStyle w:val="slostrnky"/>
        <w:sz w:val="16"/>
        <w:szCs w:val="16"/>
      </w:rPr>
      <w:t xml:space="preserve"> (celkem </w:t>
    </w:r>
    <w:r w:rsidR="003278AE" w:rsidRPr="00482ADC">
      <w:rPr>
        <w:rStyle w:val="slostrnky"/>
        <w:sz w:val="16"/>
        <w:szCs w:val="16"/>
      </w:rPr>
      <w:fldChar w:fldCharType="begin"/>
    </w:r>
    <w:r w:rsidR="003278AE" w:rsidRPr="00482ADC">
      <w:rPr>
        <w:rStyle w:val="slostrnky"/>
        <w:sz w:val="16"/>
        <w:szCs w:val="16"/>
      </w:rPr>
      <w:instrText xml:space="preserve"> NUMPAGES </w:instrText>
    </w:r>
    <w:r w:rsidR="003278AE" w:rsidRPr="00482ADC">
      <w:rPr>
        <w:rStyle w:val="slostrnky"/>
        <w:sz w:val="16"/>
        <w:szCs w:val="16"/>
      </w:rPr>
      <w:fldChar w:fldCharType="separate"/>
    </w:r>
    <w:r w:rsidR="007A727A">
      <w:rPr>
        <w:rStyle w:val="slostrnky"/>
        <w:noProof/>
        <w:sz w:val="16"/>
        <w:szCs w:val="16"/>
      </w:rPr>
      <w:t>2</w:t>
    </w:r>
    <w:r w:rsidR="003278AE" w:rsidRPr="00482ADC">
      <w:rPr>
        <w:rStyle w:val="slostrnky"/>
        <w:sz w:val="16"/>
        <w:szCs w:val="16"/>
      </w:rPr>
      <w:fldChar w:fldCharType="end"/>
    </w:r>
    <w:r w:rsidR="003278AE" w:rsidRPr="00482ADC">
      <w:rPr>
        <w:rStyle w:val="slostrnky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CC1F7" w14:textId="77777777" w:rsidR="0020744B" w:rsidRDefault="0020744B">
      <w:r>
        <w:separator/>
      </w:r>
    </w:p>
  </w:footnote>
  <w:footnote w:type="continuationSeparator" w:id="0">
    <w:p w14:paraId="2CAE9544" w14:textId="77777777" w:rsidR="0020744B" w:rsidRDefault="00207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C71"/>
    <w:multiLevelType w:val="hybridMultilevel"/>
    <w:tmpl w:val="A730565C"/>
    <w:lvl w:ilvl="0" w:tplc="E88A7A4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70F40"/>
    <w:multiLevelType w:val="hybridMultilevel"/>
    <w:tmpl w:val="09A6939C"/>
    <w:lvl w:ilvl="0" w:tplc="22FC7F3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8567B"/>
    <w:multiLevelType w:val="hybridMultilevel"/>
    <w:tmpl w:val="7D28D06C"/>
    <w:lvl w:ilvl="0" w:tplc="FFFFFFFF">
      <w:start w:val="1"/>
      <w:numFmt w:val="lowerRoman"/>
      <w:lvlText w:val="%1."/>
      <w:lvlJc w:val="righ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6C301C"/>
    <w:multiLevelType w:val="hybridMultilevel"/>
    <w:tmpl w:val="B238BC2C"/>
    <w:lvl w:ilvl="0" w:tplc="EC342910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48469D"/>
    <w:multiLevelType w:val="hybridMultilevel"/>
    <w:tmpl w:val="6088C492"/>
    <w:lvl w:ilvl="0" w:tplc="F5A8C3A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10D65CF"/>
    <w:multiLevelType w:val="hybridMultilevel"/>
    <w:tmpl w:val="C7FE0FD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90AD9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8E41B9"/>
    <w:multiLevelType w:val="hybridMultilevel"/>
    <w:tmpl w:val="F0F0B6A8"/>
    <w:lvl w:ilvl="0" w:tplc="F3106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562EAA"/>
    <w:multiLevelType w:val="hybridMultilevel"/>
    <w:tmpl w:val="D048D50C"/>
    <w:lvl w:ilvl="0" w:tplc="67CA0D94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8" w15:restartNumberingAfterBreak="0">
    <w:nsid w:val="23E40B32"/>
    <w:multiLevelType w:val="hybridMultilevel"/>
    <w:tmpl w:val="25E4E71E"/>
    <w:lvl w:ilvl="0" w:tplc="D00AB3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934743"/>
    <w:multiLevelType w:val="hybridMultilevel"/>
    <w:tmpl w:val="1826B5A2"/>
    <w:lvl w:ilvl="0" w:tplc="7B4EBF86">
      <w:start w:val="1"/>
      <w:numFmt w:val="lowerLetter"/>
      <w:lvlText w:val="%1)"/>
      <w:lvlJc w:val="left"/>
      <w:pPr>
        <w:ind w:left="786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10E1028"/>
    <w:multiLevelType w:val="multilevel"/>
    <w:tmpl w:val="3CFAD6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1792F5B"/>
    <w:multiLevelType w:val="hybridMultilevel"/>
    <w:tmpl w:val="F51A77EC"/>
    <w:lvl w:ilvl="0" w:tplc="F68C10F0">
      <w:start w:val="1"/>
      <w:numFmt w:val="lowerRoman"/>
      <w:lvlText w:val="(%1)"/>
      <w:lvlJc w:val="left"/>
      <w:pPr>
        <w:tabs>
          <w:tab w:val="num" w:pos="1440"/>
        </w:tabs>
        <w:ind w:left="1440" w:hanging="360"/>
      </w:pPr>
      <w:rPr>
        <w:rFonts w:ascii="Courier" w:eastAsia="Times New Roman" w:hAnsi="Courier" w:cs="Times New Roman" w:hint="default"/>
      </w:rPr>
    </w:lvl>
    <w:lvl w:ilvl="1" w:tplc="BD98EC26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DD0F5C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DC8A17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994DCB4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6E34FF"/>
    <w:multiLevelType w:val="hybridMultilevel"/>
    <w:tmpl w:val="90442252"/>
    <w:lvl w:ilvl="0" w:tplc="F3106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9F0E6A"/>
    <w:multiLevelType w:val="hybridMultilevel"/>
    <w:tmpl w:val="5AFAB56E"/>
    <w:lvl w:ilvl="0" w:tplc="584A78E2">
      <w:start w:val="1"/>
      <w:numFmt w:val="decimal"/>
      <w:lvlText w:val="%1."/>
      <w:lvlJc w:val="left"/>
      <w:pPr>
        <w:tabs>
          <w:tab w:val="num" w:pos="360"/>
        </w:tabs>
        <w:ind w:left="64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AF7A87"/>
    <w:multiLevelType w:val="hybridMultilevel"/>
    <w:tmpl w:val="A5B6EB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4E1C64"/>
    <w:multiLevelType w:val="hybridMultilevel"/>
    <w:tmpl w:val="5142CD54"/>
    <w:lvl w:ilvl="0" w:tplc="CA0471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BAA3A79"/>
    <w:multiLevelType w:val="hybridMultilevel"/>
    <w:tmpl w:val="A328E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F6C43"/>
    <w:multiLevelType w:val="hybridMultilevel"/>
    <w:tmpl w:val="17A46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27DA2"/>
    <w:multiLevelType w:val="hybridMultilevel"/>
    <w:tmpl w:val="D9B45DD4"/>
    <w:lvl w:ilvl="0" w:tplc="D71E5D0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498580E">
      <w:start w:val="1"/>
      <w:numFmt w:val="lowerLetter"/>
      <w:lvlText w:val="%2)"/>
      <w:lvlJc w:val="left"/>
      <w:pPr>
        <w:ind w:left="1440" w:hanging="360"/>
      </w:pPr>
      <w:rPr>
        <w:rFonts w:eastAsia="MS Mincho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3F0E9118">
      <w:start w:val="1"/>
      <w:numFmt w:val="lowerRoman"/>
      <w:lvlText w:val="(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944A3"/>
    <w:multiLevelType w:val="hybridMultilevel"/>
    <w:tmpl w:val="68B20392"/>
    <w:lvl w:ilvl="0" w:tplc="F3106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DE79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5158F5"/>
    <w:multiLevelType w:val="hybridMultilevel"/>
    <w:tmpl w:val="7D28D06C"/>
    <w:lvl w:ilvl="0" w:tplc="0405001B">
      <w:start w:val="1"/>
      <w:numFmt w:val="low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B0E0AC7"/>
    <w:multiLevelType w:val="hybridMultilevel"/>
    <w:tmpl w:val="9AF67972"/>
    <w:lvl w:ilvl="0" w:tplc="6E66C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2348AF"/>
    <w:multiLevelType w:val="hybridMultilevel"/>
    <w:tmpl w:val="24E83C1E"/>
    <w:lvl w:ilvl="0" w:tplc="F3106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1260D8"/>
    <w:multiLevelType w:val="hybridMultilevel"/>
    <w:tmpl w:val="FE2ED9B8"/>
    <w:lvl w:ilvl="0" w:tplc="89809454">
      <w:start w:val="1"/>
      <w:numFmt w:val="lowerLetter"/>
      <w:lvlText w:val="(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4E7C2B55"/>
    <w:multiLevelType w:val="hybridMultilevel"/>
    <w:tmpl w:val="99141C4A"/>
    <w:lvl w:ilvl="0" w:tplc="67408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BB2E7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E556B53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351052F"/>
    <w:multiLevelType w:val="hybridMultilevel"/>
    <w:tmpl w:val="0FF8F5BC"/>
    <w:lvl w:ilvl="0" w:tplc="1CFEBD72">
      <w:start w:val="1"/>
      <w:numFmt w:val="decimal"/>
      <w:lvlText w:val="%1."/>
      <w:lvlJc w:val="left"/>
      <w:pPr>
        <w:ind w:left="1146" w:hanging="360"/>
      </w:pPr>
      <w:rPr>
        <w:rFonts w:cs="Times New Roman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58661A26"/>
    <w:multiLevelType w:val="hybridMultilevel"/>
    <w:tmpl w:val="D7FC7D10"/>
    <w:lvl w:ilvl="0" w:tplc="E3AE47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B8428B"/>
    <w:multiLevelType w:val="hybridMultilevel"/>
    <w:tmpl w:val="42A06600"/>
    <w:lvl w:ilvl="0" w:tplc="F3106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5423DE"/>
    <w:multiLevelType w:val="hybridMultilevel"/>
    <w:tmpl w:val="F82E891E"/>
    <w:lvl w:ilvl="0" w:tplc="5FC696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16C26D5"/>
    <w:multiLevelType w:val="multilevel"/>
    <w:tmpl w:val="B5C4C13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1792532"/>
    <w:multiLevelType w:val="hybridMultilevel"/>
    <w:tmpl w:val="52E8E910"/>
    <w:lvl w:ilvl="0" w:tplc="B246C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924F4B"/>
    <w:multiLevelType w:val="hybridMultilevel"/>
    <w:tmpl w:val="CFC4457C"/>
    <w:lvl w:ilvl="0" w:tplc="584A78E2">
      <w:start w:val="1"/>
      <w:numFmt w:val="decimal"/>
      <w:lvlText w:val="%1."/>
      <w:lvlJc w:val="left"/>
      <w:pPr>
        <w:tabs>
          <w:tab w:val="num" w:pos="360"/>
        </w:tabs>
        <w:ind w:left="64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0B2854"/>
    <w:multiLevelType w:val="hybridMultilevel"/>
    <w:tmpl w:val="7B5A92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E26D5D"/>
    <w:multiLevelType w:val="hybridMultilevel"/>
    <w:tmpl w:val="7C0E9DCE"/>
    <w:lvl w:ilvl="0" w:tplc="D4A44C2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5EB7C12"/>
    <w:multiLevelType w:val="hybridMultilevel"/>
    <w:tmpl w:val="A5B6EB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A5B67"/>
    <w:multiLevelType w:val="multilevel"/>
    <w:tmpl w:val="803AC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42899916">
    <w:abstractNumId w:val="35"/>
  </w:num>
  <w:num w:numId="2" w16cid:durableId="285817254">
    <w:abstractNumId w:val="5"/>
  </w:num>
  <w:num w:numId="3" w16cid:durableId="1225068263">
    <w:abstractNumId w:val="29"/>
  </w:num>
  <w:num w:numId="4" w16cid:durableId="147210830">
    <w:abstractNumId w:val="21"/>
  </w:num>
  <w:num w:numId="5" w16cid:durableId="407532422">
    <w:abstractNumId w:val="31"/>
  </w:num>
  <w:num w:numId="6" w16cid:durableId="1980765804">
    <w:abstractNumId w:val="27"/>
  </w:num>
  <w:num w:numId="7" w16cid:durableId="32462667">
    <w:abstractNumId w:val="6"/>
  </w:num>
  <w:num w:numId="8" w16cid:durableId="205919791">
    <w:abstractNumId w:val="19"/>
  </w:num>
  <w:num w:numId="9" w16cid:durableId="1566840817">
    <w:abstractNumId w:val="11"/>
  </w:num>
  <w:num w:numId="10" w16cid:durableId="753822120">
    <w:abstractNumId w:val="12"/>
  </w:num>
  <w:num w:numId="11" w16cid:durableId="664357082">
    <w:abstractNumId w:val="0"/>
  </w:num>
  <w:num w:numId="12" w16cid:durableId="663321919">
    <w:abstractNumId w:val="13"/>
  </w:num>
  <w:num w:numId="13" w16cid:durableId="189877782">
    <w:abstractNumId w:val="22"/>
  </w:num>
  <w:num w:numId="14" w16cid:durableId="1543324528">
    <w:abstractNumId w:val="24"/>
  </w:num>
  <w:num w:numId="15" w16cid:durableId="1309899933">
    <w:abstractNumId w:val="3"/>
  </w:num>
  <w:num w:numId="16" w16cid:durableId="1376151379">
    <w:abstractNumId w:val="18"/>
  </w:num>
  <w:num w:numId="17" w16cid:durableId="2022320777">
    <w:abstractNumId w:val="8"/>
  </w:num>
  <w:num w:numId="18" w16cid:durableId="139157058">
    <w:abstractNumId w:val="9"/>
  </w:num>
  <w:num w:numId="19" w16cid:durableId="927422108">
    <w:abstractNumId w:val="28"/>
  </w:num>
  <w:num w:numId="20" w16cid:durableId="1123958093">
    <w:abstractNumId w:val="4"/>
  </w:num>
  <w:num w:numId="21" w16cid:durableId="907764579">
    <w:abstractNumId w:val="15"/>
  </w:num>
  <w:num w:numId="22" w16cid:durableId="1977904712">
    <w:abstractNumId w:val="32"/>
  </w:num>
  <w:num w:numId="23" w16cid:durableId="1826893188">
    <w:abstractNumId w:val="26"/>
  </w:num>
  <w:num w:numId="24" w16cid:durableId="1305239829">
    <w:abstractNumId w:val="30"/>
  </w:num>
  <w:num w:numId="25" w16cid:durableId="15156309">
    <w:abstractNumId w:val="10"/>
  </w:num>
  <w:num w:numId="26" w16cid:durableId="3737720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51355511">
    <w:abstractNumId w:val="16"/>
  </w:num>
  <w:num w:numId="28" w16cid:durableId="1948193879">
    <w:abstractNumId w:val="14"/>
  </w:num>
  <w:num w:numId="29" w16cid:durableId="918900682">
    <w:abstractNumId w:val="34"/>
  </w:num>
  <w:num w:numId="30" w16cid:durableId="576748507">
    <w:abstractNumId w:val="1"/>
  </w:num>
  <w:num w:numId="31" w16cid:durableId="2544426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149190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149343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40693278">
    <w:abstractNumId w:val="23"/>
  </w:num>
  <w:num w:numId="35" w16cid:durableId="17515427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47050862">
    <w:abstractNumId w:val="33"/>
  </w:num>
  <w:num w:numId="37" w16cid:durableId="280042335">
    <w:abstractNumId w:val="20"/>
  </w:num>
  <w:num w:numId="38" w16cid:durableId="16562951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8282520">
    <w:abstractNumId w:val="2"/>
  </w:num>
  <w:num w:numId="40" w16cid:durableId="10774416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E8"/>
    <w:rsid w:val="00003167"/>
    <w:rsid w:val="000134EF"/>
    <w:rsid w:val="00015607"/>
    <w:rsid w:val="00026839"/>
    <w:rsid w:val="00026CC2"/>
    <w:rsid w:val="000317B6"/>
    <w:rsid w:val="00032323"/>
    <w:rsid w:val="0003668F"/>
    <w:rsid w:val="0003784F"/>
    <w:rsid w:val="00037CAA"/>
    <w:rsid w:val="000537BC"/>
    <w:rsid w:val="00055E5A"/>
    <w:rsid w:val="00062718"/>
    <w:rsid w:val="0006571F"/>
    <w:rsid w:val="000820D9"/>
    <w:rsid w:val="000844AB"/>
    <w:rsid w:val="0009178D"/>
    <w:rsid w:val="000A04D8"/>
    <w:rsid w:val="000A61C0"/>
    <w:rsid w:val="000A6F01"/>
    <w:rsid w:val="000B2E8F"/>
    <w:rsid w:val="000B638A"/>
    <w:rsid w:val="000B6C65"/>
    <w:rsid w:val="000C14CB"/>
    <w:rsid w:val="000C3AEF"/>
    <w:rsid w:val="000C731A"/>
    <w:rsid w:val="000D55EC"/>
    <w:rsid w:val="000E2FE3"/>
    <w:rsid w:val="000E4996"/>
    <w:rsid w:val="000E4BF0"/>
    <w:rsid w:val="000E7B34"/>
    <w:rsid w:val="000F0D74"/>
    <w:rsid w:val="000F12CB"/>
    <w:rsid w:val="000F5264"/>
    <w:rsid w:val="000F64D9"/>
    <w:rsid w:val="00113E4C"/>
    <w:rsid w:val="0011690C"/>
    <w:rsid w:val="0012240C"/>
    <w:rsid w:val="00127371"/>
    <w:rsid w:val="00131747"/>
    <w:rsid w:val="001329A7"/>
    <w:rsid w:val="00137217"/>
    <w:rsid w:val="001618D7"/>
    <w:rsid w:val="001652B7"/>
    <w:rsid w:val="00167830"/>
    <w:rsid w:val="00170088"/>
    <w:rsid w:val="00172EEC"/>
    <w:rsid w:val="00176315"/>
    <w:rsid w:val="001822BC"/>
    <w:rsid w:val="0018641C"/>
    <w:rsid w:val="001907A9"/>
    <w:rsid w:val="001968E5"/>
    <w:rsid w:val="001A0E67"/>
    <w:rsid w:val="001A219A"/>
    <w:rsid w:val="001A4EE4"/>
    <w:rsid w:val="001A5C95"/>
    <w:rsid w:val="001B0794"/>
    <w:rsid w:val="001B0922"/>
    <w:rsid w:val="001B0E27"/>
    <w:rsid w:val="001B1978"/>
    <w:rsid w:val="001B1E67"/>
    <w:rsid w:val="001B5431"/>
    <w:rsid w:val="001B6C08"/>
    <w:rsid w:val="001C2DE1"/>
    <w:rsid w:val="001C326F"/>
    <w:rsid w:val="001D5208"/>
    <w:rsid w:val="001D79D1"/>
    <w:rsid w:val="001E481B"/>
    <w:rsid w:val="001E6040"/>
    <w:rsid w:val="001F0F0A"/>
    <w:rsid w:val="001F4041"/>
    <w:rsid w:val="002027A0"/>
    <w:rsid w:val="00205438"/>
    <w:rsid w:val="0020744B"/>
    <w:rsid w:val="0021079E"/>
    <w:rsid w:val="00213BE6"/>
    <w:rsid w:val="002263D5"/>
    <w:rsid w:val="002269D4"/>
    <w:rsid w:val="002269E3"/>
    <w:rsid w:val="00227B31"/>
    <w:rsid w:val="00230153"/>
    <w:rsid w:val="002302FA"/>
    <w:rsid w:val="00235F75"/>
    <w:rsid w:val="0023614F"/>
    <w:rsid w:val="00236F39"/>
    <w:rsid w:val="0025550D"/>
    <w:rsid w:val="00267657"/>
    <w:rsid w:val="00275857"/>
    <w:rsid w:val="0028015A"/>
    <w:rsid w:val="00284691"/>
    <w:rsid w:val="0028515D"/>
    <w:rsid w:val="002901D2"/>
    <w:rsid w:val="00296FD8"/>
    <w:rsid w:val="002A14D9"/>
    <w:rsid w:val="002A4A91"/>
    <w:rsid w:val="002A6E20"/>
    <w:rsid w:val="002C12F7"/>
    <w:rsid w:val="002D0E3C"/>
    <w:rsid w:val="002D4C3C"/>
    <w:rsid w:val="002D4CED"/>
    <w:rsid w:val="002E2D68"/>
    <w:rsid w:val="002E7324"/>
    <w:rsid w:val="002F0266"/>
    <w:rsid w:val="002F6519"/>
    <w:rsid w:val="0030045F"/>
    <w:rsid w:val="00305DEC"/>
    <w:rsid w:val="00311928"/>
    <w:rsid w:val="003134E9"/>
    <w:rsid w:val="003145CA"/>
    <w:rsid w:val="00315D38"/>
    <w:rsid w:val="003278AE"/>
    <w:rsid w:val="00334DE7"/>
    <w:rsid w:val="00334FAD"/>
    <w:rsid w:val="00336B4A"/>
    <w:rsid w:val="003378CD"/>
    <w:rsid w:val="0034168A"/>
    <w:rsid w:val="00350EA8"/>
    <w:rsid w:val="003524B9"/>
    <w:rsid w:val="003530B8"/>
    <w:rsid w:val="00361395"/>
    <w:rsid w:val="003634A5"/>
    <w:rsid w:val="00363BF4"/>
    <w:rsid w:val="00367332"/>
    <w:rsid w:val="00367C62"/>
    <w:rsid w:val="00381944"/>
    <w:rsid w:val="00381AF5"/>
    <w:rsid w:val="00381DD7"/>
    <w:rsid w:val="003827D2"/>
    <w:rsid w:val="003909E4"/>
    <w:rsid w:val="00391D28"/>
    <w:rsid w:val="00394CD6"/>
    <w:rsid w:val="00395602"/>
    <w:rsid w:val="00397CFE"/>
    <w:rsid w:val="003A1D9A"/>
    <w:rsid w:val="003A6A06"/>
    <w:rsid w:val="003A6E50"/>
    <w:rsid w:val="003B3F94"/>
    <w:rsid w:val="003B52BC"/>
    <w:rsid w:val="003B7DE0"/>
    <w:rsid w:val="003C3FD2"/>
    <w:rsid w:val="003C4CC6"/>
    <w:rsid w:val="003C73C7"/>
    <w:rsid w:val="003D4614"/>
    <w:rsid w:val="003D7C2B"/>
    <w:rsid w:val="003E0026"/>
    <w:rsid w:val="003E089D"/>
    <w:rsid w:val="003E2AEC"/>
    <w:rsid w:val="003F2FDF"/>
    <w:rsid w:val="003F55A2"/>
    <w:rsid w:val="003F7E4D"/>
    <w:rsid w:val="00401FBE"/>
    <w:rsid w:val="004029C9"/>
    <w:rsid w:val="004073B8"/>
    <w:rsid w:val="0041026B"/>
    <w:rsid w:val="004224CE"/>
    <w:rsid w:val="004261C8"/>
    <w:rsid w:val="00426D2E"/>
    <w:rsid w:val="00433B78"/>
    <w:rsid w:val="0043561E"/>
    <w:rsid w:val="00437917"/>
    <w:rsid w:val="00451BE9"/>
    <w:rsid w:val="00465B1A"/>
    <w:rsid w:val="00470A2F"/>
    <w:rsid w:val="0047357F"/>
    <w:rsid w:val="0047631A"/>
    <w:rsid w:val="00482ADC"/>
    <w:rsid w:val="00484B5F"/>
    <w:rsid w:val="00490259"/>
    <w:rsid w:val="004902D8"/>
    <w:rsid w:val="00490F0D"/>
    <w:rsid w:val="004A22FF"/>
    <w:rsid w:val="004A524D"/>
    <w:rsid w:val="004B0069"/>
    <w:rsid w:val="004B4053"/>
    <w:rsid w:val="004C4B03"/>
    <w:rsid w:val="004C5E92"/>
    <w:rsid w:val="004C6C20"/>
    <w:rsid w:val="004D2AD3"/>
    <w:rsid w:val="004D3FFB"/>
    <w:rsid w:val="004E072D"/>
    <w:rsid w:val="004E34DE"/>
    <w:rsid w:val="004E3DC3"/>
    <w:rsid w:val="004F2133"/>
    <w:rsid w:val="004F7FF2"/>
    <w:rsid w:val="00522226"/>
    <w:rsid w:val="00523DC9"/>
    <w:rsid w:val="00534454"/>
    <w:rsid w:val="00550EE2"/>
    <w:rsid w:val="00550F67"/>
    <w:rsid w:val="0055753F"/>
    <w:rsid w:val="00565A9A"/>
    <w:rsid w:val="005806FC"/>
    <w:rsid w:val="00581115"/>
    <w:rsid w:val="0058446A"/>
    <w:rsid w:val="005866CA"/>
    <w:rsid w:val="00593034"/>
    <w:rsid w:val="005A2DC0"/>
    <w:rsid w:val="005A42EC"/>
    <w:rsid w:val="005B1728"/>
    <w:rsid w:val="005B2869"/>
    <w:rsid w:val="005B32BA"/>
    <w:rsid w:val="005C12B7"/>
    <w:rsid w:val="005C4516"/>
    <w:rsid w:val="005C610F"/>
    <w:rsid w:val="005D10D3"/>
    <w:rsid w:val="005D6ACF"/>
    <w:rsid w:val="005E789B"/>
    <w:rsid w:val="005F16A3"/>
    <w:rsid w:val="005F3926"/>
    <w:rsid w:val="0060334C"/>
    <w:rsid w:val="00603916"/>
    <w:rsid w:val="00604F97"/>
    <w:rsid w:val="006052F5"/>
    <w:rsid w:val="00606B03"/>
    <w:rsid w:val="00614F84"/>
    <w:rsid w:val="00625034"/>
    <w:rsid w:val="00631BA3"/>
    <w:rsid w:val="00643689"/>
    <w:rsid w:val="00645DBB"/>
    <w:rsid w:val="0065484C"/>
    <w:rsid w:val="00656A64"/>
    <w:rsid w:val="00664807"/>
    <w:rsid w:val="00682034"/>
    <w:rsid w:val="0069586C"/>
    <w:rsid w:val="006A3E74"/>
    <w:rsid w:val="006B0609"/>
    <w:rsid w:val="006B516A"/>
    <w:rsid w:val="006C31BA"/>
    <w:rsid w:val="006D15EB"/>
    <w:rsid w:val="006D2338"/>
    <w:rsid w:val="006D592C"/>
    <w:rsid w:val="006D7C15"/>
    <w:rsid w:val="006E4214"/>
    <w:rsid w:val="006F3C23"/>
    <w:rsid w:val="007039B0"/>
    <w:rsid w:val="00706FD0"/>
    <w:rsid w:val="00707B40"/>
    <w:rsid w:val="00710C84"/>
    <w:rsid w:val="00711699"/>
    <w:rsid w:val="00713C6A"/>
    <w:rsid w:val="00721D38"/>
    <w:rsid w:val="00723597"/>
    <w:rsid w:val="00727AAF"/>
    <w:rsid w:val="00727FB1"/>
    <w:rsid w:val="00730CA3"/>
    <w:rsid w:val="0073134A"/>
    <w:rsid w:val="007331C7"/>
    <w:rsid w:val="00733CE3"/>
    <w:rsid w:val="007544FD"/>
    <w:rsid w:val="0075578A"/>
    <w:rsid w:val="00755864"/>
    <w:rsid w:val="00761228"/>
    <w:rsid w:val="00761808"/>
    <w:rsid w:val="007653F3"/>
    <w:rsid w:val="0077319F"/>
    <w:rsid w:val="0077794A"/>
    <w:rsid w:val="00780BB5"/>
    <w:rsid w:val="007825F2"/>
    <w:rsid w:val="00794440"/>
    <w:rsid w:val="007948C7"/>
    <w:rsid w:val="007A4CAA"/>
    <w:rsid w:val="007A727A"/>
    <w:rsid w:val="007C1B34"/>
    <w:rsid w:val="007C4BC3"/>
    <w:rsid w:val="007C63C3"/>
    <w:rsid w:val="007C78D6"/>
    <w:rsid w:val="007D2EC7"/>
    <w:rsid w:val="007D3529"/>
    <w:rsid w:val="007D6C57"/>
    <w:rsid w:val="007E4195"/>
    <w:rsid w:val="007F0D1A"/>
    <w:rsid w:val="007F77FA"/>
    <w:rsid w:val="00815CC3"/>
    <w:rsid w:val="0081610E"/>
    <w:rsid w:val="008171DA"/>
    <w:rsid w:val="0081754E"/>
    <w:rsid w:val="008224BE"/>
    <w:rsid w:val="008237C6"/>
    <w:rsid w:val="008263FD"/>
    <w:rsid w:val="00826DA0"/>
    <w:rsid w:val="0083245F"/>
    <w:rsid w:val="00832F65"/>
    <w:rsid w:val="0084216A"/>
    <w:rsid w:val="0084399F"/>
    <w:rsid w:val="00845F61"/>
    <w:rsid w:val="00846514"/>
    <w:rsid w:val="00847397"/>
    <w:rsid w:val="00850C7E"/>
    <w:rsid w:val="00851F4D"/>
    <w:rsid w:val="008524A6"/>
    <w:rsid w:val="00853788"/>
    <w:rsid w:val="00854C19"/>
    <w:rsid w:val="00856DFD"/>
    <w:rsid w:val="00863C32"/>
    <w:rsid w:val="0087092C"/>
    <w:rsid w:val="00873139"/>
    <w:rsid w:val="008930F3"/>
    <w:rsid w:val="0089564D"/>
    <w:rsid w:val="00895FE9"/>
    <w:rsid w:val="00897959"/>
    <w:rsid w:val="008A18A6"/>
    <w:rsid w:val="008A1BCC"/>
    <w:rsid w:val="008A511E"/>
    <w:rsid w:val="008A60BB"/>
    <w:rsid w:val="008B69DF"/>
    <w:rsid w:val="008C148C"/>
    <w:rsid w:val="008D34CA"/>
    <w:rsid w:val="008D65E1"/>
    <w:rsid w:val="008E2392"/>
    <w:rsid w:val="008E4554"/>
    <w:rsid w:val="008E46D0"/>
    <w:rsid w:val="008F13BE"/>
    <w:rsid w:val="008F1BF0"/>
    <w:rsid w:val="008F2757"/>
    <w:rsid w:val="009006B8"/>
    <w:rsid w:val="0090476B"/>
    <w:rsid w:val="00911BEA"/>
    <w:rsid w:val="00913AF2"/>
    <w:rsid w:val="009200E9"/>
    <w:rsid w:val="00922148"/>
    <w:rsid w:val="00924C1E"/>
    <w:rsid w:val="00927CB5"/>
    <w:rsid w:val="00931D30"/>
    <w:rsid w:val="00932668"/>
    <w:rsid w:val="0093346B"/>
    <w:rsid w:val="00934EE2"/>
    <w:rsid w:val="00940592"/>
    <w:rsid w:val="009414E1"/>
    <w:rsid w:val="00945293"/>
    <w:rsid w:val="00945D3C"/>
    <w:rsid w:val="00950359"/>
    <w:rsid w:val="00954523"/>
    <w:rsid w:val="0095638A"/>
    <w:rsid w:val="0096262A"/>
    <w:rsid w:val="00963D19"/>
    <w:rsid w:val="00970061"/>
    <w:rsid w:val="009731CF"/>
    <w:rsid w:val="0098060D"/>
    <w:rsid w:val="0099154E"/>
    <w:rsid w:val="00991C28"/>
    <w:rsid w:val="0099222A"/>
    <w:rsid w:val="009926C9"/>
    <w:rsid w:val="0099460E"/>
    <w:rsid w:val="009966ED"/>
    <w:rsid w:val="00996A7F"/>
    <w:rsid w:val="009A394D"/>
    <w:rsid w:val="009A3F07"/>
    <w:rsid w:val="009A4B3D"/>
    <w:rsid w:val="009A4BD6"/>
    <w:rsid w:val="009A71F5"/>
    <w:rsid w:val="009B131A"/>
    <w:rsid w:val="009D67DB"/>
    <w:rsid w:val="009D7189"/>
    <w:rsid w:val="009E5775"/>
    <w:rsid w:val="009F34B4"/>
    <w:rsid w:val="009F6484"/>
    <w:rsid w:val="009F6821"/>
    <w:rsid w:val="00A049FB"/>
    <w:rsid w:val="00A10D3D"/>
    <w:rsid w:val="00A127BE"/>
    <w:rsid w:val="00A13EE1"/>
    <w:rsid w:val="00A14D5B"/>
    <w:rsid w:val="00A245BC"/>
    <w:rsid w:val="00A35CB6"/>
    <w:rsid w:val="00A41BE6"/>
    <w:rsid w:val="00A512EA"/>
    <w:rsid w:val="00A51529"/>
    <w:rsid w:val="00A5160F"/>
    <w:rsid w:val="00A51DB7"/>
    <w:rsid w:val="00A55005"/>
    <w:rsid w:val="00A61CBC"/>
    <w:rsid w:val="00A64028"/>
    <w:rsid w:val="00A656D9"/>
    <w:rsid w:val="00A9476B"/>
    <w:rsid w:val="00A9763D"/>
    <w:rsid w:val="00AA27C4"/>
    <w:rsid w:val="00AA4819"/>
    <w:rsid w:val="00AB4192"/>
    <w:rsid w:val="00AC45F7"/>
    <w:rsid w:val="00AD36DF"/>
    <w:rsid w:val="00AD41FF"/>
    <w:rsid w:val="00AE73BF"/>
    <w:rsid w:val="00AE7DD9"/>
    <w:rsid w:val="00B003F8"/>
    <w:rsid w:val="00B00D67"/>
    <w:rsid w:val="00B22649"/>
    <w:rsid w:val="00B26995"/>
    <w:rsid w:val="00B27F51"/>
    <w:rsid w:val="00B352EE"/>
    <w:rsid w:val="00B376D3"/>
    <w:rsid w:val="00B41AF3"/>
    <w:rsid w:val="00B41D2E"/>
    <w:rsid w:val="00B428D8"/>
    <w:rsid w:val="00B61C53"/>
    <w:rsid w:val="00B70469"/>
    <w:rsid w:val="00B71E48"/>
    <w:rsid w:val="00B905E1"/>
    <w:rsid w:val="00B94735"/>
    <w:rsid w:val="00BA116F"/>
    <w:rsid w:val="00BA2717"/>
    <w:rsid w:val="00BB2F29"/>
    <w:rsid w:val="00BB3386"/>
    <w:rsid w:val="00BB5E81"/>
    <w:rsid w:val="00BC0BBB"/>
    <w:rsid w:val="00BD4C9D"/>
    <w:rsid w:val="00BD6013"/>
    <w:rsid w:val="00BE223D"/>
    <w:rsid w:val="00BF0F52"/>
    <w:rsid w:val="00BF6C59"/>
    <w:rsid w:val="00BF7460"/>
    <w:rsid w:val="00C02A12"/>
    <w:rsid w:val="00C06908"/>
    <w:rsid w:val="00C14248"/>
    <w:rsid w:val="00C1450D"/>
    <w:rsid w:val="00C21EB6"/>
    <w:rsid w:val="00C23F5D"/>
    <w:rsid w:val="00C354A5"/>
    <w:rsid w:val="00C35EB9"/>
    <w:rsid w:val="00C47D4E"/>
    <w:rsid w:val="00C52C83"/>
    <w:rsid w:val="00C61D45"/>
    <w:rsid w:val="00C65B43"/>
    <w:rsid w:val="00C674DA"/>
    <w:rsid w:val="00C70430"/>
    <w:rsid w:val="00C70DE6"/>
    <w:rsid w:val="00C71EDC"/>
    <w:rsid w:val="00C72487"/>
    <w:rsid w:val="00C74F2A"/>
    <w:rsid w:val="00C754E5"/>
    <w:rsid w:val="00C830DE"/>
    <w:rsid w:val="00C931FF"/>
    <w:rsid w:val="00C95EC6"/>
    <w:rsid w:val="00CA0073"/>
    <w:rsid w:val="00CA5A92"/>
    <w:rsid w:val="00CB2422"/>
    <w:rsid w:val="00CB5627"/>
    <w:rsid w:val="00CB7CA3"/>
    <w:rsid w:val="00CC012D"/>
    <w:rsid w:val="00CC6B57"/>
    <w:rsid w:val="00CC7F36"/>
    <w:rsid w:val="00CE086A"/>
    <w:rsid w:val="00CE2A45"/>
    <w:rsid w:val="00CF30CB"/>
    <w:rsid w:val="00CF43FF"/>
    <w:rsid w:val="00CF46EC"/>
    <w:rsid w:val="00CF5988"/>
    <w:rsid w:val="00CF780A"/>
    <w:rsid w:val="00D00465"/>
    <w:rsid w:val="00D02D4F"/>
    <w:rsid w:val="00D038FD"/>
    <w:rsid w:val="00D11EA4"/>
    <w:rsid w:val="00D1237E"/>
    <w:rsid w:val="00D12B63"/>
    <w:rsid w:val="00D1422C"/>
    <w:rsid w:val="00D21756"/>
    <w:rsid w:val="00D2588F"/>
    <w:rsid w:val="00D30DD0"/>
    <w:rsid w:val="00D32A4D"/>
    <w:rsid w:val="00D34D2E"/>
    <w:rsid w:val="00D41FA2"/>
    <w:rsid w:val="00D43F78"/>
    <w:rsid w:val="00D45BF7"/>
    <w:rsid w:val="00D565C7"/>
    <w:rsid w:val="00D611EF"/>
    <w:rsid w:val="00D82C6E"/>
    <w:rsid w:val="00D84938"/>
    <w:rsid w:val="00D8612F"/>
    <w:rsid w:val="00D931EA"/>
    <w:rsid w:val="00D978E5"/>
    <w:rsid w:val="00DA0036"/>
    <w:rsid w:val="00DA18A9"/>
    <w:rsid w:val="00DA7F0D"/>
    <w:rsid w:val="00DB0327"/>
    <w:rsid w:val="00DB15D2"/>
    <w:rsid w:val="00DB3349"/>
    <w:rsid w:val="00DB55AD"/>
    <w:rsid w:val="00DC3F88"/>
    <w:rsid w:val="00DC6F0B"/>
    <w:rsid w:val="00DD3B54"/>
    <w:rsid w:val="00DD52A6"/>
    <w:rsid w:val="00DE04D0"/>
    <w:rsid w:val="00DE2FA3"/>
    <w:rsid w:val="00DE654D"/>
    <w:rsid w:val="00DF0E4C"/>
    <w:rsid w:val="00E0702E"/>
    <w:rsid w:val="00E12D80"/>
    <w:rsid w:val="00E15068"/>
    <w:rsid w:val="00E1737B"/>
    <w:rsid w:val="00E213F8"/>
    <w:rsid w:val="00E221B9"/>
    <w:rsid w:val="00E24DE3"/>
    <w:rsid w:val="00E24DFC"/>
    <w:rsid w:val="00E26291"/>
    <w:rsid w:val="00E35B6E"/>
    <w:rsid w:val="00E56322"/>
    <w:rsid w:val="00E602F9"/>
    <w:rsid w:val="00E60FF8"/>
    <w:rsid w:val="00E64923"/>
    <w:rsid w:val="00E64F7A"/>
    <w:rsid w:val="00E71B7B"/>
    <w:rsid w:val="00E7543A"/>
    <w:rsid w:val="00E756E8"/>
    <w:rsid w:val="00E833E7"/>
    <w:rsid w:val="00E9693E"/>
    <w:rsid w:val="00E978BA"/>
    <w:rsid w:val="00EC4B3C"/>
    <w:rsid w:val="00EC5939"/>
    <w:rsid w:val="00ED56B4"/>
    <w:rsid w:val="00EE0399"/>
    <w:rsid w:val="00EE0DEB"/>
    <w:rsid w:val="00EF0C9C"/>
    <w:rsid w:val="00EF623C"/>
    <w:rsid w:val="00F03D8F"/>
    <w:rsid w:val="00F05344"/>
    <w:rsid w:val="00F05BF5"/>
    <w:rsid w:val="00F11E98"/>
    <w:rsid w:val="00F22FF8"/>
    <w:rsid w:val="00F23F86"/>
    <w:rsid w:val="00F249D8"/>
    <w:rsid w:val="00F2652C"/>
    <w:rsid w:val="00F277F0"/>
    <w:rsid w:val="00F3022E"/>
    <w:rsid w:val="00F3282E"/>
    <w:rsid w:val="00F33F6B"/>
    <w:rsid w:val="00F34D63"/>
    <w:rsid w:val="00F376A1"/>
    <w:rsid w:val="00F37C48"/>
    <w:rsid w:val="00F37DA4"/>
    <w:rsid w:val="00F50722"/>
    <w:rsid w:val="00F550BD"/>
    <w:rsid w:val="00F61914"/>
    <w:rsid w:val="00F729CD"/>
    <w:rsid w:val="00F8078C"/>
    <w:rsid w:val="00F84EE1"/>
    <w:rsid w:val="00F97EC6"/>
    <w:rsid w:val="00FA1542"/>
    <w:rsid w:val="00FB4C59"/>
    <w:rsid w:val="00FB7F33"/>
    <w:rsid w:val="00FB7FEB"/>
    <w:rsid w:val="00FC36A5"/>
    <w:rsid w:val="00FD1BA0"/>
    <w:rsid w:val="00FD49C7"/>
    <w:rsid w:val="00FE2FD3"/>
    <w:rsid w:val="00FE53E6"/>
    <w:rsid w:val="00FE5535"/>
    <w:rsid w:val="00FE7116"/>
    <w:rsid w:val="00FF341D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CAB3985"/>
  <w15:docId w15:val="{E10C8875-EB61-4DB7-A111-FA639AFE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2"/>
      <w:u w:val="singl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pPr>
      <w:keepNext/>
      <w:ind w:left="426" w:firstLine="339"/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pPr>
      <w:keepNext/>
      <w:spacing w:line="264" w:lineRule="auto"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spacing w:line="288" w:lineRule="auto"/>
      <w:jc w:val="center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spacing w:line="288" w:lineRule="auto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spacing w:after="120" w:line="264" w:lineRule="auto"/>
      <w:jc w:val="center"/>
      <w:outlineLvl w:val="7"/>
    </w:pPr>
    <w:rPr>
      <w:b/>
      <w:i/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426"/>
      <w:jc w:val="both"/>
    </w:pPr>
    <w:rPr>
      <w:sz w:val="22"/>
    </w:rPr>
  </w:style>
  <w:style w:type="paragraph" w:styleId="Zkladntext">
    <w:name w:val="Body Text"/>
    <w:basedOn w:val="Normln"/>
    <w:link w:val="ZkladntextChar"/>
    <w:pPr>
      <w:jc w:val="both"/>
    </w:pPr>
    <w:rPr>
      <w:sz w:val="22"/>
    </w:rPr>
  </w:style>
  <w:style w:type="paragraph" w:styleId="Zkladntext2">
    <w:name w:val="Body Text 2"/>
    <w:basedOn w:val="Normln"/>
    <w:link w:val="Zkladntext2Char"/>
    <w:pPr>
      <w:spacing w:line="360" w:lineRule="auto"/>
      <w:jc w:val="both"/>
    </w:pPr>
  </w:style>
  <w:style w:type="paragraph" w:styleId="Nzev">
    <w:name w:val="Title"/>
    <w:basedOn w:val="Normln"/>
    <w:qFormat/>
    <w:pPr>
      <w:pBdr>
        <w:top w:val="single" w:sz="4" w:space="1" w:color="auto"/>
        <w:left w:val="single" w:sz="4" w:space="4" w:color="auto"/>
        <w:bottom w:val="single" w:sz="4" w:space="4" w:color="auto"/>
        <w:right w:val="single" w:sz="4" w:space="4" w:color="auto"/>
      </w:pBdr>
      <w:shd w:val="pct20" w:color="auto" w:fill="FFFFFF"/>
      <w:jc w:val="center"/>
    </w:pPr>
    <w:rPr>
      <w:b/>
      <w:smallCaps/>
      <w:spacing w:val="20"/>
      <w:sz w:val="34"/>
    </w:rPr>
  </w:style>
  <w:style w:type="paragraph" w:styleId="Zkladntextodsazen2">
    <w:name w:val="Body Text Indent 2"/>
    <w:basedOn w:val="Normln"/>
    <w:pPr>
      <w:spacing w:line="264" w:lineRule="auto"/>
      <w:ind w:left="357"/>
      <w:jc w:val="both"/>
    </w:pPr>
  </w:style>
  <w:style w:type="paragraph" w:styleId="Prosttext">
    <w:name w:val="Plain Text"/>
    <w:basedOn w:val="Normln"/>
    <w:link w:val="ProsttextChar"/>
    <w:rPr>
      <w:rFonts w:ascii="Courier New" w:hAnsi="Courier New"/>
      <w:sz w:val="20"/>
    </w:rPr>
  </w:style>
  <w:style w:type="character" w:styleId="Hypertextovodkaz">
    <w:name w:val="Hyperlink"/>
    <w:rsid w:val="00E64923"/>
    <w:rPr>
      <w:color w:val="0000FF"/>
      <w:u w:val="single"/>
    </w:rPr>
  </w:style>
  <w:style w:type="paragraph" w:styleId="Textbubliny">
    <w:name w:val="Balloon Text"/>
    <w:basedOn w:val="Normln"/>
    <w:semiHidden/>
    <w:rsid w:val="001822B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611EF"/>
    <w:rPr>
      <w:sz w:val="16"/>
      <w:szCs w:val="16"/>
    </w:rPr>
  </w:style>
  <w:style w:type="paragraph" w:styleId="Textkomente">
    <w:name w:val="annotation text"/>
    <w:basedOn w:val="Normln"/>
    <w:semiHidden/>
    <w:rsid w:val="00D611EF"/>
    <w:rPr>
      <w:sz w:val="20"/>
    </w:rPr>
  </w:style>
  <w:style w:type="paragraph" w:styleId="Pedmtkomente">
    <w:name w:val="annotation subject"/>
    <w:basedOn w:val="Textkomente"/>
    <w:next w:val="Textkomente"/>
    <w:semiHidden/>
    <w:rsid w:val="00D611EF"/>
    <w:rPr>
      <w:b/>
      <w:bCs/>
    </w:rPr>
  </w:style>
  <w:style w:type="character" w:customStyle="1" w:styleId="platne1">
    <w:name w:val="platne1"/>
    <w:basedOn w:val="Standardnpsmoodstavce"/>
    <w:rsid w:val="00DF0E4C"/>
  </w:style>
  <w:style w:type="character" w:customStyle="1" w:styleId="ZpatChar">
    <w:name w:val="Zápatí Char"/>
    <w:link w:val="Zpat"/>
    <w:uiPriority w:val="99"/>
    <w:rsid w:val="002D4CED"/>
    <w:rPr>
      <w:sz w:val="24"/>
    </w:rPr>
  </w:style>
  <w:style w:type="character" w:customStyle="1" w:styleId="ZkladntextChar">
    <w:name w:val="Základní text Char"/>
    <w:link w:val="Zkladntext"/>
    <w:locked/>
    <w:rsid w:val="00BE223D"/>
    <w:rPr>
      <w:sz w:val="22"/>
    </w:rPr>
  </w:style>
  <w:style w:type="character" w:customStyle="1" w:styleId="preformatted">
    <w:name w:val="preformatted"/>
    <w:rsid w:val="007D3529"/>
  </w:style>
  <w:style w:type="character" w:customStyle="1" w:styleId="nowrap">
    <w:name w:val="nowrap"/>
    <w:rsid w:val="007D3529"/>
  </w:style>
  <w:style w:type="paragraph" w:styleId="Odstavecseseznamem">
    <w:name w:val="List Paragraph"/>
    <w:basedOn w:val="Normln"/>
    <w:uiPriority w:val="34"/>
    <w:qFormat/>
    <w:rsid w:val="00970061"/>
    <w:pPr>
      <w:ind w:left="708"/>
    </w:pPr>
    <w:rPr>
      <w:sz w:val="22"/>
    </w:rPr>
  </w:style>
  <w:style w:type="character" w:customStyle="1" w:styleId="Zkladntext2Char">
    <w:name w:val="Základní text 2 Char"/>
    <w:link w:val="Zkladntext2"/>
    <w:rsid w:val="00437917"/>
    <w:rPr>
      <w:sz w:val="24"/>
    </w:rPr>
  </w:style>
  <w:style w:type="character" w:customStyle="1" w:styleId="ProsttextChar">
    <w:name w:val="Prostý text Char"/>
    <w:basedOn w:val="Standardnpsmoodstavce"/>
    <w:link w:val="Prosttext"/>
    <w:rsid w:val="00AD36DF"/>
    <w:rPr>
      <w:rFonts w:ascii="Courier New" w:hAnsi="Courier New"/>
    </w:rPr>
  </w:style>
  <w:style w:type="paragraph" w:styleId="Bezmezer">
    <w:name w:val="No Spacing"/>
    <w:uiPriority w:val="1"/>
    <w:qFormat/>
    <w:rsid w:val="00922148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US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2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4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9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012C5-FC72-4A70-A9DC-B1844BDD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1051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ČEPRO, a.s.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Mgr. Tomáš Krejčí, advokát</dc:creator>
  <cp:lastModifiedBy>Vítová Petra</cp:lastModifiedBy>
  <cp:revision>2</cp:revision>
  <cp:lastPrinted>2020-07-27T11:51:00Z</cp:lastPrinted>
  <dcterms:created xsi:type="dcterms:W3CDTF">2024-03-26T14:05:00Z</dcterms:created>
  <dcterms:modified xsi:type="dcterms:W3CDTF">2024-03-26T14:05:00Z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2024-03-26T13:57:02Z</vt:lpwstr>
  </property>
  <property fmtid="{D5CDD505-2E9C-101B-9397-08002B2CF9AE}" pid="4" name="MSIP_Label_53b2c928-728b-4698-a3fd-c5d03555aa71_Method">
    <vt:lpwstr>Privileged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1aaa21d8-75bb-4348-8a61-d828c8058a3c</vt:lpwstr>
  </property>
  <property fmtid="{D5CDD505-2E9C-101B-9397-08002B2CF9AE}" pid="8" name="MSIP_Label_53b2c928-728b-4698-a3fd-c5d03555aa71_ContentBits">
    <vt:lpwstr>0</vt:lpwstr>
  </property>
</Properties>
</file>