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B212D" w14:textId="77777777" w:rsidR="000E153A" w:rsidRDefault="000E153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77AE34E" w14:textId="4D414684" w:rsidR="008775C5" w:rsidRDefault="007D118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7D1189">
        <w:rPr>
          <w:rFonts w:ascii="Calibri" w:eastAsia="Calibri" w:hAnsi="Calibri" w:cs="Calibri"/>
          <w:b/>
          <w:color w:val="000000"/>
          <w:sz w:val="22"/>
          <w:szCs w:val="22"/>
        </w:rPr>
        <w:t>Pavel Beneš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7839124A" w14:textId="177325B9" w:rsidR="007D1189" w:rsidRDefault="007D118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7D1189">
        <w:rPr>
          <w:rFonts w:ascii="Calibri" w:eastAsia="Calibri" w:hAnsi="Calibri" w:cs="Calibri"/>
          <w:bCs/>
          <w:color w:val="000000"/>
          <w:sz w:val="22"/>
          <w:szCs w:val="22"/>
        </w:rPr>
        <w:t xml:space="preserve">fyzická osoba podnikající dle živnostenského zákona, </w:t>
      </w:r>
    </w:p>
    <w:p w14:paraId="4C00B30F" w14:textId="000B9805" w:rsidR="002C6BA1" w:rsidRDefault="002C6BA1" w:rsidP="002C6BA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IČO: </w:t>
      </w:r>
      <w:r w:rsidR="007D1189">
        <w:rPr>
          <w:rFonts w:ascii="Calibri" w:eastAsia="Calibri" w:hAnsi="Calibri" w:cs="Calibri"/>
          <w:color w:val="000000"/>
          <w:sz w:val="22"/>
          <w:szCs w:val="22"/>
        </w:rPr>
        <w:t>16852206</w:t>
      </w:r>
    </w:p>
    <w:p w14:paraId="507697FD" w14:textId="6B1E5808" w:rsidR="002E6038" w:rsidRDefault="00B21EA4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se sídlem: </w:t>
      </w:r>
      <w:r w:rsidR="007D1189">
        <w:rPr>
          <w:rFonts w:ascii="Calibri" w:eastAsia="Calibri" w:hAnsi="Calibri" w:cs="Calibri"/>
          <w:color w:val="000000"/>
          <w:sz w:val="22"/>
          <w:szCs w:val="22"/>
        </w:rPr>
        <w:t>Pelhřimovská 531, 394 70 Kamenice nad Lipou</w:t>
      </w:r>
    </w:p>
    <w:p w14:paraId="0B2A9120" w14:textId="77777777" w:rsidR="002E6038" w:rsidRDefault="002E603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F6057F3" w14:textId="77777777" w:rsidR="002E6038" w:rsidRDefault="00B21EA4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D1189">
        <w:rPr>
          <w:rFonts w:ascii="Calibri" w:eastAsia="Calibri" w:hAnsi="Calibri" w:cs="Calibri"/>
          <w:color w:val="000000"/>
          <w:sz w:val="22"/>
          <w:szCs w:val="22"/>
        </w:rPr>
        <w:t>(dále jen „</w:t>
      </w:r>
      <w:r w:rsidRPr="007D1189">
        <w:rPr>
          <w:rFonts w:ascii="Calibri" w:eastAsia="Calibri" w:hAnsi="Calibri" w:cs="Calibri"/>
          <w:b/>
          <w:color w:val="000000"/>
          <w:sz w:val="22"/>
          <w:szCs w:val="22"/>
        </w:rPr>
        <w:t>pronajímatel</w:t>
      </w:r>
      <w:r w:rsidRPr="007D1189">
        <w:rPr>
          <w:rFonts w:ascii="Calibri" w:eastAsia="Calibri" w:hAnsi="Calibri" w:cs="Calibri"/>
          <w:color w:val="000000"/>
          <w:sz w:val="22"/>
          <w:szCs w:val="22"/>
        </w:rPr>
        <w:t>“)</w:t>
      </w:r>
    </w:p>
    <w:p w14:paraId="5E1B0029" w14:textId="77777777" w:rsidR="002E6038" w:rsidRDefault="002E603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CE1FA89" w14:textId="77777777" w:rsidR="002E6038" w:rsidRDefault="00B21EA4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</w:t>
      </w:r>
    </w:p>
    <w:p w14:paraId="14554B37" w14:textId="77777777" w:rsidR="002E6038" w:rsidRDefault="002E603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733309C" w14:textId="77777777" w:rsidR="002E6038" w:rsidRDefault="00B21EA4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Národní památkový ústav,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státní příspěvková organizace</w:t>
      </w:r>
    </w:p>
    <w:p w14:paraId="71DC89EA" w14:textId="77777777" w:rsidR="002E6038" w:rsidRDefault="00B21EA4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IČO: 75032333, DIČ: CZ75032333,</w:t>
      </w:r>
    </w:p>
    <w:p w14:paraId="70FBBD5E" w14:textId="77777777" w:rsidR="007D1189" w:rsidRPr="007D1189" w:rsidRDefault="007D1189" w:rsidP="007D118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D1189">
        <w:rPr>
          <w:rFonts w:ascii="Calibri" w:eastAsia="Calibri" w:hAnsi="Calibri" w:cs="Calibri"/>
          <w:color w:val="000000"/>
          <w:sz w:val="22"/>
          <w:szCs w:val="22"/>
        </w:rPr>
        <w:t>se sídlem: Valdštejnské nám. 162/3, PSČ 118 01 Praha 1 – Malá Strana,</w:t>
      </w:r>
    </w:p>
    <w:p w14:paraId="049CBB29" w14:textId="77777777" w:rsidR="007D1189" w:rsidRPr="007D1189" w:rsidRDefault="007D1189" w:rsidP="007D118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D1189">
        <w:rPr>
          <w:rFonts w:ascii="Calibri" w:eastAsia="Calibri" w:hAnsi="Calibri" w:cs="Calibri"/>
          <w:color w:val="000000"/>
          <w:sz w:val="22"/>
          <w:szCs w:val="22"/>
        </w:rPr>
        <w:t xml:space="preserve">zastoupená Bc. Lukášem Bojčukem, vedoucím odboru správy Státního hradu Švihov </w:t>
      </w:r>
    </w:p>
    <w:p w14:paraId="08027FD4" w14:textId="0BC4B8B0" w:rsidR="002E6038" w:rsidRDefault="007D1189" w:rsidP="007D118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  <w:highlight w:val="lightGray"/>
        </w:rPr>
      </w:pPr>
      <w:r w:rsidRPr="007D1189">
        <w:rPr>
          <w:rFonts w:ascii="Calibri" w:eastAsia="Calibri" w:hAnsi="Calibri" w:cs="Calibri"/>
          <w:color w:val="000000"/>
          <w:sz w:val="22"/>
          <w:szCs w:val="22"/>
        </w:rPr>
        <w:t xml:space="preserve">bankovní spojení: Česká národní banka, č. </w:t>
      </w:r>
      <w:proofErr w:type="spellStart"/>
      <w:r w:rsidRPr="007D1189">
        <w:rPr>
          <w:rFonts w:ascii="Calibri" w:eastAsia="Calibri" w:hAnsi="Calibri" w:cs="Calibri"/>
          <w:color w:val="000000"/>
          <w:sz w:val="22"/>
          <w:szCs w:val="22"/>
        </w:rPr>
        <w:t>ú.</w:t>
      </w:r>
      <w:proofErr w:type="spellEnd"/>
      <w:r w:rsidRPr="007D1189">
        <w:rPr>
          <w:rFonts w:ascii="Calibri" w:eastAsia="Calibri" w:hAnsi="Calibri" w:cs="Calibri"/>
          <w:color w:val="000000"/>
          <w:sz w:val="22"/>
          <w:szCs w:val="22"/>
        </w:rPr>
        <w:t xml:space="preserve"> 300003-60039011/0710</w:t>
      </w:r>
    </w:p>
    <w:p w14:paraId="62EEAD06" w14:textId="77777777" w:rsidR="002E6038" w:rsidRDefault="002E603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  <w:highlight w:val="lightGray"/>
        </w:rPr>
      </w:pPr>
    </w:p>
    <w:p w14:paraId="7970A42E" w14:textId="77777777" w:rsidR="002E6038" w:rsidRPr="007D1189" w:rsidRDefault="00B21EA4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D1189">
        <w:rPr>
          <w:rFonts w:ascii="Calibri" w:eastAsia="Calibri" w:hAnsi="Calibri" w:cs="Calibri"/>
          <w:b/>
          <w:i/>
          <w:color w:val="000000"/>
          <w:sz w:val="22"/>
          <w:szCs w:val="22"/>
        </w:rPr>
        <w:t>Doručovací adresa:</w:t>
      </w:r>
    </w:p>
    <w:p w14:paraId="71577337" w14:textId="32628B56" w:rsidR="002E6038" w:rsidRPr="007D1189" w:rsidRDefault="00B21EA4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D1189">
        <w:rPr>
          <w:rFonts w:ascii="Calibri" w:eastAsia="Calibri" w:hAnsi="Calibri" w:cs="Calibri"/>
          <w:color w:val="000000"/>
          <w:sz w:val="22"/>
          <w:szCs w:val="22"/>
        </w:rPr>
        <w:t xml:space="preserve">Národní památkový ústav, správa hradu </w:t>
      </w:r>
      <w:r w:rsidR="007D1189" w:rsidRPr="007D1189">
        <w:rPr>
          <w:rFonts w:ascii="Calibri" w:eastAsia="Calibri" w:hAnsi="Calibri" w:cs="Calibri"/>
          <w:color w:val="000000"/>
          <w:sz w:val="22"/>
          <w:szCs w:val="22"/>
        </w:rPr>
        <w:t>Švihov</w:t>
      </w:r>
    </w:p>
    <w:p w14:paraId="42EC0495" w14:textId="7AD5B0A8" w:rsidR="002E6038" w:rsidRPr="007D1189" w:rsidRDefault="00B21EA4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D1189">
        <w:rPr>
          <w:rFonts w:ascii="Calibri" w:eastAsia="Calibri" w:hAnsi="Calibri" w:cs="Calibri"/>
          <w:color w:val="000000"/>
          <w:sz w:val="22"/>
          <w:szCs w:val="22"/>
        </w:rPr>
        <w:t xml:space="preserve">adresa: </w:t>
      </w:r>
      <w:r w:rsidR="007D1189" w:rsidRPr="007D1189">
        <w:rPr>
          <w:rFonts w:ascii="Calibri" w:eastAsia="Calibri" w:hAnsi="Calibri" w:cs="Calibri"/>
          <w:color w:val="000000"/>
          <w:sz w:val="22"/>
          <w:szCs w:val="22"/>
        </w:rPr>
        <w:t>Žižkova 1, 34012 Švihov</w:t>
      </w:r>
    </w:p>
    <w:p w14:paraId="7378AEDA" w14:textId="3C7E60F3" w:rsidR="002E6038" w:rsidRPr="007D1189" w:rsidRDefault="00B21EA4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D1189">
        <w:rPr>
          <w:rFonts w:ascii="Calibri" w:eastAsia="Calibri" w:hAnsi="Calibri" w:cs="Calibri"/>
          <w:color w:val="000000"/>
          <w:sz w:val="22"/>
          <w:szCs w:val="22"/>
        </w:rPr>
        <w:t xml:space="preserve">tel.: </w:t>
      </w:r>
      <w:proofErr w:type="spellStart"/>
      <w:r w:rsidR="008266FD">
        <w:rPr>
          <w:rFonts w:ascii="Calibri" w:hAnsi="Calibri" w:cs="Calibri"/>
          <w:sz w:val="22"/>
          <w:szCs w:val="22"/>
        </w:rPr>
        <w:t>xxxxxxxxxxx</w:t>
      </w:r>
      <w:proofErr w:type="spellEnd"/>
      <w:r w:rsidR="007D1189" w:rsidRPr="007D1189">
        <w:rPr>
          <w:rFonts w:ascii="Calibri" w:hAnsi="Calibri" w:cs="Calibri"/>
          <w:sz w:val="22"/>
          <w:szCs w:val="22"/>
        </w:rPr>
        <w:t xml:space="preserve">, e-mail: </w:t>
      </w:r>
      <w:proofErr w:type="spellStart"/>
      <w:r w:rsidR="008266FD">
        <w:rPr>
          <w:rFonts w:ascii="Calibri" w:hAnsi="Calibri" w:cs="Calibri"/>
          <w:sz w:val="22"/>
          <w:szCs w:val="22"/>
        </w:rPr>
        <w:t>xxxxxxxxxxxxxxxxxx</w:t>
      </w:r>
      <w:proofErr w:type="spellEnd"/>
    </w:p>
    <w:p w14:paraId="77D8E285" w14:textId="04B47E84" w:rsidR="002E6038" w:rsidRDefault="00B21EA4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D1189">
        <w:rPr>
          <w:rFonts w:ascii="Calibri" w:eastAsia="Calibri" w:hAnsi="Calibri" w:cs="Calibri"/>
          <w:color w:val="000000"/>
          <w:sz w:val="22"/>
          <w:szCs w:val="22"/>
        </w:rPr>
        <w:t>(dále jen „</w:t>
      </w:r>
      <w:r w:rsidRPr="007D1189">
        <w:rPr>
          <w:rFonts w:ascii="Calibri" w:eastAsia="Calibri" w:hAnsi="Calibri" w:cs="Calibri"/>
          <w:b/>
          <w:color w:val="000000"/>
          <w:sz w:val="22"/>
          <w:szCs w:val="22"/>
        </w:rPr>
        <w:t>nájemce</w:t>
      </w:r>
      <w:r w:rsidRPr="007D1189">
        <w:rPr>
          <w:rFonts w:ascii="Calibri" w:eastAsia="Calibri" w:hAnsi="Calibri" w:cs="Calibri"/>
          <w:color w:val="000000"/>
          <w:sz w:val="22"/>
          <w:szCs w:val="22"/>
        </w:rPr>
        <w:t>“)</w:t>
      </w:r>
    </w:p>
    <w:p w14:paraId="5676F5EF" w14:textId="77777777" w:rsidR="002E6038" w:rsidRDefault="002E603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CC5C823" w14:textId="77777777" w:rsidR="002E6038" w:rsidRDefault="002E603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A9BB949" w14:textId="77777777" w:rsidR="002E6038" w:rsidRDefault="00B21EA4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jako smluvní strany uzavřely níže uvedeného dne, měsíce a roku tuto</w:t>
      </w:r>
    </w:p>
    <w:p w14:paraId="032005CE" w14:textId="77777777" w:rsidR="002E6038" w:rsidRPr="007D1189" w:rsidRDefault="00B21EA4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7D1189">
        <w:rPr>
          <w:rFonts w:ascii="Calibri" w:eastAsia="Calibri" w:hAnsi="Calibri" w:cs="Calibri"/>
          <w:b/>
          <w:color w:val="000000"/>
          <w:sz w:val="28"/>
          <w:szCs w:val="28"/>
        </w:rPr>
        <w:t>smlouvu o nájmu movité věci:</w:t>
      </w:r>
    </w:p>
    <w:p w14:paraId="7E8B72F8" w14:textId="77777777" w:rsidR="002E6038" w:rsidRDefault="002E603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6C68AB5" w14:textId="77777777" w:rsidR="002E6038" w:rsidRDefault="00B21EA4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Článek I.</w:t>
      </w:r>
    </w:p>
    <w:p w14:paraId="49C420D6" w14:textId="77777777" w:rsidR="002E6038" w:rsidRDefault="00B21EA4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Úvodní ustanovení</w:t>
      </w:r>
    </w:p>
    <w:p w14:paraId="3ED66390" w14:textId="53E27B5B" w:rsidR="002E6038" w:rsidRPr="007D1189" w:rsidRDefault="00B21EA4" w:rsidP="007D1189">
      <w:pPr>
        <w:keepNext/>
        <w:keepLines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D1189">
        <w:rPr>
          <w:rFonts w:ascii="Calibri" w:eastAsia="Calibri" w:hAnsi="Calibri" w:cs="Calibri"/>
          <w:color w:val="000000"/>
          <w:sz w:val="22"/>
          <w:szCs w:val="22"/>
        </w:rPr>
        <w:t xml:space="preserve">Pronajímatel je výlučným vlastníkem movitých věcí </w:t>
      </w:r>
      <w:r w:rsidR="007D1189">
        <w:rPr>
          <w:rFonts w:ascii="Calibri" w:eastAsia="Calibri" w:hAnsi="Calibri" w:cs="Calibri"/>
          <w:color w:val="000000"/>
          <w:sz w:val="22"/>
          <w:szCs w:val="22"/>
        </w:rPr>
        <w:t xml:space="preserve">„Muzeum Popelka“ </w:t>
      </w:r>
      <w:r w:rsidRPr="007D1189">
        <w:rPr>
          <w:rFonts w:ascii="Calibri" w:eastAsia="Calibri" w:hAnsi="Calibri" w:cs="Calibri"/>
          <w:color w:val="000000"/>
          <w:sz w:val="22"/>
          <w:szCs w:val="22"/>
        </w:rPr>
        <w:t xml:space="preserve">uvedených v příloze č. 1 této </w:t>
      </w:r>
      <w:r w:rsidR="007D1189">
        <w:rPr>
          <w:rFonts w:ascii="Calibri" w:eastAsia="Calibri" w:hAnsi="Calibri" w:cs="Calibri"/>
          <w:color w:val="000000"/>
          <w:sz w:val="22"/>
          <w:szCs w:val="22"/>
        </w:rPr>
        <w:t xml:space="preserve">smlouvy </w:t>
      </w:r>
      <w:r w:rsidRPr="007D1189">
        <w:rPr>
          <w:rFonts w:ascii="Calibri" w:eastAsia="Calibri" w:hAnsi="Calibri" w:cs="Calibri"/>
          <w:color w:val="000000"/>
          <w:sz w:val="22"/>
          <w:szCs w:val="22"/>
        </w:rPr>
        <w:t>(dále jen „</w:t>
      </w:r>
      <w:r w:rsidRPr="007D1189">
        <w:rPr>
          <w:rFonts w:ascii="Calibri" w:eastAsia="Calibri" w:hAnsi="Calibri" w:cs="Calibri"/>
          <w:b/>
          <w:bCs/>
          <w:color w:val="000000"/>
          <w:sz w:val="22"/>
          <w:szCs w:val="22"/>
        </w:rPr>
        <w:t>předmět nájmu</w:t>
      </w:r>
      <w:r w:rsidRPr="007D1189">
        <w:rPr>
          <w:rFonts w:ascii="Calibri" w:eastAsia="Calibri" w:hAnsi="Calibri" w:cs="Calibri"/>
          <w:color w:val="000000"/>
          <w:sz w:val="22"/>
          <w:szCs w:val="22"/>
        </w:rPr>
        <w:t xml:space="preserve">“). </w:t>
      </w:r>
    </w:p>
    <w:p w14:paraId="41B673C3" w14:textId="77777777" w:rsidR="002E6038" w:rsidRDefault="00B21EA4">
      <w:pPr>
        <w:keepNext/>
        <w:keepLines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Nájemce konstatuje, že pronájem předmětu nájmu je nezbytný pro zabezpečení výkonu jeho působnosti anebo činnosti, popřípadě pro řádné hospodaření s majetkem, s nímž je příslušný hospodařit.</w:t>
      </w:r>
    </w:p>
    <w:p w14:paraId="0F83E1A0" w14:textId="77777777" w:rsidR="002E6038" w:rsidRDefault="002E603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1736C2C" w14:textId="77777777" w:rsidR="002E6038" w:rsidRDefault="00B21EA4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Článek II.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br/>
        <w:t>Předmět smlouvy</w:t>
      </w:r>
    </w:p>
    <w:p w14:paraId="5409C4E7" w14:textId="77777777" w:rsidR="002E6038" w:rsidRDefault="00B21EA4">
      <w:pPr>
        <w:keepNext/>
        <w:keepLines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Předmětem této smlouvy je závazek pronajímatele přenechat předmět nájmu nájemci k dočasnému užívání. Nájemce se zavazuje za to pronajímateli platit nájemné.</w:t>
      </w:r>
    </w:p>
    <w:p w14:paraId="15D3A17F" w14:textId="77777777" w:rsidR="002E6038" w:rsidRDefault="002E603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2E734DD" w14:textId="77777777" w:rsidR="002E6038" w:rsidRDefault="00B21EA4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Článek III.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br/>
        <w:t>Účel nájmu</w:t>
      </w:r>
    </w:p>
    <w:p w14:paraId="2AE3F72D" w14:textId="7BFFF3AE" w:rsidR="002E6038" w:rsidRPr="007D1189" w:rsidRDefault="00B21EA4">
      <w:pPr>
        <w:keepNext/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30j0zll" w:colFirst="0" w:colLast="0"/>
      <w:bookmarkEnd w:id="0"/>
      <w:r w:rsidRPr="007D1189">
        <w:rPr>
          <w:rFonts w:ascii="Calibri" w:eastAsia="Calibri" w:hAnsi="Calibri" w:cs="Calibri"/>
          <w:color w:val="000000"/>
          <w:sz w:val="22"/>
          <w:szCs w:val="22"/>
        </w:rPr>
        <w:t>Nájemce bude předmět nájmu používat pouze k tomuto účelu:</w:t>
      </w:r>
      <w:r w:rsidR="007D1189" w:rsidRPr="007D1189">
        <w:rPr>
          <w:rFonts w:ascii="Calibri" w:eastAsia="Calibri" w:hAnsi="Calibri" w:cs="Calibri"/>
          <w:color w:val="000000"/>
          <w:sz w:val="22"/>
          <w:szCs w:val="22"/>
        </w:rPr>
        <w:t xml:space="preserve"> Výstava „Popelka – Za tajemstvím střevíčku“ v Bílé baště hradu Švihov</w:t>
      </w:r>
      <w:r w:rsidRPr="007D1189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068E3A9D" w14:textId="77777777" w:rsidR="002E6038" w:rsidRDefault="00B21EA4">
      <w:pPr>
        <w:keepNext/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D1189">
        <w:rPr>
          <w:rFonts w:ascii="Calibri" w:eastAsia="Calibri" w:hAnsi="Calibri" w:cs="Calibri"/>
          <w:color w:val="000000"/>
          <w:sz w:val="22"/>
          <w:szCs w:val="22"/>
        </w:rPr>
        <w:t>Nájemce prohlašuje, že je mu stav předmětu nájmu znám, a že je ve stavu vhodném pro účel nájmu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dle ustanovení odst. 1 tohoto článku. </w:t>
      </w:r>
    </w:p>
    <w:p w14:paraId="196B5488" w14:textId="77777777" w:rsidR="002E6038" w:rsidRDefault="002E603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596A16C" w14:textId="77777777" w:rsidR="002E6038" w:rsidRDefault="00B21EA4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Článek IV.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br/>
        <w:t>Nájemné, jeho splatnost a způsob úhrady</w:t>
      </w:r>
    </w:p>
    <w:p w14:paraId="3DEA97DB" w14:textId="5A2005B0" w:rsidR="002E6038" w:rsidRPr="007D1189" w:rsidRDefault="00B21EA4" w:rsidP="007D1189">
      <w:pPr>
        <w:keepNext/>
        <w:keepLines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D1189">
        <w:rPr>
          <w:rFonts w:ascii="Calibri" w:eastAsia="Calibri" w:hAnsi="Calibri" w:cs="Calibri"/>
          <w:color w:val="000000"/>
          <w:sz w:val="22"/>
          <w:szCs w:val="22"/>
        </w:rPr>
        <w:t xml:space="preserve">Nájemné je stanoveno </w:t>
      </w:r>
      <w:r w:rsidR="007D1189" w:rsidRPr="007D1189">
        <w:rPr>
          <w:rFonts w:ascii="Calibri" w:eastAsia="Calibri" w:hAnsi="Calibri" w:cs="Calibri"/>
          <w:color w:val="000000"/>
          <w:sz w:val="22"/>
          <w:szCs w:val="22"/>
        </w:rPr>
        <w:t xml:space="preserve">výpočtem podle výše vybraného vstupného. </w:t>
      </w:r>
      <w:r w:rsidR="007D1189" w:rsidRPr="008775C5">
        <w:rPr>
          <w:rFonts w:ascii="Calibri" w:eastAsia="Calibri" w:hAnsi="Calibri" w:cs="Calibri"/>
          <w:b/>
          <w:bCs/>
          <w:color w:val="000000"/>
          <w:sz w:val="22"/>
          <w:szCs w:val="22"/>
        </w:rPr>
        <w:t>Nájemné činí 60</w:t>
      </w:r>
      <w:r w:rsidR="008775C5" w:rsidRPr="008775C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="007D1189" w:rsidRPr="008775C5">
        <w:rPr>
          <w:rFonts w:ascii="Calibri" w:eastAsia="Calibri" w:hAnsi="Calibri" w:cs="Calibri"/>
          <w:b/>
          <w:bCs/>
          <w:color w:val="000000"/>
          <w:sz w:val="22"/>
          <w:szCs w:val="22"/>
        </w:rPr>
        <w:t>% z celkového vstupného včetně DPH vybraného při provozu výstavy</w:t>
      </w:r>
      <w:bookmarkStart w:id="1" w:name="1fob9te" w:colFirst="0" w:colLast="0"/>
      <w:bookmarkEnd w:id="1"/>
      <w:r w:rsidR="007D1189" w:rsidRPr="007D1189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7D1189">
        <w:rPr>
          <w:rFonts w:ascii="Calibri" w:eastAsia="Calibri" w:hAnsi="Calibri" w:cs="Calibri"/>
          <w:color w:val="000000"/>
          <w:sz w:val="22"/>
          <w:szCs w:val="22"/>
        </w:rPr>
        <w:t>(dále jen „</w:t>
      </w:r>
      <w:r w:rsidRPr="007D1189">
        <w:rPr>
          <w:rFonts w:ascii="Calibri" w:eastAsia="Calibri" w:hAnsi="Calibri" w:cs="Calibri"/>
          <w:b/>
          <w:bCs/>
          <w:color w:val="000000"/>
          <w:sz w:val="22"/>
          <w:szCs w:val="22"/>
        </w:rPr>
        <w:t>nájemné</w:t>
      </w:r>
      <w:r w:rsidRPr="007D1189">
        <w:rPr>
          <w:rFonts w:ascii="Calibri" w:eastAsia="Calibri" w:hAnsi="Calibri" w:cs="Calibri"/>
          <w:color w:val="000000"/>
          <w:sz w:val="22"/>
          <w:szCs w:val="22"/>
        </w:rPr>
        <w:t>“.)</w:t>
      </w:r>
    </w:p>
    <w:p w14:paraId="620FA026" w14:textId="77777777" w:rsidR="007D1189" w:rsidRPr="007D1189" w:rsidRDefault="00B21EA4">
      <w:pPr>
        <w:keepNext/>
        <w:keepLines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2" w:name="_3znysh7" w:colFirst="0" w:colLast="0"/>
      <w:bookmarkEnd w:id="2"/>
      <w:r w:rsidRPr="007D1189"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Nájemné je splatné na základě daňového dokladu-faktury vystavené pronajímatelem vždy k prvnímu dni </w:t>
      </w:r>
      <w:r w:rsidR="007D1189" w:rsidRPr="007D1189">
        <w:rPr>
          <w:rFonts w:ascii="Calibri" w:eastAsia="Calibri" w:hAnsi="Calibri" w:cs="Calibri"/>
          <w:color w:val="000000"/>
          <w:sz w:val="22"/>
          <w:szCs w:val="22"/>
        </w:rPr>
        <w:t>následujícího kalendářního</w:t>
      </w:r>
      <w:r w:rsidRPr="007D1189">
        <w:rPr>
          <w:rFonts w:ascii="Calibri" w:eastAsia="Calibri" w:hAnsi="Calibri" w:cs="Calibri"/>
          <w:color w:val="000000"/>
          <w:sz w:val="22"/>
          <w:szCs w:val="22"/>
        </w:rPr>
        <w:t xml:space="preserve"> měsíce</w:t>
      </w:r>
      <w:r w:rsidR="007D1189" w:rsidRPr="007D1189">
        <w:rPr>
          <w:rFonts w:ascii="Calibri" w:eastAsia="Calibri" w:hAnsi="Calibri" w:cs="Calibri"/>
          <w:color w:val="000000"/>
          <w:sz w:val="22"/>
          <w:szCs w:val="22"/>
        </w:rPr>
        <w:t xml:space="preserve"> na základě zaslané uzávěrky prodeje vstupenek.</w:t>
      </w:r>
    </w:p>
    <w:p w14:paraId="38A9F546" w14:textId="77777777" w:rsidR="002E6038" w:rsidRDefault="00B21EA4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D1189">
        <w:rPr>
          <w:rFonts w:ascii="Calibri" w:eastAsia="Calibri" w:hAnsi="Calibri" w:cs="Calibri"/>
          <w:color w:val="000000"/>
          <w:sz w:val="22"/>
          <w:szCs w:val="22"/>
        </w:rPr>
        <w:t>Faktura vystavená pronajímatelem dle této smlouvy je splatná do 21 dnů ode dne jejího vystavení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pronajímatelem. Nájemné se považuje za uhrazené dnem připsání částky odpovídající nájemnému na účet pronajímatele. Faktura může být vyhotovena v elektronické podobě a zaslána elektronicky. </w:t>
      </w:r>
    </w:p>
    <w:p w14:paraId="6B3341A3" w14:textId="77777777" w:rsidR="002E6038" w:rsidRDefault="00B21EA4">
      <w:pPr>
        <w:keepNext/>
        <w:keepLines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 případě ukončení nájmu je nájemce povinen hradit nájemné až do okamžiku předání předmětu nájmu pronajímateli.</w:t>
      </w:r>
    </w:p>
    <w:p w14:paraId="286A07CC" w14:textId="77777777" w:rsidR="002E6038" w:rsidRDefault="002E603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6B9E113" w14:textId="77777777" w:rsidR="002E6038" w:rsidRDefault="00B21EA4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Článek V.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br/>
        <w:t>Práva a povinnosti pronajímatele</w:t>
      </w:r>
    </w:p>
    <w:p w14:paraId="23FC3FB7" w14:textId="77777777" w:rsidR="002E6038" w:rsidRDefault="00B21EA4">
      <w:pPr>
        <w:keepNext/>
        <w:keepLines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Pronajímatel je povinen zajistit řádný a nerušený výkon práv nájemce dle této smlouvy po celou dobu nájemního vztahu, aby bylo možno dosáhnout účelu užívání dle této smlouvy.</w:t>
      </w:r>
    </w:p>
    <w:p w14:paraId="724C4AA4" w14:textId="77777777" w:rsidR="008775C5" w:rsidRPr="008775C5" w:rsidRDefault="00B21EA4" w:rsidP="008775C5">
      <w:pPr>
        <w:keepNext/>
        <w:keepLines/>
        <w:widowControl w:val="0"/>
        <w:numPr>
          <w:ilvl w:val="0"/>
          <w:numId w:val="10"/>
        </w:numPr>
        <w:ind w:left="709" w:hanging="425"/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Pronajímatel je oprávněn alespoň jednou měsíčně provést kontrolu předmětu nájmu, zda je předmět </w:t>
      </w:r>
      <w:r w:rsidRPr="008775C5">
        <w:rPr>
          <w:rFonts w:ascii="Calibri" w:eastAsia="Calibri" w:hAnsi="Calibri" w:cs="Calibri"/>
          <w:color w:val="000000"/>
          <w:sz w:val="22"/>
          <w:szCs w:val="22"/>
        </w:rPr>
        <w:t xml:space="preserve">nájmu užíván k účelu sjednanému podle této smlouvy. </w:t>
      </w:r>
    </w:p>
    <w:p w14:paraId="6D01E575" w14:textId="2DD227C4" w:rsidR="008775C5" w:rsidRPr="008775C5" w:rsidRDefault="008775C5" w:rsidP="008775C5">
      <w:pPr>
        <w:keepNext/>
        <w:keepLines/>
        <w:widowControl w:val="0"/>
        <w:numPr>
          <w:ilvl w:val="0"/>
          <w:numId w:val="10"/>
        </w:numPr>
        <w:ind w:left="709" w:hanging="425"/>
        <w:jc w:val="both"/>
        <w:outlineLvl w:val="0"/>
        <w:rPr>
          <w:rFonts w:ascii="Calibri" w:hAnsi="Calibri" w:cs="Calibri"/>
          <w:sz w:val="22"/>
          <w:szCs w:val="22"/>
        </w:rPr>
      </w:pPr>
      <w:r w:rsidRPr="008775C5">
        <w:rPr>
          <w:rFonts w:ascii="Calibri" w:hAnsi="Calibri" w:cs="Calibri"/>
          <w:sz w:val="22"/>
          <w:szCs w:val="22"/>
        </w:rPr>
        <w:t>Pronajímatel prohlašuje, že má uzavřenou licenční smlouvu ke všem autorským dílům, která jsou v rámci výstavy užita (vystavené fotografie, texty a předměty podléhající autorskému právu).</w:t>
      </w:r>
    </w:p>
    <w:p w14:paraId="7CCC9EE1" w14:textId="77777777" w:rsidR="008775C5" w:rsidRPr="008775C5" w:rsidRDefault="008775C5" w:rsidP="008775C5">
      <w:pPr>
        <w:keepNext/>
        <w:keepLines/>
        <w:widowControl w:val="0"/>
        <w:numPr>
          <w:ilvl w:val="0"/>
          <w:numId w:val="10"/>
        </w:numPr>
        <w:ind w:left="709" w:hanging="425"/>
        <w:jc w:val="both"/>
        <w:outlineLvl w:val="0"/>
        <w:rPr>
          <w:rFonts w:ascii="Calibri" w:hAnsi="Calibri" w:cs="Calibri"/>
          <w:sz w:val="22"/>
          <w:szCs w:val="22"/>
        </w:rPr>
      </w:pPr>
      <w:r w:rsidRPr="008775C5">
        <w:rPr>
          <w:rFonts w:ascii="Calibri" w:hAnsi="Calibri" w:cs="Calibri"/>
          <w:sz w:val="22"/>
          <w:szCs w:val="22"/>
        </w:rPr>
        <w:t>Pronajímatel prohlašuje, že má s příslušným kolektivním správcem uzavřenou smlouvu na provozování zvukových ukázek z filmu dodaných k výstavě.</w:t>
      </w:r>
    </w:p>
    <w:p w14:paraId="50F814CC" w14:textId="77777777" w:rsidR="008775C5" w:rsidRPr="008775C5" w:rsidRDefault="008775C5" w:rsidP="008775C5">
      <w:pPr>
        <w:keepNext/>
        <w:keepLines/>
        <w:widowControl w:val="0"/>
        <w:numPr>
          <w:ilvl w:val="0"/>
          <w:numId w:val="10"/>
        </w:numPr>
        <w:ind w:left="709" w:hanging="425"/>
        <w:jc w:val="both"/>
        <w:outlineLvl w:val="0"/>
        <w:rPr>
          <w:rFonts w:ascii="Calibri" w:hAnsi="Calibri" w:cs="Calibri"/>
          <w:sz w:val="22"/>
          <w:szCs w:val="22"/>
        </w:rPr>
      </w:pPr>
      <w:r w:rsidRPr="008775C5">
        <w:rPr>
          <w:rFonts w:ascii="Calibri" w:hAnsi="Calibri" w:cs="Calibri"/>
          <w:sz w:val="22"/>
          <w:szCs w:val="22"/>
        </w:rPr>
        <w:t>V případě, že se některé prohlášení uvedené v předchozích dvou odstavcích ukáže jako nepravdivé, zavazuje se pronajímatel uhradit nájemci všechny škody a náklady vzniklé v souvislosti s tímto nepravdivým tvrzením.</w:t>
      </w:r>
    </w:p>
    <w:p w14:paraId="6BFA6B23" w14:textId="77777777" w:rsidR="002E6038" w:rsidRDefault="002E603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ED0858" w14:textId="77777777" w:rsidR="002E6038" w:rsidRDefault="00B21EA4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Článek VI.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br/>
        <w:t>Povinnosti nájemce</w:t>
      </w:r>
    </w:p>
    <w:p w14:paraId="2065B75E" w14:textId="704675BF" w:rsidR="002E6038" w:rsidRDefault="00B21EA4">
      <w:pPr>
        <w:keepNext/>
        <w:keepLines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Nájemce je oprávněn užívat předmět nájmu k účelu uvedenému ve smlouvě, přiměřeně povaze a</w:t>
      </w:r>
      <w:r w:rsidR="008775C5"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>určení věci.</w:t>
      </w:r>
    </w:p>
    <w:p w14:paraId="793848BE" w14:textId="77777777" w:rsidR="002E6038" w:rsidRDefault="00B21EA4">
      <w:pPr>
        <w:keepNext/>
        <w:keepLines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Nájemce se zavazuje předmět nájmu chránit a pečovat o něj s veškerou potřebnou péčí a opatrností. Za tímto účelem se bude řídit pokyny a doporučeními pronajímatele a jím pověřených zaměstnanců.</w:t>
      </w:r>
    </w:p>
    <w:p w14:paraId="7F4BA42F" w14:textId="77777777" w:rsidR="002E6038" w:rsidRDefault="00B21EA4">
      <w:pPr>
        <w:keepNext/>
        <w:keepLines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Nájemce odpovídá pronajímateli za řádné užívání předmětu nájmu a není oprávněn na předmětu nájmu provádět změny a úpravy bez předchozího souhlasu pronajímatele.</w:t>
      </w:r>
    </w:p>
    <w:p w14:paraId="13E68AC0" w14:textId="77777777" w:rsidR="002E6038" w:rsidRDefault="00B21EA4">
      <w:pPr>
        <w:keepNext/>
        <w:keepLines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Došlo-li k poškození předmětu nájmu (jeho části) nebo k jeho nadměrnému opotřebení, je nájemce povinen toto bezodkladně oznámit pronajímateli a dále je nájemce povinen v souladu s pokyny pronajímatele uvést věc do původního stavu; není-li to možné, je nájemce povinen uhradit pronajímateli vzniklou škodu.</w:t>
      </w:r>
    </w:p>
    <w:p w14:paraId="0E659BFA" w14:textId="49AFC8BC" w:rsidR="002E6038" w:rsidRDefault="00B21EA4">
      <w:pPr>
        <w:keepNext/>
        <w:keepLines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Nájemce musí umožnit pronajímateli provádět kontrolu předmětu nájmu, účinně s ním spolupracovat při jejím výkonu a umožnit mu přístup k předmětu nájmu včetně pořizování jeho obrazové dokumentace.  </w:t>
      </w:r>
    </w:p>
    <w:p w14:paraId="77B4B806" w14:textId="5ABBFD74" w:rsidR="008775C5" w:rsidRDefault="008775C5">
      <w:pPr>
        <w:keepNext/>
        <w:keepLines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775C5">
        <w:rPr>
          <w:rFonts w:ascii="Calibri" w:eastAsia="Calibri" w:hAnsi="Calibri" w:cs="Calibri"/>
          <w:color w:val="000000"/>
          <w:sz w:val="22"/>
          <w:szCs w:val="22"/>
        </w:rPr>
        <w:t>Nájemce prohlašuje, že má uzavřenou licenční smlouvu s Národním filmovým archivem na použití filmových ukázek a souboru fotografií použitých při promítání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B1D9072" w14:textId="77777777" w:rsidR="002E6038" w:rsidRDefault="002E603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683B6251" w14:textId="77777777" w:rsidR="002E6038" w:rsidRPr="008775C5" w:rsidRDefault="00B21EA4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Článek VII.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br/>
      </w:r>
      <w:r w:rsidRPr="008775C5">
        <w:rPr>
          <w:rFonts w:ascii="Calibri" w:eastAsia="Calibri" w:hAnsi="Calibri" w:cs="Calibri"/>
          <w:b/>
          <w:color w:val="000000"/>
          <w:sz w:val="22"/>
          <w:szCs w:val="22"/>
        </w:rPr>
        <w:t>Doba nájmu a ukončení nájmu</w:t>
      </w:r>
    </w:p>
    <w:p w14:paraId="4937B5D6" w14:textId="64E35857" w:rsidR="002E6038" w:rsidRPr="008775C5" w:rsidRDefault="00B21EA4">
      <w:pPr>
        <w:keepNext/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775C5">
        <w:rPr>
          <w:rFonts w:ascii="Calibri" w:eastAsia="Calibri" w:hAnsi="Calibri" w:cs="Calibri"/>
          <w:color w:val="000000"/>
          <w:sz w:val="22"/>
          <w:szCs w:val="22"/>
        </w:rPr>
        <w:t xml:space="preserve">Nájem se sjednává na dobu určitou </w:t>
      </w:r>
      <w:r w:rsidRPr="008775C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od </w:t>
      </w:r>
      <w:r w:rsidR="008775C5" w:rsidRPr="008775C5">
        <w:rPr>
          <w:rFonts w:ascii="Calibri" w:eastAsia="Calibri" w:hAnsi="Calibri" w:cs="Calibri"/>
          <w:b/>
          <w:bCs/>
          <w:color w:val="000000"/>
          <w:sz w:val="22"/>
          <w:szCs w:val="22"/>
        </w:rPr>
        <w:t>20. 3. 2024</w:t>
      </w:r>
      <w:r w:rsidRPr="008775C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do </w:t>
      </w:r>
      <w:r w:rsidR="008775C5" w:rsidRPr="008775C5">
        <w:rPr>
          <w:rFonts w:ascii="Calibri" w:eastAsia="Calibri" w:hAnsi="Calibri" w:cs="Calibri"/>
          <w:b/>
          <w:bCs/>
          <w:color w:val="000000"/>
          <w:sz w:val="22"/>
          <w:szCs w:val="22"/>
        </w:rPr>
        <w:t>31. 12. 2024</w:t>
      </w:r>
      <w:r w:rsidRPr="008775C5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7947A89B" w14:textId="77777777" w:rsidR="002E6038" w:rsidRPr="008775C5" w:rsidRDefault="00B21EA4">
      <w:pPr>
        <w:keepNext/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775C5">
        <w:rPr>
          <w:rFonts w:ascii="Calibri" w:eastAsia="Calibri" w:hAnsi="Calibri" w:cs="Calibri"/>
          <w:color w:val="000000"/>
          <w:sz w:val="22"/>
          <w:szCs w:val="22"/>
        </w:rPr>
        <w:t>O předání předmětu nájmu bude mezi smluvními stranami sepsán protokol s podpisem obou smluvních stran. Dobu a místo předání předmětu nájmu si smluvní strany mezi sebou dohodnou.</w:t>
      </w:r>
    </w:p>
    <w:p w14:paraId="4D1C48A8" w14:textId="59F0D7A7" w:rsidR="002E6038" w:rsidRPr="008775C5" w:rsidRDefault="00B21EA4">
      <w:pPr>
        <w:keepNext/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775C5">
        <w:rPr>
          <w:rFonts w:ascii="Calibri" w:eastAsia="Calibri" w:hAnsi="Calibri" w:cs="Calibri"/>
          <w:color w:val="000000"/>
          <w:sz w:val="22"/>
          <w:szCs w:val="22"/>
        </w:rPr>
        <w:t xml:space="preserve">Každá ze smluvních stran může smlouvu písemně vypovědět i bez udání důvodů s výpovědní dobou </w:t>
      </w:r>
      <w:r w:rsidR="008775C5" w:rsidRPr="008775C5">
        <w:rPr>
          <w:rFonts w:ascii="Calibri" w:eastAsia="Calibri" w:hAnsi="Calibri" w:cs="Calibri"/>
          <w:color w:val="000000"/>
          <w:sz w:val="22"/>
          <w:szCs w:val="22"/>
        </w:rPr>
        <w:t xml:space="preserve">3 </w:t>
      </w:r>
      <w:r w:rsidRPr="008775C5">
        <w:rPr>
          <w:rFonts w:ascii="Calibri" w:eastAsia="Calibri" w:hAnsi="Calibri" w:cs="Calibri"/>
          <w:color w:val="000000"/>
          <w:sz w:val="22"/>
          <w:szCs w:val="22"/>
        </w:rPr>
        <w:t>měsíců. Výpovědní doba běží od prvního dne kalendářního měsíce následujícího poté, co byla výpověď doručena druhé straně.</w:t>
      </w:r>
    </w:p>
    <w:p w14:paraId="511C22BB" w14:textId="77777777" w:rsidR="002E6038" w:rsidRDefault="00B21EA4">
      <w:pPr>
        <w:keepNext/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Pronajímatel je oprávněn písemně vypovědět nájem bez výpovědní doby v případech dle občanského zákoníku. Při výpovědi bez výpovědní doby zaniká nájem dnem následujícím po doručení výpovědi druhé smluvní straně.</w:t>
      </w:r>
    </w:p>
    <w:p w14:paraId="3F6D47A2" w14:textId="77777777" w:rsidR="002E6038" w:rsidRDefault="002E603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E61FAAD" w14:textId="77777777" w:rsidR="002E6038" w:rsidRPr="008775C5" w:rsidRDefault="00B21EA4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 xml:space="preserve">Článek VIII.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br/>
      </w:r>
      <w:r w:rsidRPr="008775C5">
        <w:rPr>
          <w:rFonts w:ascii="Calibri" w:eastAsia="Calibri" w:hAnsi="Calibri" w:cs="Calibri"/>
          <w:b/>
          <w:color w:val="000000"/>
          <w:sz w:val="22"/>
          <w:szCs w:val="22"/>
        </w:rPr>
        <w:t>Závěrečná ustanovení</w:t>
      </w:r>
    </w:p>
    <w:p w14:paraId="6FDA9D1B" w14:textId="4B5CC73A" w:rsidR="002E6038" w:rsidRPr="008775C5" w:rsidRDefault="00B21EA4">
      <w:pPr>
        <w:keepNext/>
        <w:keepLines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775C5">
        <w:rPr>
          <w:rFonts w:ascii="Calibri" w:eastAsia="Calibri" w:hAnsi="Calibri" w:cs="Calibri"/>
          <w:color w:val="000000"/>
          <w:sz w:val="22"/>
          <w:szCs w:val="22"/>
        </w:rPr>
        <w:t>Tato smlouva byla sepsána ve dvou vyhotoveních. Každá ze smluvních stran obdržela po jednom totožném vyhotovení.</w:t>
      </w:r>
    </w:p>
    <w:p w14:paraId="30CA01FB" w14:textId="42D17CF0" w:rsidR="002E6038" w:rsidRDefault="00B21EA4">
      <w:pPr>
        <w:keepNext/>
        <w:keepLines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775C5">
        <w:rPr>
          <w:rFonts w:ascii="Calibri" w:eastAsia="Calibri" w:hAnsi="Calibri" w:cs="Calibri"/>
          <w:color w:val="000000"/>
          <w:sz w:val="22"/>
          <w:szCs w:val="22"/>
        </w:rPr>
        <w:t>Tato smlouva podléhá povinnosti uveřejnění dle zákona č. 340/2015 Sb., o zvláštních podmínkách účinnosti některých smluv, uveřejňování těchto smluv a o registru smluv (zákon o registru smluv), ve znění pozdějších předpisů a nabude účinnosti dnem jejího uveřejnění v registru smluv; uveřejnění zajistí nájemce. Smluvní strany berou na vědomí, že tato smlouva může být předmětem zveřejnění i</w:t>
      </w:r>
      <w:r w:rsidR="008775C5">
        <w:rPr>
          <w:rFonts w:ascii="Calibri" w:eastAsia="Calibri" w:hAnsi="Calibri" w:cs="Calibri"/>
          <w:color w:val="000000"/>
          <w:sz w:val="22"/>
          <w:szCs w:val="22"/>
        </w:rPr>
        <w:t> </w:t>
      </w:r>
      <w:r w:rsidRPr="008775C5">
        <w:rPr>
          <w:rFonts w:ascii="Calibri" w:eastAsia="Calibri" w:hAnsi="Calibri" w:cs="Calibri"/>
          <w:color w:val="000000"/>
          <w:sz w:val="22"/>
          <w:szCs w:val="22"/>
        </w:rPr>
        <w:t>dle jiných právních předpisů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50BAC6AF" w14:textId="5E7CDFB6" w:rsidR="002E6038" w:rsidRDefault="00B21EA4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Tato smlouva je uzavřena v souladu s příslušnými ustanoveními obecně závazných právních předpisů, a to zejména zákona č. 89/2012 Sb., občanský zákoník, ve znění pozdějších předpisů, a zákona č.</w:t>
      </w:r>
      <w:r w:rsidR="008775C5"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>219/2000 Sb., o majetku České republiky a jejím vystupování v právních vztazích, ve znění pozdějších předpisů.</w:t>
      </w:r>
    </w:p>
    <w:p w14:paraId="286512E0" w14:textId="4D50EAF0" w:rsidR="002E6038" w:rsidRDefault="00B21EA4">
      <w:pPr>
        <w:keepNext/>
        <w:keepLines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Smluvní strany se zavazují spolupůsobit jako osoba povinná v souladu se zákonem č. 320/2001 Sb., o</w:t>
      </w:r>
      <w:r w:rsidR="008775C5"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>finanční kontrole ve veřejné správě a o změně některých zákonů (zákon o finanční kontrole), ve znění pozdějších předpisů.</w:t>
      </w:r>
    </w:p>
    <w:p w14:paraId="4891D30C" w14:textId="77777777" w:rsidR="002E6038" w:rsidRDefault="00B21EA4">
      <w:pPr>
        <w:keepNext/>
        <w:keepLines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Smlouvu je možno měnit či doplňovat výhradně písemnými číslovanými dodatky. </w:t>
      </w:r>
    </w:p>
    <w:p w14:paraId="1D5A4BA1" w14:textId="77777777" w:rsidR="002E6038" w:rsidRDefault="00B21EA4">
      <w:pPr>
        <w:keepNext/>
        <w:keepLines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Smluvní strany prohlašují, že tuto smlouvu uzavřely podle své pravé a svobodné vůle prosté omylů, nikoliv v tísni a že vzájemné plnění dle této smlouvy není v hrubém nepoměru. Smlouva je pro obě smluvní strany určitá a srozumitelná.</w:t>
      </w:r>
    </w:p>
    <w:p w14:paraId="2C1411EB" w14:textId="6BE822DF" w:rsidR="002E6038" w:rsidRDefault="00B21E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Informace k ochraně osobních údajů jsou ze strany nájemce uveřejněny na webových stránkách </w:t>
      </w:r>
      <w:r w:rsidR="008775C5" w:rsidRPr="008775C5">
        <w:rPr>
          <w:rFonts w:ascii="Calibri" w:eastAsia="Calibri" w:hAnsi="Calibri" w:cs="Calibri"/>
          <w:color w:val="000000"/>
          <w:sz w:val="22"/>
          <w:szCs w:val="22"/>
        </w:rPr>
        <w:t>www.npu.cz</w:t>
      </w:r>
      <w:r w:rsidR="008775C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 sekci „Ochrana osobních údajů“.</w:t>
      </w:r>
    </w:p>
    <w:p w14:paraId="19002137" w14:textId="77777777" w:rsidR="002E6038" w:rsidRDefault="002E603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5070157" w14:textId="77777777" w:rsidR="002E6038" w:rsidRDefault="002E603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8CB2F95" w14:textId="1854B0DD" w:rsidR="002E6038" w:rsidRDefault="00B21EA4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775C5">
        <w:rPr>
          <w:rFonts w:ascii="Calibri" w:eastAsia="Calibri" w:hAnsi="Calibri" w:cs="Calibri"/>
          <w:color w:val="000000"/>
          <w:sz w:val="22"/>
          <w:szCs w:val="22"/>
        </w:rPr>
        <w:t>Příloha</w:t>
      </w:r>
      <w:r w:rsidR="008775C5">
        <w:rPr>
          <w:rFonts w:ascii="Calibri" w:eastAsia="Calibri" w:hAnsi="Calibri" w:cs="Calibri"/>
          <w:color w:val="000000"/>
          <w:sz w:val="22"/>
          <w:szCs w:val="22"/>
        </w:rPr>
        <w:t xml:space="preserve"> č. 1</w:t>
      </w:r>
      <w:r w:rsidRPr="008775C5"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 w:rsidR="008775C5">
        <w:rPr>
          <w:rFonts w:ascii="Calibri" w:eastAsia="Calibri" w:hAnsi="Calibri" w:cs="Calibri"/>
          <w:color w:val="000000"/>
          <w:sz w:val="22"/>
          <w:szCs w:val="22"/>
        </w:rPr>
        <w:t>P</w:t>
      </w:r>
      <w:r w:rsidRPr="008775C5">
        <w:rPr>
          <w:rFonts w:ascii="Calibri" w:eastAsia="Calibri" w:hAnsi="Calibri" w:cs="Calibri"/>
          <w:color w:val="000000"/>
          <w:sz w:val="22"/>
          <w:szCs w:val="22"/>
        </w:rPr>
        <w:t>opis předmětu nájmu</w:t>
      </w:r>
    </w:p>
    <w:p w14:paraId="55ED642F" w14:textId="77777777" w:rsidR="002E6038" w:rsidRDefault="002E603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F293EFC" w14:textId="77777777" w:rsidR="002E6038" w:rsidRDefault="002E603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C621034" w14:textId="77777777" w:rsidR="002E6038" w:rsidRDefault="002E603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9147FBF" w14:textId="77777777" w:rsidR="002E6038" w:rsidRDefault="002E603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"/>
        <w:tblW w:w="921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2E6038" w14:paraId="364DA490" w14:textId="77777777">
        <w:trPr>
          <w:jc w:val="center"/>
        </w:trPr>
        <w:tc>
          <w:tcPr>
            <w:tcW w:w="4606" w:type="dxa"/>
          </w:tcPr>
          <w:p w14:paraId="42758898" w14:textId="1EA46FCA" w:rsidR="002E6038" w:rsidRDefault="00B21EA4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</w:t>
            </w:r>
            <w:r w:rsidR="000E153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Počátkách, dne 11. 3. 2024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     </w:t>
            </w:r>
          </w:p>
          <w:p w14:paraId="320610A0" w14:textId="77777777" w:rsidR="002E6038" w:rsidRDefault="002E6038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DB8A910" w14:textId="1CE1934A" w:rsidR="002E6038" w:rsidRDefault="002E6038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4DC49CA" w14:textId="62077DEF" w:rsidR="009A4EFA" w:rsidRDefault="009A4EF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4771277" w14:textId="770C347F" w:rsidR="009A4EFA" w:rsidRDefault="009A4EF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A46E11A" w14:textId="77777777" w:rsidR="009A4EFA" w:rsidRDefault="009A4EF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03A839C" w14:textId="77777777" w:rsidR="002E6038" w:rsidRDefault="00B21EA4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…………………………………………..</w:t>
            </w:r>
          </w:p>
          <w:p w14:paraId="7FD7C55E" w14:textId="77777777" w:rsidR="002E6038" w:rsidRDefault="00B21EA4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(podpis pronajímatele)</w:t>
            </w:r>
          </w:p>
          <w:p w14:paraId="13BBB537" w14:textId="77777777" w:rsidR="002E6038" w:rsidRDefault="00B21EA4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14:paraId="2323C172" w14:textId="27914AD4" w:rsidR="002E6038" w:rsidRDefault="008775C5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 Švihově,</w:t>
            </w:r>
            <w:r w:rsidR="00B21EA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dne </w:t>
            </w:r>
            <w:r w:rsidR="000E153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 3. 2024</w:t>
            </w:r>
            <w:r w:rsidR="00B21EA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     </w:t>
            </w:r>
          </w:p>
          <w:p w14:paraId="2DC0EA50" w14:textId="77777777" w:rsidR="002E6038" w:rsidRDefault="002E6038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CE9C5DE" w14:textId="7C366ABF" w:rsidR="002E6038" w:rsidRDefault="002E6038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EAA2C74" w14:textId="71783CC6" w:rsidR="009A4EFA" w:rsidRDefault="009A4EF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CC06195" w14:textId="6B6C4919" w:rsidR="009A4EFA" w:rsidRDefault="009A4EF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43D3839" w14:textId="77777777" w:rsidR="009A4EFA" w:rsidRDefault="009A4EF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F58C871" w14:textId="77777777" w:rsidR="002E6038" w:rsidRDefault="00B21EA4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…………………………………………..</w:t>
            </w:r>
          </w:p>
          <w:p w14:paraId="5C0E5504" w14:textId="77777777" w:rsidR="002E6038" w:rsidRDefault="00B21EA4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(podpis nájemce)</w:t>
            </w:r>
          </w:p>
          <w:p w14:paraId="2CE05C9C" w14:textId="77777777" w:rsidR="002E6038" w:rsidRDefault="00B21EA4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/razítko/</w:t>
            </w:r>
          </w:p>
        </w:tc>
      </w:tr>
    </w:tbl>
    <w:p w14:paraId="5BAF049F" w14:textId="77777777" w:rsidR="002E6038" w:rsidRDefault="002E6038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4513F92" w14:textId="755DE3EE" w:rsidR="002E6038" w:rsidRDefault="002E6038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DFE1680" w14:textId="07B1FBDA" w:rsidR="008775C5" w:rsidRDefault="008775C5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2179B62" w14:textId="6EB0D97D" w:rsidR="008775C5" w:rsidRDefault="008775C5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19476EA" w14:textId="07A2B512" w:rsidR="008775C5" w:rsidRDefault="008775C5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80920A6" w14:textId="6136411E" w:rsidR="008775C5" w:rsidRDefault="008775C5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96CFA4E" w14:textId="64CB7D71" w:rsidR="008775C5" w:rsidRDefault="008775C5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D9842AC" w14:textId="0542AC89" w:rsidR="008775C5" w:rsidRDefault="008775C5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9E1B48C" w14:textId="77777777" w:rsidR="008775C5" w:rsidRDefault="008775C5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8775C5" w:rsidSect="007D11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720" w:left="1134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57077" w14:textId="77777777" w:rsidR="00A70196" w:rsidRDefault="00A70196">
      <w:r>
        <w:separator/>
      </w:r>
    </w:p>
  </w:endnote>
  <w:endnote w:type="continuationSeparator" w:id="0">
    <w:p w14:paraId="1A232969" w14:textId="77777777" w:rsidR="00A70196" w:rsidRDefault="00A7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53003" w14:textId="77777777" w:rsidR="00C251D5" w:rsidRDefault="00C251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7ECA8" w14:textId="335C32D7" w:rsidR="009A4EFA" w:rsidRPr="007D1189" w:rsidRDefault="009A4EFA" w:rsidP="009A4EFA">
    <w:pPr>
      <w:keepNext/>
      <w:pBdr>
        <w:top w:val="nil"/>
        <w:left w:val="nil"/>
        <w:bottom w:val="nil"/>
        <w:right w:val="nil"/>
        <w:between w:val="nil"/>
      </w:pBdr>
      <w:tabs>
        <w:tab w:val="left" w:pos="3210"/>
        <w:tab w:val="center" w:pos="4536"/>
        <w:tab w:val="right" w:pos="9072"/>
      </w:tabs>
      <w:ind w:firstLine="708"/>
      <w:jc w:val="both"/>
      <w:rPr>
        <w:rFonts w:ascii="Calibri" w:eastAsia="Calibri" w:hAnsi="Calibri" w:cs="Calibri"/>
        <w:color w:val="000000"/>
      </w:rPr>
    </w:pPr>
    <w:r w:rsidRPr="007D1189">
      <w:rPr>
        <w:rFonts w:ascii="Calibri" w:eastAsia="Calibri" w:hAnsi="Calibri" w:cs="Calibri"/>
        <w:color w:val="000000"/>
      </w:rPr>
      <w:tab/>
    </w:r>
    <w:r w:rsidRPr="007D1189">
      <w:rPr>
        <w:rFonts w:ascii="Calibri" w:eastAsia="Calibri" w:hAnsi="Calibri" w:cs="Calibri"/>
        <w:color w:val="000000"/>
      </w:rPr>
      <w:tab/>
      <w:t xml:space="preserve">strana </w:t>
    </w:r>
    <w:r w:rsidRPr="007D1189">
      <w:rPr>
        <w:rFonts w:ascii="Calibri" w:eastAsia="Calibri" w:hAnsi="Calibri" w:cs="Calibri"/>
        <w:color w:val="000000"/>
      </w:rPr>
      <w:fldChar w:fldCharType="begin"/>
    </w:r>
    <w:r w:rsidRPr="007D1189">
      <w:rPr>
        <w:rFonts w:ascii="Calibri" w:eastAsia="Calibri" w:hAnsi="Calibri" w:cs="Calibri"/>
        <w:color w:val="000000"/>
      </w:rPr>
      <w:instrText>PAGE</w:instrText>
    </w:r>
    <w:r w:rsidRPr="007D1189">
      <w:rPr>
        <w:rFonts w:ascii="Calibri" w:eastAsia="Calibri" w:hAnsi="Calibri" w:cs="Calibri"/>
        <w:color w:val="000000"/>
      </w:rPr>
      <w:fldChar w:fldCharType="separate"/>
    </w:r>
    <w:r w:rsidRPr="007D1189">
      <w:rPr>
        <w:rFonts w:ascii="Calibri" w:eastAsia="Calibri" w:hAnsi="Calibri" w:cs="Calibri"/>
        <w:noProof/>
        <w:color w:val="000000"/>
      </w:rPr>
      <w:t>1</w:t>
    </w:r>
    <w:r w:rsidRPr="007D1189">
      <w:rPr>
        <w:rFonts w:ascii="Calibri" w:eastAsia="Calibri" w:hAnsi="Calibri" w:cs="Calibri"/>
        <w:color w:val="000000"/>
      </w:rPr>
      <w:fldChar w:fldCharType="end"/>
    </w:r>
    <w:r w:rsidRPr="007D1189">
      <w:rPr>
        <w:rFonts w:ascii="Calibri" w:eastAsia="Calibri" w:hAnsi="Calibri" w:cs="Calibri"/>
        <w:color w:val="000000"/>
      </w:rPr>
      <w:t xml:space="preserve"> (celkem 3)</w:t>
    </w:r>
    <w:r w:rsidRPr="007D1189">
      <w:rPr>
        <w:rFonts w:ascii="Calibri" w:eastAsia="Calibri" w:hAnsi="Calibri" w:cs="Calibri"/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78101" w14:textId="77777777" w:rsidR="007D1189" w:rsidRPr="007D1189" w:rsidRDefault="007D1189" w:rsidP="007D1189">
    <w:pPr>
      <w:keepNext/>
      <w:pBdr>
        <w:top w:val="nil"/>
        <w:left w:val="nil"/>
        <w:bottom w:val="nil"/>
        <w:right w:val="nil"/>
        <w:between w:val="nil"/>
      </w:pBdr>
      <w:tabs>
        <w:tab w:val="left" w:pos="3210"/>
        <w:tab w:val="center" w:pos="4536"/>
        <w:tab w:val="right" w:pos="9072"/>
      </w:tabs>
      <w:ind w:firstLine="708"/>
      <w:jc w:val="both"/>
      <w:rPr>
        <w:rFonts w:ascii="Calibri" w:eastAsia="Calibri" w:hAnsi="Calibri" w:cs="Calibri"/>
        <w:color w:val="000000"/>
      </w:rPr>
    </w:pPr>
    <w:r w:rsidRPr="007D1189">
      <w:rPr>
        <w:rFonts w:ascii="Calibri" w:eastAsia="Calibri" w:hAnsi="Calibri" w:cs="Calibri"/>
        <w:color w:val="000000"/>
      </w:rPr>
      <w:tab/>
    </w:r>
    <w:r w:rsidRPr="007D1189">
      <w:rPr>
        <w:rFonts w:ascii="Calibri" w:eastAsia="Calibri" w:hAnsi="Calibri" w:cs="Calibri"/>
        <w:color w:val="000000"/>
      </w:rPr>
      <w:tab/>
      <w:t xml:space="preserve">strana </w:t>
    </w:r>
    <w:r w:rsidRPr="007D1189">
      <w:rPr>
        <w:rFonts w:ascii="Calibri" w:eastAsia="Calibri" w:hAnsi="Calibri" w:cs="Calibri"/>
        <w:color w:val="000000"/>
      </w:rPr>
      <w:fldChar w:fldCharType="begin"/>
    </w:r>
    <w:r w:rsidRPr="007D1189">
      <w:rPr>
        <w:rFonts w:ascii="Calibri" w:eastAsia="Calibri" w:hAnsi="Calibri" w:cs="Calibri"/>
        <w:color w:val="000000"/>
      </w:rPr>
      <w:instrText>PAGE</w:instrText>
    </w:r>
    <w:r w:rsidRPr="007D1189">
      <w:rPr>
        <w:rFonts w:ascii="Calibri" w:eastAsia="Calibri" w:hAnsi="Calibri" w:cs="Calibri"/>
        <w:color w:val="000000"/>
      </w:rPr>
      <w:fldChar w:fldCharType="separate"/>
    </w:r>
    <w:r>
      <w:rPr>
        <w:rFonts w:ascii="Calibri" w:eastAsia="Calibri" w:hAnsi="Calibri" w:cs="Calibri"/>
        <w:color w:val="000000"/>
      </w:rPr>
      <w:t>2</w:t>
    </w:r>
    <w:r w:rsidRPr="007D1189">
      <w:rPr>
        <w:rFonts w:ascii="Calibri" w:eastAsia="Calibri" w:hAnsi="Calibri" w:cs="Calibri"/>
        <w:color w:val="000000"/>
      </w:rPr>
      <w:fldChar w:fldCharType="end"/>
    </w:r>
    <w:r w:rsidRPr="007D1189">
      <w:rPr>
        <w:rFonts w:ascii="Calibri" w:eastAsia="Calibri" w:hAnsi="Calibri" w:cs="Calibri"/>
        <w:color w:val="000000"/>
      </w:rPr>
      <w:t xml:space="preserve"> (celkem 3)</w:t>
    </w:r>
    <w:r w:rsidRPr="007D1189">
      <w:rPr>
        <w:rFonts w:ascii="Calibri" w:eastAsia="Calibri" w:hAnsi="Calibri" w:cs="Calibri"/>
        <w:color w:val="000000"/>
      </w:rPr>
      <w:tab/>
    </w:r>
  </w:p>
  <w:p w14:paraId="55DA90D1" w14:textId="77777777" w:rsidR="002E6038" w:rsidRPr="007D1189" w:rsidRDefault="002E6038" w:rsidP="007D1189">
    <w:pPr>
      <w:pStyle w:val="Zpat"/>
      <w:rPr>
        <w:rFonts w:eastAsia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36099" w14:textId="77777777" w:rsidR="00A70196" w:rsidRDefault="00A70196">
      <w:r>
        <w:separator/>
      </w:r>
    </w:p>
  </w:footnote>
  <w:footnote w:type="continuationSeparator" w:id="0">
    <w:p w14:paraId="2F1B081C" w14:textId="77777777" w:rsidR="00A70196" w:rsidRDefault="00A70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5C20C" w14:textId="77777777" w:rsidR="00C251D5" w:rsidRDefault="00C251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5B522" w14:textId="7D5F55EB" w:rsidR="002E6038" w:rsidRDefault="00B21EA4">
    <w:pPr>
      <w:keepNext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 </w:t>
    </w:r>
    <w:r w:rsidR="006A31C7"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00B70D11" wp14:editId="4FAC0CE0">
          <wp:extent cx="1276350" cy="354263"/>
          <wp:effectExtent l="0" t="0" r="0" b="825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345" cy="35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A31C7">
      <w:rPr>
        <w:rFonts w:ascii="Calibri" w:eastAsia="Calibri" w:hAnsi="Calibri" w:cs="Calibri"/>
        <w:color w:val="000000"/>
        <w:sz w:val="22"/>
        <w:szCs w:val="22"/>
      </w:rPr>
      <w:tab/>
    </w:r>
    <w:r w:rsidR="006A31C7">
      <w:rPr>
        <w:rFonts w:ascii="Calibri" w:eastAsia="Calibri" w:hAnsi="Calibri" w:cs="Calibri"/>
        <w:color w:val="000000"/>
        <w:sz w:val="22"/>
        <w:szCs w:val="22"/>
      </w:rPr>
      <w:tab/>
    </w: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rFonts w:ascii="Calibri" w:eastAsia="Calibri" w:hAnsi="Calibri" w:cs="Calibri"/>
        <w:color w:val="000000"/>
        <w:sz w:val="22"/>
        <w:szCs w:val="22"/>
      </w:rPr>
      <w:tab/>
    </w:r>
  </w:p>
  <w:p w14:paraId="073E90FF" w14:textId="77777777" w:rsidR="002E6038" w:rsidRDefault="002E6038">
    <w:pPr>
      <w:keepNext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ascii="Arial" w:eastAsia="Arial" w:hAnsi="Arial" w:cs="Arial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DEEC" w14:textId="35D5CA92" w:rsidR="002E6038" w:rsidRDefault="007D1189">
    <w:pPr>
      <w:keepNext/>
      <w:pBdr>
        <w:top w:val="nil"/>
        <w:left w:val="nil"/>
        <w:bottom w:val="nil"/>
        <w:right w:val="nil"/>
        <w:between w:val="nil"/>
      </w:pBdr>
      <w:jc w:val="both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C9171B" wp14:editId="7C5754B5">
              <wp:simplePos x="0" y="0"/>
              <wp:positionH relativeFrom="column">
                <wp:posOffset>3842385</wp:posOffset>
              </wp:positionH>
              <wp:positionV relativeFrom="paragraph">
                <wp:posOffset>-40005</wp:posOffset>
              </wp:positionV>
              <wp:extent cx="2466975" cy="419100"/>
              <wp:effectExtent l="0" t="0" r="9525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419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FC79686" w14:textId="77777777" w:rsidR="007D1189" w:rsidRPr="007B39E5" w:rsidRDefault="007D1189" w:rsidP="007D1189">
                          <w:pPr>
                            <w:pStyle w:val="Zhlav"/>
                            <w:jc w:val="right"/>
                            <w:rPr>
                              <w:rFonts w:ascii="Calibri" w:hAnsi="Calibri"/>
                              <w:sz w:val="18"/>
                            </w:rPr>
                          </w:pPr>
                          <w:r w:rsidRPr="007B39E5">
                            <w:rPr>
                              <w:rFonts w:ascii="Calibri" w:hAnsi="Calibri"/>
                              <w:sz w:val="18"/>
                            </w:rPr>
                            <w:t xml:space="preserve">Smlouva NPÚ č. </w:t>
                          </w:r>
                          <w:r w:rsidRPr="00CF4D26">
                            <w:rPr>
                              <w:rFonts w:ascii="Calibri" w:hAnsi="Calibri"/>
                              <w:sz w:val="18"/>
                            </w:rPr>
                            <w:t>3027H1240005</w:t>
                          </w:r>
                        </w:p>
                        <w:p w14:paraId="76E63D63" w14:textId="69F94B64" w:rsidR="007D1189" w:rsidRPr="007B39E5" w:rsidRDefault="007D1189" w:rsidP="007D1189">
                          <w:pPr>
                            <w:pStyle w:val="Zhlav"/>
                            <w:jc w:val="right"/>
                            <w:rPr>
                              <w:rFonts w:ascii="Calibri" w:hAnsi="Calibri"/>
                              <w:sz w:val="18"/>
                            </w:rPr>
                          </w:pPr>
                          <w:r w:rsidRPr="007B39E5">
                            <w:rPr>
                              <w:rFonts w:ascii="Calibri" w:hAnsi="Calibri"/>
                              <w:sz w:val="18"/>
                            </w:rPr>
                            <w:t xml:space="preserve">č. j. </w:t>
                          </w:r>
                          <w:r w:rsidR="00C251D5" w:rsidRPr="00C251D5">
                            <w:rPr>
                              <w:rFonts w:ascii="Calibri" w:hAnsi="Calibri"/>
                              <w:sz w:val="18"/>
                            </w:rPr>
                            <w:t>NPU-430/20804/2024</w:t>
                          </w:r>
                        </w:p>
                        <w:p w14:paraId="4A62A1FA" w14:textId="77777777" w:rsidR="007D1189" w:rsidRDefault="007D11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 xmlns:oel="http://schemas.microsoft.com/office/2019/extlst">
          <w:pict>
            <v:shapetype w14:anchorId="65C9171B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302.55pt;margin-top:-3.15pt;width:194.2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oNLTAIAAH4EAAAOAAAAZHJzL2Uyb0RvYy54bWysVM2O2jAQvlfqO1i+lyT8bYkIK8qKqhLa&#10;XQmqPRvHIZEcj2sbEvpGfY6+WMdOYOm2p6oXZ8Yznp/vm8n8vq0lOQljK1AZTQYxJUJxyCt1yOjX&#10;3frDR0qsYypnEpTI6FlYer94/27e6FQMoQSZC0MwiLJpozNaOqfTKLK8FDWzA9BCobEAUzOHqjlE&#10;uWENRq9lNIzjadSAybUBLqzF24fOSBchflEI7p6KwgpHZEaxNhdOE869P6PFnKUHw3RZ8b4M9g9V&#10;1KxSmPQa6oE5Ro6m+iNUXXEDFgo34FBHUBQVF6EH7CaJ33SzLZkWoRcEx+orTPb/heWPp2dDqjyj&#10;I0oUq5GinWgdnH7+IBqkICMPUaNtip5bjb6u/QQtUn25t3jpO28LU/sv9kTQjmCfrwBjRMLxcjie&#10;Tmd3E0o42sbJLIkDA9Hra22s+yygJl7IqEECA67stLEOK0HXi4tPZkFW+bqSMih+aMRKGnJiSLd0&#10;oUZ88ZuXVKTJ6HQ0iUNgBf55F1kqTOB77Xrykmv3bQ/AHvIz9m+gGyKr+brCIjfMumdmcGqwZdwE&#10;94RHIQGTQC9RUoL5/rd7749kopWSBqcwo/bbkRlBifyikOZZMh77sQ3KeHI3RMXcWva3FnWsV4Cd&#10;J7hzmgfR+zt5EQsD9QsuzNJnRRNTHHNn1F3Elet2AxeOi+UyOOGgauY2aqu5D+2R9hTs2hdmdM+T&#10;Q4Yf4TKvLH1DV+frXypYHh0UVeDSA9yh2uOOQx4o7hfSb9GtHrxefxuLXwAAAP//AwBQSwMEFAAG&#10;AAgAAAAhAKtUxUvhAAAACQEAAA8AAABkcnMvZG93bnJldi54bWxMj8tOhEAQRfcm/kOnTNyYmWYk&#10;MIIUE2N8JO4cfMRdD10Cka4mdA/g39uudFm5J/eeKnaL6cVEo+ssI2zWEQji2uqOG4SX6n51BcJ5&#10;xVr1lgnhmxzsytOTQuXazvxM0943IpSwyxVC6/2QS+nqloxyazsQh+zTjkb5cI6N1KOaQ7np5WUU&#10;pdKojsNCqwa6ban+2h8NwsdF8/7klofXOU7i4e5xqrZvukI8P1turkF4WvwfDL/6QR3K4HSwR9ZO&#10;9AhplGwCirBKYxAByLI4BXFASLItyLKQ/z8ofwAAAP//AwBQSwECLQAUAAYACAAAACEAtoM4kv4A&#10;AADhAQAAEwAAAAAAAAAAAAAAAAAAAAAAW0NvbnRlbnRfVHlwZXNdLnhtbFBLAQItABQABgAIAAAA&#10;IQA4/SH/1gAAAJQBAAALAAAAAAAAAAAAAAAAAC8BAABfcmVscy8ucmVsc1BLAQItABQABgAIAAAA&#10;IQB59oNLTAIAAH4EAAAOAAAAAAAAAAAAAAAAAC4CAABkcnMvZTJvRG9jLnhtbFBLAQItABQABgAI&#10;AAAAIQCrVMVL4QAAAAkBAAAPAAAAAAAAAAAAAAAAAKYEAABkcnMvZG93bnJldi54bWxQSwUGAAAA&#10;AAQABADzAAAAtAUAAAAA&#10;" fillcolor="white [3201]" stroked="f" strokeweight=".5pt">
              <v:textbox>
                <w:txbxContent>
                  <w:p w14:paraId="0FC79686" w14:textId="77777777" w:rsidR="007D1189" w:rsidRPr="007B39E5" w:rsidRDefault="007D1189" w:rsidP="007D1189">
                    <w:pPr>
                      <w:pStyle w:val="Zhlav"/>
                      <w:jc w:val="right"/>
                      <w:rPr>
                        <w:rFonts w:ascii="Calibri" w:hAnsi="Calibri"/>
                        <w:sz w:val="18"/>
                      </w:rPr>
                    </w:pPr>
                    <w:r w:rsidRPr="007B39E5">
                      <w:rPr>
                        <w:rFonts w:ascii="Calibri" w:hAnsi="Calibri"/>
                        <w:sz w:val="18"/>
                      </w:rPr>
                      <w:t xml:space="preserve">Smlouva NPÚ č. </w:t>
                    </w:r>
                    <w:r w:rsidRPr="00CF4D26">
                      <w:rPr>
                        <w:rFonts w:ascii="Calibri" w:hAnsi="Calibri"/>
                        <w:sz w:val="18"/>
                      </w:rPr>
                      <w:t>3027H1240005</w:t>
                    </w:r>
                  </w:p>
                  <w:p w14:paraId="76E63D63" w14:textId="69F94B64" w:rsidR="007D1189" w:rsidRPr="007B39E5" w:rsidRDefault="007D1189" w:rsidP="007D1189">
                    <w:pPr>
                      <w:pStyle w:val="Zhlav"/>
                      <w:jc w:val="right"/>
                      <w:rPr>
                        <w:rFonts w:ascii="Calibri" w:hAnsi="Calibri"/>
                        <w:sz w:val="18"/>
                      </w:rPr>
                    </w:pPr>
                    <w:r w:rsidRPr="007B39E5">
                      <w:rPr>
                        <w:rFonts w:ascii="Calibri" w:hAnsi="Calibri"/>
                        <w:sz w:val="18"/>
                      </w:rPr>
                      <w:t xml:space="preserve">č. j. </w:t>
                    </w:r>
                    <w:r w:rsidR="00C251D5" w:rsidRPr="00C251D5">
                      <w:rPr>
                        <w:rFonts w:ascii="Calibri" w:hAnsi="Calibri"/>
                        <w:sz w:val="18"/>
                      </w:rPr>
                      <w:t>NPU-430/20804/2024</w:t>
                    </w:r>
                  </w:p>
                  <w:p w14:paraId="4A62A1FA" w14:textId="77777777" w:rsidR="007D1189" w:rsidRDefault="007D1189"/>
                </w:txbxContent>
              </v:textbox>
            </v:shape>
          </w:pict>
        </mc:Fallback>
      </mc:AlternateContent>
    </w: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52673CBD" wp14:editId="5D91F9C5">
          <wp:extent cx="1276350" cy="354263"/>
          <wp:effectExtent l="0" t="0" r="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345" cy="35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3AE6F1" w14:textId="77777777" w:rsidR="002E6038" w:rsidRDefault="002E6038">
    <w:pPr>
      <w:keepNext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firstLine="708"/>
      <w:jc w:val="both"/>
      <w:rPr>
        <w:rFonts w:ascii="Arial" w:eastAsia="Arial" w:hAnsi="Arial" w:cs="Arial"/>
        <w:color w:val="000000"/>
      </w:rPr>
    </w:pPr>
  </w:p>
  <w:p w14:paraId="47BA71E9" w14:textId="77777777" w:rsidR="002E6038" w:rsidRDefault="002E6038">
    <w:pPr>
      <w:keepNext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firstLine="708"/>
      <w:jc w:val="both"/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80E08"/>
    <w:multiLevelType w:val="multilevel"/>
    <w:tmpl w:val="D08C19D8"/>
    <w:lvl w:ilvl="0">
      <w:start w:val="1"/>
      <w:numFmt w:val="decimal"/>
      <w:lvlText w:val="%1."/>
      <w:lvlJc w:val="left"/>
      <w:pPr>
        <w:ind w:left="2826" w:hanging="140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1" w15:restartNumberingAfterBreak="0">
    <w:nsid w:val="2C0211C4"/>
    <w:multiLevelType w:val="multilevel"/>
    <w:tmpl w:val="740093C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69D75D0"/>
    <w:multiLevelType w:val="multilevel"/>
    <w:tmpl w:val="E95E6D90"/>
    <w:lvl w:ilvl="0">
      <w:start w:val="1"/>
      <w:numFmt w:val="decimal"/>
      <w:lvlText w:val="%1.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" w15:restartNumberingAfterBreak="0">
    <w:nsid w:val="491D2549"/>
    <w:multiLevelType w:val="multilevel"/>
    <w:tmpl w:val="51E2B524"/>
    <w:lvl w:ilvl="0">
      <w:start w:val="1"/>
      <w:numFmt w:val="decimal"/>
      <w:lvlText w:val="%1."/>
      <w:lvlJc w:val="left"/>
      <w:pPr>
        <w:ind w:left="1410" w:hanging="14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FBA5C9C"/>
    <w:multiLevelType w:val="multilevel"/>
    <w:tmpl w:val="070CB300"/>
    <w:lvl w:ilvl="0">
      <w:start w:val="1"/>
      <w:numFmt w:val="decimal"/>
      <w:lvlText w:val="%1."/>
      <w:lvlJc w:val="left"/>
      <w:pPr>
        <w:ind w:left="1410" w:hanging="14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397035E"/>
    <w:multiLevelType w:val="hybridMultilevel"/>
    <w:tmpl w:val="95BAA794"/>
    <w:lvl w:ilvl="0" w:tplc="4350C67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35EF5"/>
    <w:multiLevelType w:val="multilevel"/>
    <w:tmpl w:val="3F6C6540"/>
    <w:lvl w:ilvl="0">
      <w:start w:val="1"/>
      <w:numFmt w:val="decimal"/>
      <w:lvlText w:val="%1."/>
      <w:lvlJc w:val="left"/>
      <w:pPr>
        <w:ind w:left="1410" w:hanging="141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B963AC7"/>
    <w:multiLevelType w:val="multilevel"/>
    <w:tmpl w:val="40D46976"/>
    <w:lvl w:ilvl="0">
      <w:start w:val="1"/>
      <w:numFmt w:val="decimal"/>
      <w:lvlText w:val="%1."/>
      <w:lvlJc w:val="left"/>
      <w:pPr>
        <w:ind w:left="2826" w:hanging="140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8" w15:restartNumberingAfterBreak="0">
    <w:nsid w:val="6BFB5BC1"/>
    <w:multiLevelType w:val="multilevel"/>
    <w:tmpl w:val="94AE4390"/>
    <w:lvl w:ilvl="0">
      <w:start w:val="1"/>
      <w:numFmt w:val="decimal"/>
      <w:lvlText w:val="%1."/>
      <w:lvlJc w:val="left"/>
      <w:pPr>
        <w:ind w:left="2118" w:hanging="14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9" w15:restartNumberingAfterBreak="0">
    <w:nsid w:val="7BA84276"/>
    <w:multiLevelType w:val="multilevel"/>
    <w:tmpl w:val="E53256E8"/>
    <w:lvl w:ilvl="0">
      <w:start w:val="1"/>
      <w:numFmt w:val="decimal"/>
      <w:lvlText w:val="%1."/>
      <w:lvlJc w:val="left"/>
      <w:pPr>
        <w:ind w:left="2118" w:hanging="14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038"/>
    <w:rsid w:val="000E153A"/>
    <w:rsid w:val="002C6BA1"/>
    <w:rsid w:val="002E6038"/>
    <w:rsid w:val="0049121D"/>
    <w:rsid w:val="006A31C7"/>
    <w:rsid w:val="007414CE"/>
    <w:rsid w:val="007A15DE"/>
    <w:rsid w:val="007D1189"/>
    <w:rsid w:val="008266FD"/>
    <w:rsid w:val="008325B1"/>
    <w:rsid w:val="008775C5"/>
    <w:rsid w:val="009A4EFA"/>
    <w:rsid w:val="00A70196"/>
    <w:rsid w:val="00A741FB"/>
    <w:rsid w:val="00AA6FA1"/>
    <w:rsid w:val="00B21EA4"/>
    <w:rsid w:val="00C251D5"/>
    <w:rsid w:val="00E035D9"/>
    <w:rsid w:val="00E06A84"/>
    <w:rsid w:val="00F7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4C26DA"/>
  <w15:docId w15:val="{C5F3F436-DD3D-485D-9245-A7C0B17A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E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EA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F74E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74E86"/>
  </w:style>
  <w:style w:type="paragraph" w:styleId="Zpat">
    <w:name w:val="footer"/>
    <w:basedOn w:val="Normln"/>
    <w:link w:val="ZpatChar"/>
    <w:uiPriority w:val="99"/>
    <w:unhideWhenUsed/>
    <w:rsid w:val="00F74E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4E86"/>
  </w:style>
  <w:style w:type="character" w:styleId="Hypertextovodkaz">
    <w:name w:val="Hyperlink"/>
    <w:basedOn w:val="Standardnpsmoodstavce"/>
    <w:uiPriority w:val="99"/>
    <w:unhideWhenUsed/>
    <w:rsid w:val="008775C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77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1000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Kopačková Slávka</dc:creator>
  <cp:lastModifiedBy>frankova</cp:lastModifiedBy>
  <cp:revision>12</cp:revision>
  <dcterms:created xsi:type="dcterms:W3CDTF">2023-09-18T10:28:00Z</dcterms:created>
  <dcterms:modified xsi:type="dcterms:W3CDTF">2024-03-26T12:19:00Z</dcterms:modified>
</cp:coreProperties>
</file>