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733" w:rsidRDefault="004F1D06">
      <w:pPr>
        <w:pStyle w:val="Bodytext10"/>
        <w:spacing w:after="220" w:line="211" w:lineRule="auto"/>
        <w:jc w:val="center"/>
      </w:pPr>
      <w:r>
        <w:rPr>
          <w:rStyle w:val="Bodytext1"/>
          <w:b/>
          <w:bCs/>
          <w:sz w:val="32"/>
          <w:szCs w:val="32"/>
        </w:rPr>
        <w:t>Smlouva o nájmu prostor sloužících k podnikání</w:t>
      </w:r>
      <w:r>
        <w:rPr>
          <w:rStyle w:val="Bodytext1"/>
          <w:b/>
          <w:bCs/>
          <w:sz w:val="32"/>
          <w:szCs w:val="32"/>
        </w:rPr>
        <w:br/>
      </w:r>
      <w:r>
        <w:rPr>
          <w:rStyle w:val="Bodytext1"/>
        </w:rPr>
        <w:t>uzavřená dle příslušných ustanovení zákona č. 89/2012 Sb., občanský zákoník, v platném znění</w:t>
      </w:r>
      <w:r>
        <w:rPr>
          <w:rStyle w:val="Bodytext1"/>
        </w:rPr>
        <w:br/>
        <w:t>(dále jen smlouva) mezi těmito subjekty:</w:t>
      </w:r>
    </w:p>
    <w:p w:rsidR="00C45733" w:rsidRDefault="004F1D06">
      <w:pPr>
        <w:pStyle w:val="Bodytext10"/>
        <w:spacing w:after="0"/>
        <w:ind w:right="1980"/>
        <w:jc w:val="right"/>
      </w:pPr>
      <w:r>
        <w:rPr>
          <w:rStyle w:val="Bodytext1"/>
          <w:b/>
          <w:bCs/>
        </w:rPr>
        <w:t>číslo sml:</w:t>
      </w:r>
      <w:r w:rsidR="0034392D">
        <w:rPr>
          <w:rStyle w:val="Bodytext1"/>
          <w:b/>
          <w:bCs/>
        </w:rPr>
        <w:t>002873</w:t>
      </w:r>
      <w:bookmarkStart w:id="0" w:name="_GoBack"/>
      <w:bookmarkEnd w:id="0"/>
    </w:p>
    <w:p w:rsidR="00C45733" w:rsidRDefault="004F1D06">
      <w:pPr>
        <w:pStyle w:val="Bodytext10"/>
        <w:spacing w:after="220"/>
      </w:pPr>
      <w:r>
        <w:rPr>
          <w:rStyle w:val="Bodytext1"/>
          <w:b/>
          <w:bCs/>
        </w:rPr>
        <w:t>Smluvní strany:</w:t>
      </w:r>
    </w:p>
    <w:p w:rsidR="00C45733" w:rsidRDefault="004F1D06">
      <w:pPr>
        <w:pStyle w:val="Heading410"/>
        <w:keepNext/>
        <w:keepLines/>
        <w:jc w:val="left"/>
      </w:pPr>
      <w:bookmarkStart w:id="1" w:name="bookmark0"/>
      <w:r>
        <w:rPr>
          <w:rStyle w:val="Heading41"/>
          <w:b/>
          <w:bCs/>
        </w:rPr>
        <w:t>Krajská nemocnice T. Bati, a. s.</w:t>
      </w:r>
      <w:bookmarkEnd w:id="1"/>
    </w:p>
    <w:p w:rsidR="00C45733" w:rsidRDefault="004F1D06">
      <w:pPr>
        <w:pStyle w:val="Bodytext10"/>
        <w:spacing w:after="0"/>
      </w:pPr>
      <w:r>
        <w:rPr>
          <w:rStyle w:val="Bodytext1"/>
        </w:rPr>
        <w:t>sídlo: Havlíčkovo nábřeží 600, 762 75 Zlín</w:t>
      </w:r>
    </w:p>
    <w:p w:rsidR="00C45733" w:rsidRDefault="004F1D06">
      <w:pPr>
        <w:pStyle w:val="Bodytext10"/>
        <w:spacing w:after="0"/>
      </w:pPr>
      <w:r>
        <w:rPr>
          <w:rStyle w:val="Bodytext1"/>
        </w:rPr>
        <w:t>IČ: 27661989, DIČ: CZ27661989</w:t>
      </w:r>
    </w:p>
    <w:p w:rsidR="00C45733" w:rsidRDefault="004F1D06">
      <w:pPr>
        <w:pStyle w:val="Bodytext10"/>
        <w:spacing w:after="0"/>
      </w:pPr>
      <w:r>
        <w:rPr>
          <w:rStyle w:val="Bodytext1"/>
        </w:rPr>
        <w:t xml:space="preserve">bankovní spojení: ČSOB, č. </w:t>
      </w:r>
      <w:proofErr w:type="spellStart"/>
      <w:r>
        <w:rPr>
          <w:rStyle w:val="Bodytext1"/>
        </w:rPr>
        <w:t>ú.</w:t>
      </w:r>
      <w:proofErr w:type="spellEnd"/>
      <w:r>
        <w:rPr>
          <w:rStyle w:val="Bodytext1"/>
        </w:rPr>
        <w:t xml:space="preserve"> 151203067/0300</w:t>
      </w:r>
    </w:p>
    <w:p w:rsidR="00C45733" w:rsidRDefault="004F1D06">
      <w:pPr>
        <w:pStyle w:val="Bodytext10"/>
        <w:spacing w:after="0"/>
      </w:pPr>
      <w:r>
        <w:rPr>
          <w:rStyle w:val="Bodytext1"/>
        </w:rPr>
        <w:t>zapsána v obchodním rejstříku u Krajského soudu v Brně oddíl B., vložka 4437</w:t>
      </w:r>
    </w:p>
    <w:p w:rsidR="00C45733" w:rsidRDefault="004F1D06">
      <w:pPr>
        <w:pStyle w:val="Bodytext10"/>
        <w:spacing w:after="0"/>
      </w:pPr>
      <w:r>
        <w:rPr>
          <w:rStyle w:val="Bodytext1"/>
        </w:rPr>
        <w:t xml:space="preserve">zastupující Ing. Jan Hrdý, předseda představenstva a Ing. Martin Déva, člen představenstva osoba jednající ve věcech plnění této smlouvy: </w:t>
      </w:r>
      <w:proofErr w:type="spellStart"/>
      <w:r w:rsidR="00F21B5A">
        <w:rPr>
          <w:rStyle w:val="Bodytext1"/>
        </w:rPr>
        <w:t>xxxxxxxxxxxxx</w:t>
      </w:r>
      <w:proofErr w:type="spellEnd"/>
      <w:r>
        <w:rPr>
          <w:rStyle w:val="Bodytext1"/>
        </w:rPr>
        <w:t xml:space="preserve">, náměstek pro provoz a bezpečnost, tel. </w:t>
      </w:r>
      <w:proofErr w:type="spellStart"/>
      <w:r w:rsidR="00262572">
        <w:rPr>
          <w:rStyle w:val="Bodytext1"/>
        </w:rPr>
        <w:t>xxxxxxxxxxxxxxxxxxx</w:t>
      </w:r>
      <w:proofErr w:type="spellEnd"/>
      <w:r>
        <w:rPr>
          <w:rStyle w:val="Bodytext1"/>
        </w:rPr>
        <w:t xml:space="preserve">, e-mail: </w:t>
      </w:r>
      <w:proofErr w:type="spellStart"/>
      <w:r w:rsidR="00262572">
        <w:rPr>
          <w:rStyle w:val="Bodytext1"/>
        </w:rPr>
        <w:t>xxxxxxxxxxxxxxxxxxxxxxxx</w:t>
      </w:r>
      <w:proofErr w:type="spellEnd"/>
    </w:p>
    <w:p w:rsidR="00C45733" w:rsidRDefault="004F1D06">
      <w:pPr>
        <w:pStyle w:val="Bodytext10"/>
        <w:spacing w:after="680"/>
      </w:pPr>
      <w:r>
        <w:rPr>
          <w:rStyle w:val="Bodytext1"/>
        </w:rPr>
        <w:t>(dále jen „nemocnice“ nebo „pronajímatel“)</w:t>
      </w:r>
    </w:p>
    <w:p w:rsidR="00C45733" w:rsidRDefault="004F1D06">
      <w:pPr>
        <w:pStyle w:val="Heading410"/>
        <w:keepNext/>
        <w:keepLines/>
        <w:jc w:val="left"/>
      </w:pPr>
      <w:bookmarkStart w:id="2" w:name="bookmark2"/>
      <w:proofErr w:type="spellStart"/>
      <w:r>
        <w:rPr>
          <w:rStyle w:val="Heading41"/>
          <w:b/>
          <w:bCs/>
        </w:rPr>
        <w:t>Leastex</w:t>
      </w:r>
      <w:proofErr w:type="spellEnd"/>
      <w:r>
        <w:rPr>
          <w:rStyle w:val="Heading41"/>
          <w:b/>
          <w:bCs/>
        </w:rPr>
        <w:t>, a.s.</w:t>
      </w:r>
      <w:bookmarkEnd w:id="2"/>
    </w:p>
    <w:p w:rsidR="00C45733" w:rsidRDefault="004F1D06">
      <w:pPr>
        <w:pStyle w:val="Bodytext10"/>
        <w:spacing w:after="0"/>
      </w:pPr>
      <w:r>
        <w:rPr>
          <w:rStyle w:val="Bodytext1"/>
        </w:rPr>
        <w:t>K Myslivně 2140/61, Poruba, 708 00 Ostrava</w:t>
      </w:r>
    </w:p>
    <w:p w:rsidR="00C45733" w:rsidRDefault="004F1D06">
      <w:pPr>
        <w:pStyle w:val="Bodytext10"/>
        <w:spacing w:after="0"/>
      </w:pPr>
      <w:r>
        <w:rPr>
          <w:rStyle w:val="Bodytext1"/>
        </w:rPr>
        <w:t>IČ: 45192731</w:t>
      </w:r>
    </w:p>
    <w:p w:rsidR="00C45733" w:rsidRDefault="004F1D06">
      <w:pPr>
        <w:pStyle w:val="Bodytext10"/>
        <w:spacing w:after="0"/>
      </w:pPr>
      <w:r>
        <w:rPr>
          <w:rStyle w:val="Bodytext1"/>
        </w:rPr>
        <w:t>bankovní spojení Komerční banka, a.s. č. účtu 3405791/0100</w:t>
      </w:r>
    </w:p>
    <w:p w:rsidR="00C45733" w:rsidRDefault="004F1D06">
      <w:pPr>
        <w:pStyle w:val="Bodytext10"/>
        <w:spacing w:after="220"/>
      </w:pPr>
      <w:r>
        <w:rPr>
          <w:rStyle w:val="Bodytext1"/>
        </w:rPr>
        <w:t>zapsána v obchodním rejstříku u Krajského soudu v Ostravě oddíl B, vložka 434</w:t>
      </w:r>
    </w:p>
    <w:p w:rsidR="00C45733" w:rsidRDefault="004F1D06">
      <w:pPr>
        <w:pStyle w:val="Bodytext10"/>
        <w:spacing w:after="220"/>
      </w:pPr>
      <w:r>
        <w:rPr>
          <w:rStyle w:val="Bodytext1"/>
        </w:rPr>
        <w:t xml:space="preserve">jednající: TSC Management, s.r.o., předseda představenstva, se sídlem: Stodolní 316/2, Moravská Ostrava, 702 00 Ostrava, IČ: 199 38 608, zapsaná v obchodním rejstříku vedeném Krajským soudem v Ostravě, v oddíle C, vložka 94302, kterého při výkonu funkce zastupuje Mgr. Robert Labuda, </w:t>
      </w:r>
      <w:proofErr w:type="spellStart"/>
      <w:r>
        <w:rPr>
          <w:rStyle w:val="Bodytext1"/>
        </w:rPr>
        <w:t>i.s</w:t>
      </w:r>
      <w:proofErr w:type="spellEnd"/>
      <w:r>
        <w:rPr>
          <w:rStyle w:val="Bodytext1"/>
        </w:rPr>
        <w:t xml:space="preserve">. </w:t>
      </w:r>
      <w:proofErr w:type="spellStart"/>
      <w:r w:rsidR="00262572">
        <w:rPr>
          <w:rStyle w:val="Bodytext1"/>
        </w:rPr>
        <w:t>xxxxxxxxxxxxxxxxxx</w:t>
      </w:r>
      <w:proofErr w:type="spellEnd"/>
      <w:r>
        <w:rPr>
          <w:rStyle w:val="Bodytext1"/>
        </w:rPr>
        <w:t xml:space="preserve">, na základě plné moci, a Ing. Karel </w:t>
      </w:r>
      <w:proofErr w:type="spellStart"/>
      <w:r>
        <w:rPr>
          <w:rStyle w:val="Bodytext1"/>
        </w:rPr>
        <w:t>Loveček</w:t>
      </w:r>
      <w:proofErr w:type="spellEnd"/>
      <w:r>
        <w:rPr>
          <w:rStyle w:val="Bodytext1"/>
        </w:rPr>
        <w:t>, člen představenstva</w:t>
      </w:r>
    </w:p>
    <w:p w:rsidR="00C45733" w:rsidRDefault="004F1D06">
      <w:pPr>
        <w:pStyle w:val="Bodytext10"/>
        <w:spacing w:after="0"/>
      </w:pPr>
      <w:r>
        <w:rPr>
          <w:rStyle w:val="Bodytext1"/>
        </w:rPr>
        <w:t xml:space="preserve">kontaktní osoba ve věcech plnění smlouvy: </w:t>
      </w:r>
      <w:proofErr w:type="spellStart"/>
      <w:r w:rsidR="00262572">
        <w:rPr>
          <w:rStyle w:val="Bodytext1"/>
        </w:rPr>
        <w:t>xxxxxxxxxxxxxx</w:t>
      </w:r>
      <w:proofErr w:type="spellEnd"/>
      <w:r>
        <w:rPr>
          <w:rStyle w:val="Bodytext1"/>
        </w:rPr>
        <w:t>, obchodní manažer pro zdravotnictví a průmysl, tel. č.</w:t>
      </w:r>
      <w:r w:rsidR="00262572">
        <w:rPr>
          <w:rStyle w:val="Bodytext1"/>
        </w:rPr>
        <w:t xml:space="preserve"> </w:t>
      </w:r>
      <w:proofErr w:type="spellStart"/>
      <w:r w:rsidR="00262572">
        <w:rPr>
          <w:rStyle w:val="Bodytext1"/>
        </w:rPr>
        <w:t>xxxxxxxxxxxxxxxxxxxx</w:t>
      </w:r>
      <w:proofErr w:type="spellEnd"/>
      <w:r>
        <w:rPr>
          <w:rStyle w:val="Bodytext1"/>
        </w:rPr>
        <w:t xml:space="preserve">, </w:t>
      </w:r>
      <w:proofErr w:type="spellStart"/>
      <w:proofErr w:type="gramStart"/>
      <w:r>
        <w:rPr>
          <w:rStyle w:val="Bodytext1"/>
        </w:rPr>
        <w:t>e-mail:</w:t>
      </w:r>
      <w:r w:rsidR="00262572">
        <w:rPr>
          <w:rStyle w:val="Bodytext1"/>
        </w:rPr>
        <w:t>xxxxxxxxxxxxxxxxxxxxxxx</w:t>
      </w:r>
      <w:proofErr w:type="spellEnd"/>
      <w:proofErr w:type="gramEnd"/>
      <w:r w:rsidR="00262572">
        <w:t xml:space="preserve"> </w:t>
      </w:r>
    </w:p>
    <w:p w:rsidR="00C45733" w:rsidRDefault="004F1D06">
      <w:pPr>
        <w:pStyle w:val="Bodytext10"/>
        <w:spacing w:after="220"/>
      </w:pPr>
      <w:r>
        <w:rPr>
          <w:rStyle w:val="Bodytext1"/>
        </w:rPr>
        <w:t>(dále jen „nájemce“)</w:t>
      </w:r>
    </w:p>
    <w:p w:rsidR="00C45733" w:rsidRDefault="004F1D06">
      <w:pPr>
        <w:pStyle w:val="Bodytext10"/>
        <w:spacing w:after="460"/>
      </w:pPr>
      <w:r>
        <w:rPr>
          <w:rStyle w:val="Bodytext1"/>
        </w:rPr>
        <w:t>uzavřeli tuto nájemní smlouvu</w:t>
      </w:r>
    </w:p>
    <w:p w:rsidR="00C45733" w:rsidRDefault="004F1D06">
      <w:pPr>
        <w:pStyle w:val="Heading410"/>
        <w:keepNext/>
        <w:keepLines/>
      </w:pPr>
      <w:bookmarkStart w:id="3" w:name="bookmark4"/>
      <w:r>
        <w:rPr>
          <w:rStyle w:val="Heading41"/>
          <w:b/>
          <w:bCs/>
        </w:rPr>
        <w:t>Článek I.</w:t>
      </w:r>
      <w:bookmarkEnd w:id="3"/>
    </w:p>
    <w:p w:rsidR="00C45733" w:rsidRDefault="004F1D06">
      <w:pPr>
        <w:pStyle w:val="Heading410"/>
        <w:keepNext/>
        <w:keepLines/>
        <w:spacing w:after="220"/>
      </w:pPr>
      <w:r>
        <w:rPr>
          <w:rStyle w:val="Heading41"/>
          <w:b/>
          <w:bCs/>
        </w:rPr>
        <w:t>Předmět nájmu</w:t>
      </w:r>
    </w:p>
    <w:p w:rsidR="00C45733" w:rsidRDefault="004F1D06">
      <w:pPr>
        <w:pStyle w:val="Bodytext10"/>
        <w:numPr>
          <w:ilvl w:val="0"/>
          <w:numId w:val="1"/>
        </w:numPr>
        <w:tabs>
          <w:tab w:val="left" w:pos="352"/>
        </w:tabs>
        <w:spacing w:after="0"/>
        <w:ind w:left="380" w:hanging="380"/>
        <w:jc w:val="both"/>
      </w:pPr>
      <w:r>
        <w:rPr>
          <w:rStyle w:val="Bodytext1"/>
        </w:rPr>
        <w:t xml:space="preserve">Pronajímatel je vlastníkem nemovitého majetku – </w:t>
      </w:r>
      <w:r>
        <w:rPr>
          <w:rStyle w:val="Bodytext1"/>
          <w:b/>
          <w:bCs/>
        </w:rPr>
        <w:t>objektu č. 38 (modulární stavba, dále jen „</w:t>
      </w:r>
      <w:proofErr w:type="spellStart"/>
      <w:r>
        <w:rPr>
          <w:rStyle w:val="Bodytext1"/>
          <w:b/>
          <w:bCs/>
        </w:rPr>
        <w:t>Buňkoviště</w:t>
      </w:r>
      <w:proofErr w:type="spellEnd"/>
      <w:r>
        <w:rPr>
          <w:rStyle w:val="Bodytext1"/>
          <w:b/>
          <w:bCs/>
        </w:rPr>
        <w:t xml:space="preserve">“) </w:t>
      </w:r>
      <w:r>
        <w:rPr>
          <w:rStyle w:val="Bodytext1"/>
        </w:rPr>
        <w:t>ve svém areálu o celkové ploše 148,03 m</w:t>
      </w:r>
      <w:r>
        <w:rPr>
          <w:rStyle w:val="Bodytext1"/>
          <w:vertAlign w:val="superscript"/>
        </w:rPr>
        <w:t>2</w:t>
      </w:r>
      <w:r>
        <w:rPr>
          <w:rStyle w:val="Bodytext1"/>
        </w:rPr>
        <w:t>, umístěném na stavební parcele číslo 127/1, jejíž součástí je budova bez čísla popisného či evidenčního – stavba občanského vybavení, to vše v katastrálním území Zlín (dále jen „pronajaté prostory“ nebo „prostory“).</w:t>
      </w:r>
    </w:p>
    <w:p w:rsidR="00C45733" w:rsidRDefault="004F1D06">
      <w:pPr>
        <w:pStyle w:val="Bodytext10"/>
        <w:spacing w:after="220"/>
        <w:ind w:left="380"/>
      </w:pPr>
      <w:r>
        <w:rPr>
          <w:rStyle w:val="Bodytext1"/>
        </w:rPr>
        <w:t>Pronajímatel je vlastníkem nemovitého majetku – zpevněné plochy u objektu č. 38 ve svém areálu o celkové ploše 114,00 m</w:t>
      </w:r>
      <w:r>
        <w:rPr>
          <w:rStyle w:val="Bodytext1"/>
          <w:vertAlign w:val="superscript"/>
        </w:rPr>
        <w:t>2</w:t>
      </w:r>
      <w:r>
        <w:rPr>
          <w:rStyle w:val="Bodytext1"/>
        </w:rPr>
        <w:t>, umístěném na stavební parcele číslo 127/1. Tyto prostory a plochy jsou předmětem nájmu upraveného touto smlouvou.</w:t>
      </w:r>
    </w:p>
    <w:p w:rsidR="00C45733" w:rsidRDefault="004F1D06">
      <w:pPr>
        <w:pStyle w:val="Bodytext10"/>
        <w:numPr>
          <w:ilvl w:val="0"/>
          <w:numId w:val="1"/>
        </w:numPr>
        <w:tabs>
          <w:tab w:val="left" w:pos="352"/>
        </w:tabs>
        <w:spacing w:after="60"/>
      </w:pPr>
      <w:r>
        <w:rPr>
          <w:rStyle w:val="Bodytext1"/>
        </w:rPr>
        <w:t>Předmětem této smlouvy je nájem prostor:</w:t>
      </w:r>
    </w:p>
    <w:p w:rsidR="00C45733" w:rsidRDefault="004F1D06">
      <w:pPr>
        <w:pStyle w:val="Bodytext10"/>
        <w:numPr>
          <w:ilvl w:val="0"/>
          <w:numId w:val="2"/>
        </w:numPr>
        <w:tabs>
          <w:tab w:val="left" w:pos="352"/>
        </w:tabs>
        <w:spacing w:after="220" w:line="173" w:lineRule="auto"/>
        <w:ind w:left="380" w:hanging="380"/>
      </w:pPr>
      <w:r>
        <w:rPr>
          <w:rStyle w:val="Bodytext1"/>
          <w:b/>
          <w:bCs/>
          <w:u w:val="single"/>
        </w:rPr>
        <w:t>nebytové prostory v objektu č. 38 (</w:t>
      </w:r>
      <w:proofErr w:type="spellStart"/>
      <w:r>
        <w:rPr>
          <w:rStyle w:val="Bodytext1"/>
          <w:b/>
          <w:bCs/>
          <w:u w:val="single"/>
        </w:rPr>
        <w:t>Buňkoviště</w:t>
      </w:r>
      <w:proofErr w:type="spellEnd"/>
      <w:r>
        <w:rPr>
          <w:rStyle w:val="Bodytext1"/>
          <w:b/>
          <w:bCs/>
          <w:u w:val="single"/>
        </w:rPr>
        <w:t>)</w:t>
      </w:r>
      <w:r>
        <w:rPr>
          <w:rStyle w:val="Bodytext1"/>
          <w:b/>
          <w:bCs/>
        </w:rPr>
        <w:t xml:space="preserve">. </w:t>
      </w:r>
      <w:r>
        <w:rPr>
          <w:rStyle w:val="Bodytext1"/>
        </w:rPr>
        <w:t>Vymezení pronajímaných prostor je vyznačeno na plánku, který je jako příloha č. 1 a), b), c) nedílnou součástí této smlouvy.</w:t>
      </w:r>
    </w:p>
    <w:p w:rsidR="00C45733" w:rsidRDefault="004F1D06">
      <w:pPr>
        <w:pStyle w:val="Bodytext10"/>
        <w:numPr>
          <w:ilvl w:val="0"/>
          <w:numId w:val="2"/>
        </w:numPr>
        <w:tabs>
          <w:tab w:val="left" w:pos="352"/>
        </w:tabs>
        <w:spacing w:after="0" w:line="134" w:lineRule="auto"/>
      </w:pPr>
      <w:r>
        <w:rPr>
          <w:rStyle w:val="Bodytext1"/>
          <w:b/>
          <w:bCs/>
          <w:u w:val="single"/>
        </w:rPr>
        <w:t>zpevněná plocha u objektu č. 38 (</w:t>
      </w:r>
      <w:proofErr w:type="spellStart"/>
      <w:r>
        <w:rPr>
          <w:rStyle w:val="Bodytext1"/>
          <w:b/>
          <w:bCs/>
          <w:u w:val="single"/>
        </w:rPr>
        <w:t>Buňkoviště</w:t>
      </w:r>
      <w:proofErr w:type="spellEnd"/>
      <w:r>
        <w:rPr>
          <w:rStyle w:val="Bodytext1"/>
          <w:b/>
          <w:bCs/>
          <w:u w:val="single"/>
        </w:rPr>
        <w:t>)</w:t>
      </w:r>
      <w:r>
        <w:rPr>
          <w:rStyle w:val="Bodytext1"/>
          <w:rFonts w:ascii="Times New Roman" w:eastAsia="Times New Roman" w:hAnsi="Times New Roman" w:cs="Times New Roman"/>
        </w:rPr>
        <w:t xml:space="preserve">. </w:t>
      </w:r>
      <w:r>
        <w:rPr>
          <w:rStyle w:val="Bodytext1"/>
        </w:rPr>
        <w:t>Vymezení pronajímaných prostor je vyznačeno</w:t>
      </w:r>
    </w:p>
    <w:p w:rsidR="00C45733" w:rsidRDefault="004F1D06">
      <w:pPr>
        <w:pStyle w:val="Bodytext10"/>
        <w:spacing w:after="220"/>
        <w:ind w:firstLine="380"/>
      </w:pPr>
      <w:r>
        <w:rPr>
          <w:rStyle w:val="Bodytext1"/>
        </w:rPr>
        <w:t>na plánku, který je jako příloha č. 1 a) nedílnou součástí této smlouvy.</w:t>
      </w:r>
    </w:p>
    <w:p w:rsidR="00C45733" w:rsidRDefault="004F1D06">
      <w:pPr>
        <w:pStyle w:val="Bodytext10"/>
        <w:numPr>
          <w:ilvl w:val="0"/>
          <w:numId w:val="1"/>
        </w:numPr>
        <w:tabs>
          <w:tab w:val="left" w:pos="352"/>
        </w:tabs>
        <w:spacing w:after="220"/>
        <w:ind w:left="380" w:hanging="380"/>
      </w:pPr>
      <w:r>
        <w:rPr>
          <w:rStyle w:val="Bodytext1"/>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r>
        <w:br w:type="page"/>
      </w:r>
    </w:p>
    <w:p w:rsidR="00C45733" w:rsidRDefault="004F1D06">
      <w:pPr>
        <w:pStyle w:val="Bodytext10"/>
        <w:numPr>
          <w:ilvl w:val="0"/>
          <w:numId w:val="1"/>
        </w:numPr>
        <w:tabs>
          <w:tab w:val="left" w:pos="401"/>
        </w:tabs>
        <w:spacing w:after="340"/>
        <w:ind w:left="380" w:hanging="380"/>
      </w:pPr>
      <w:r>
        <w:rPr>
          <w:rStyle w:val="Bodytext1"/>
        </w:rPr>
        <w:lastRenderedPageBreak/>
        <w:t>Nájemce prohlašuje a podpisem smlouvy potvrzuje, že pronajaté prostory jsou způsobilé k užívání k účelu stanovenému smlouvou a jejich skutečný stav je mu dostatečně znám.</w:t>
      </w:r>
    </w:p>
    <w:p w:rsidR="00C45733" w:rsidRDefault="004F1D06">
      <w:pPr>
        <w:pStyle w:val="Bodytext10"/>
        <w:numPr>
          <w:ilvl w:val="0"/>
          <w:numId w:val="1"/>
        </w:numPr>
        <w:tabs>
          <w:tab w:val="left" w:pos="401"/>
        </w:tabs>
        <w:spacing w:after="220"/>
        <w:ind w:left="380" w:hanging="380"/>
      </w:pPr>
      <w:r>
        <w:rPr>
          <w:rStyle w:val="Bodytext1"/>
        </w:rPr>
        <w:t>O předání předmětu nájmu bude pořízen protokol. Pronajatý prostor bude nájemci předán do 5 dnů od podpisu smlouvy oběma stranami.</w:t>
      </w:r>
    </w:p>
    <w:p w:rsidR="00C45733" w:rsidRDefault="004F1D06">
      <w:pPr>
        <w:pStyle w:val="Heading410"/>
        <w:keepNext/>
        <w:keepLines/>
      </w:pPr>
      <w:bookmarkStart w:id="4" w:name="bookmark7"/>
      <w:r>
        <w:rPr>
          <w:rStyle w:val="Heading41"/>
          <w:b/>
          <w:bCs/>
        </w:rPr>
        <w:t>Článek II.</w:t>
      </w:r>
      <w:bookmarkEnd w:id="4"/>
    </w:p>
    <w:p w:rsidR="00C45733" w:rsidRDefault="004F1D06">
      <w:pPr>
        <w:pStyle w:val="Heading410"/>
        <w:keepNext/>
        <w:keepLines/>
        <w:spacing w:after="220"/>
      </w:pPr>
      <w:r>
        <w:rPr>
          <w:rStyle w:val="Heading41"/>
          <w:b/>
          <w:bCs/>
        </w:rPr>
        <w:t>Účel nájmu</w:t>
      </w:r>
    </w:p>
    <w:p w:rsidR="00C45733" w:rsidRDefault="004F1D06">
      <w:pPr>
        <w:pStyle w:val="Bodytext10"/>
        <w:numPr>
          <w:ilvl w:val="0"/>
          <w:numId w:val="3"/>
        </w:numPr>
        <w:tabs>
          <w:tab w:val="left" w:pos="401"/>
        </w:tabs>
        <w:ind w:left="460" w:hanging="460"/>
        <w:rPr>
          <w:sz w:val="18"/>
          <w:szCs w:val="18"/>
        </w:rPr>
      </w:pPr>
      <w:r>
        <w:rPr>
          <w:rStyle w:val="Bodytext1"/>
        </w:rPr>
        <w:t xml:space="preserve">Nájemce je oprávněn pronajaté prostory užívat k provozování podnikatelské činnosti: provozování služeb </w:t>
      </w:r>
      <w:r>
        <w:rPr>
          <w:rStyle w:val="Bodytext1"/>
          <w:rFonts w:ascii="Verdana" w:eastAsia="Verdana" w:hAnsi="Verdana" w:cs="Verdana"/>
          <w:color w:val="333333"/>
          <w:sz w:val="18"/>
          <w:szCs w:val="18"/>
        </w:rPr>
        <w:t>čištění a praní textilu a oděvů, výhradně pro potřeby pronajímatele.</w:t>
      </w:r>
    </w:p>
    <w:p w:rsidR="00C45733" w:rsidRDefault="004F1D06">
      <w:pPr>
        <w:pStyle w:val="Bodytext10"/>
        <w:numPr>
          <w:ilvl w:val="0"/>
          <w:numId w:val="3"/>
        </w:numPr>
        <w:tabs>
          <w:tab w:val="left" w:pos="401"/>
        </w:tabs>
        <w:spacing w:after="220"/>
        <w:ind w:left="460" w:hanging="460"/>
      </w:pPr>
      <w:r>
        <w:rPr>
          <w:rStyle w:val="Bodytext1"/>
        </w:rPr>
        <w:t>Změnit dohodnutý účel užívání pronajatých prostor může nájemce jen po předchozím písemném souhlasu pronajímatele.</w:t>
      </w:r>
    </w:p>
    <w:p w:rsidR="00C45733" w:rsidRDefault="004F1D06">
      <w:pPr>
        <w:pStyle w:val="Heading410"/>
        <w:keepNext/>
        <w:keepLines/>
      </w:pPr>
      <w:bookmarkStart w:id="5" w:name="bookmark10"/>
      <w:r>
        <w:rPr>
          <w:rStyle w:val="Heading41"/>
          <w:b/>
          <w:bCs/>
        </w:rPr>
        <w:t>Článek III.</w:t>
      </w:r>
      <w:bookmarkEnd w:id="5"/>
    </w:p>
    <w:p w:rsidR="00C45733" w:rsidRDefault="004F1D06">
      <w:pPr>
        <w:pStyle w:val="Heading410"/>
        <w:keepNext/>
        <w:keepLines/>
        <w:spacing w:after="220"/>
      </w:pPr>
      <w:r>
        <w:rPr>
          <w:rStyle w:val="Heading41"/>
          <w:b/>
          <w:bCs/>
        </w:rPr>
        <w:t>Doba nájmu</w:t>
      </w:r>
    </w:p>
    <w:p w:rsidR="00C45733" w:rsidRDefault="004F1D06">
      <w:pPr>
        <w:pStyle w:val="Bodytext10"/>
        <w:numPr>
          <w:ilvl w:val="0"/>
          <w:numId w:val="4"/>
        </w:numPr>
        <w:tabs>
          <w:tab w:val="left" w:pos="401"/>
        </w:tabs>
        <w:spacing w:after="680"/>
        <w:ind w:left="460" w:hanging="460"/>
      </w:pPr>
      <w:r>
        <w:rPr>
          <w:rStyle w:val="Bodytext1"/>
        </w:rPr>
        <w:t>Smlouva se uzavírá na dobu určitou od 1. 3. 2024 do doby, po níž budou mít strany mezi sebou vzájemně uzavřenou Smlouvu o poskytování komplexního servisu prádla č. 17020.</w:t>
      </w:r>
    </w:p>
    <w:p w:rsidR="00C45733" w:rsidRDefault="004F1D06">
      <w:pPr>
        <w:pStyle w:val="Heading410"/>
        <w:keepNext/>
        <w:keepLines/>
        <w:spacing w:after="340"/>
      </w:pPr>
      <w:bookmarkStart w:id="6" w:name="bookmark13"/>
      <w:r>
        <w:rPr>
          <w:rStyle w:val="Heading41"/>
          <w:b/>
          <w:bCs/>
        </w:rPr>
        <w:t>Článek IV.</w:t>
      </w:r>
      <w:r>
        <w:rPr>
          <w:rStyle w:val="Heading41"/>
          <w:b/>
          <w:bCs/>
        </w:rPr>
        <w:br/>
        <w:t>Nájemné</w:t>
      </w:r>
      <w:bookmarkEnd w:id="6"/>
    </w:p>
    <w:p w:rsidR="00C45733" w:rsidRDefault="004F1D06" w:rsidP="00262572">
      <w:pPr>
        <w:pStyle w:val="Bodytext10"/>
        <w:numPr>
          <w:ilvl w:val="0"/>
          <w:numId w:val="20"/>
        </w:numPr>
        <w:tabs>
          <w:tab w:val="left" w:pos="401"/>
        </w:tabs>
        <w:spacing w:after="220"/>
      </w:pPr>
      <w:r>
        <w:rPr>
          <w:rStyle w:val="Bodytext1"/>
          <w:b/>
          <w:bCs/>
        </w:rPr>
        <w:t xml:space="preserve">Celkové měsíční nájemné </w:t>
      </w:r>
      <w:r>
        <w:rPr>
          <w:rStyle w:val="Bodytext1"/>
        </w:rPr>
        <w:t xml:space="preserve">za pronajaté prostory činí </w:t>
      </w:r>
      <w:r>
        <w:rPr>
          <w:rStyle w:val="Bodytext1"/>
          <w:b/>
          <w:bCs/>
        </w:rPr>
        <w:t xml:space="preserve">20.943,- Kč </w:t>
      </w:r>
      <w:r>
        <w:rPr>
          <w:rStyle w:val="Bodytext1"/>
        </w:rPr>
        <w:t>bez DPH.</w:t>
      </w:r>
    </w:p>
    <w:p w:rsidR="00C45733" w:rsidRDefault="004F1D06">
      <w:pPr>
        <w:pStyle w:val="Bodytext10"/>
        <w:spacing w:after="0"/>
        <w:ind w:firstLine="380"/>
      </w:pPr>
      <w:r>
        <w:rPr>
          <w:rStyle w:val="Bodytext1"/>
        </w:rPr>
        <w:t xml:space="preserve">(Slovy: </w:t>
      </w:r>
      <w:proofErr w:type="spellStart"/>
      <w:r>
        <w:rPr>
          <w:rStyle w:val="Bodytext1"/>
        </w:rPr>
        <w:t>dvacettisícdevětsetčtyřicettři</w:t>
      </w:r>
      <w:proofErr w:type="spellEnd"/>
      <w:r>
        <w:rPr>
          <w:rStyle w:val="Bodytext1"/>
        </w:rPr>
        <w:t xml:space="preserve"> korun českých)</w:t>
      </w:r>
    </w:p>
    <w:p w:rsidR="00C45733" w:rsidRDefault="004F1D06">
      <w:pPr>
        <w:pStyle w:val="Bodytext10"/>
        <w:spacing w:after="220"/>
        <w:ind w:firstLine="380"/>
      </w:pPr>
      <w:r>
        <w:rPr>
          <w:rStyle w:val="Bodytext1"/>
        </w:rPr>
        <w:t>K nájemnému bude připočteno DPH dle platné legislativy.</w:t>
      </w:r>
    </w:p>
    <w:p w:rsidR="00C45733" w:rsidRDefault="004F1D06" w:rsidP="00262572">
      <w:pPr>
        <w:pStyle w:val="Bodytext10"/>
        <w:numPr>
          <w:ilvl w:val="0"/>
          <w:numId w:val="20"/>
        </w:numPr>
        <w:tabs>
          <w:tab w:val="left" w:pos="401"/>
        </w:tabs>
        <w:spacing w:after="0"/>
      </w:pPr>
      <w:r>
        <w:rPr>
          <w:rStyle w:val="Bodytext1"/>
        </w:rPr>
        <w:t>Nájemné se sjednává dohodou smluvních stran ve výši:</w:t>
      </w:r>
    </w:p>
    <w:p w:rsidR="00C45733" w:rsidRDefault="004F1D06">
      <w:pPr>
        <w:pStyle w:val="Bodytext10"/>
        <w:numPr>
          <w:ilvl w:val="0"/>
          <w:numId w:val="5"/>
        </w:numPr>
        <w:tabs>
          <w:tab w:val="left" w:pos="1098"/>
        </w:tabs>
        <w:spacing w:after="0" w:line="134" w:lineRule="auto"/>
        <w:ind w:firstLine="740"/>
      </w:pPr>
      <w:r>
        <w:rPr>
          <w:rStyle w:val="Bodytext1"/>
        </w:rPr>
        <w:t xml:space="preserve">124,92,- Kč/m² měsíčně (celkem </w:t>
      </w:r>
      <w:r>
        <w:rPr>
          <w:rStyle w:val="Bodytext1"/>
          <w:b/>
          <w:bCs/>
        </w:rPr>
        <w:t>148,03 m</w:t>
      </w:r>
      <w:r>
        <w:rPr>
          <w:rStyle w:val="Bodytext1"/>
          <w:b/>
          <w:bCs/>
          <w:vertAlign w:val="superscript"/>
        </w:rPr>
        <w:t>2</w:t>
      </w:r>
      <w:r>
        <w:rPr>
          <w:rStyle w:val="Bodytext1"/>
          <w:b/>
          <w:bCs/>
        </w:rPr>
        <w:t xml:space="preserve"> </w:t>
      </w:r>
      <w:r>
        <w:rPr>
          <w:rStyle w:val="Bodytext1"/>
        </w:rPr>
        <w:t xml:space="preserve">nebytových prostor v objektu č. 38), tj. </w:t>
      </w:r>
      <w:r>
        <w:rPr>
          <w:rStyle w:val="Bodytext1"/>
          <w:b/>
          <w:bCs/>
        </w:rPr>
        <w:t>18.492,-</w:t>
      </w:r>
    </w:p>
    <w:p w:rsidR="00C45733" w:rsidRDefault="004F1D06">
      <w:pPr>
        <w:pStyle w:val="Bodytext10"/>
        <w:spacing w:after="0"/>
        <w:ind w:left="1100"/>
      </w:pPr>
      <w:r>
        <w:rPr>
          <w:rStyle w:val="Bodytext1"/>
          <w:b/>
          <w:bCs/>
        </w:rPr>
        <w:t>Kč měsíčně</w:t>
      </w:r>
      <w:r>
        <w:rPr>
          <w:rStyle w:val="Bodytext1"/>
        </w:rPr>
        <w:t>, tzn. 221.904,- Kč ročně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2606"/>
        <w:gridCol w:w="1171"/>
        <w:gridCol w:w="1210"/>
      </w:tblGrid>
      <w:tr w:rsidR="00C45733">
        <w:trPr>
          <w:trHeight w:hRule="exact" w:val="317"/>
          <w:jc w:val="center"/>
        </w:trPr>
        <w:tc>
          <w:tcPr>
            <w:tcW w:w="3888" w:type="dxa"/>
            <w:gridSpan w:val="2"/>
            <w:tcBorders>
              <w:top w:val="single" w:sz="4" w:space="0" w:color="auto"/>
              <w:left w:val="single" w:sz="4" w:space="0" w:color="auto"/>
            </w:tcBorders>
            <w:shd w:val="clear" w:color="auto" w:fill="auto"/>
          </w:tcPr>
          <w:p w:rsidR="00C45733" w:rsidRDefault="00C45733">
            <w:pPr>
              <w:rPr>
                <w:sz w:val="10"/>
                <w:szCs w:val="10"/>
              </w:rPr>
            </w:pP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jc w:val="right"/>
              <w:rPr>
                <w:sz w:val="18"/>
                <w:szCs w:val="18"/>
              </w:rPr>
            </w:pPr>
            <w:r>
              <w:rPr>
                <w:rStyle w:val="Other1"/>
                <w:b/>
                <w:bCs/>
                <w:sz w:val="18"/>
                <w:szCs w:val="18"/>
              </w:rPr>
              <w:t>č. místnosti</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jc w:val="center"/>
              <w:rPr>
                <w:sz w:val="18"/>
                <w:szCs w:val="18"/>
              </w:rPr>
            </w:pPr>
            <w:r>
              <w:rPr>
                <w:rStyle w:val="Other1"/>
                <w:b/>
                <w:bCs/>
                <w:sz w:val="18"/>
                <w:szCs w:val="18"/>
              </w:rPr>
              <w:t>plocha v m</w:t>
            </w:r>
            <w:r>
              <w:rPr>
                <w:rStyle w:val="Other1"/>
                <w:b/>
                <w:bCs/>
                <w:sz w:val="18"/>
                <w:szCs w:val="18"/>
                <w:vertAlign w:val="superscript"/>
              </w:rPr>
              <w:t>2</w:t>
            </w:r>
          </w:p>
        </w:tc>
      </w:tr>
      <w:tr w:rsidR="00C45733">
        <w:trPr>
          <w:trHeight w:hRule="exact" w:val="312"/>
          <w:jc w:val="center"/>
        </w:trPr>
        <w:tc>
          <w:tcPr>
            <w:tcW w:w="1282" w:type="dxa"/>
            <w:vMerge w:val="restart"/>
            <w:tcBorders>
              <w:top w:val="single" w:sz="4" w:space="0" w:color="auto"/>
              <w:left w:val="single" w:sz="4" w:space="0" w:color="auto"/>
            </w:tcBorders>
            <w:shd w:val="clear" w:color="auto" w:fill="auto"/>
          </w:tcPr>
          <w:p w:rsidR="00C45733" w:rsidRDefault="004F1D06">
            <w:pPr>
              <w:pStyle w:val="Other10"/>
              <w:spacing w:after="0"/>
              <w:rPr>
                <w:sz w:val="18"/>
                <w:szCs w:val="18"/>
              </w:rPr>
            </w:pPr>
            <w:r>
              <w:rPr>
                <w:rStyle w:val="Other1"/>
                <w:b/>
                <w:bCs/>
                <w:sz w:val="18"/>
                <w:szCs w:val="18"/>
              </w:rPr>
              <w:t>1. NP</w:t>
            </w:r>
          </w:p>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sklad špinavého prádla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38.1.01</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360"/>
              <w:rPr>
                <w:sz w:val="18"/>
                <w:szCs w:val="18"/>
              </w:rPr>
            </w:pPr>
            <w:r>
              <w:rPr>
                <w:rStyle w:val="Other1"/>
                <w:sz w:val="18"/>
                <w:szCs w:val="18"/>
              </w:rPr>
              <w:t>24,87</w:t>
            </w:r>
          </w:p>
        </w:tc>
      </w:tr>
      <w:tr w:rsidR="00C45733">
        <w:trPr>
          <w:trHeight w:hRule="exact" w:val="307"/>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třídění čistého prádla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38.1.02</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360"/>
              <w:rPr>
                <w:sz w:val="18"/>
                <w:szCs w:val="18"/>
              </w:rPr>
            </w:pPr>
            <w:r>
              <w:rPr>
                <w:rStyle w:val="Other1"/>
                <w:sz w:val="18"/>
                <w:szCs w:val="18"/>
              </w:rPr>
              <w:t>72,60</w:t>
            </w:r>
          </w:p>
        </w:tc>
      </w:tr>
      <w:tr w:rsidR="00C45733">
        <w:trPr>
          <w:trHeight w:hRule="exact" w:val="307"/>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šicí dílna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38.1.03</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360"/>
              <w:rPr>
                <w:sz w:val="18"/>
                <w:szCs w:val="18"/>
              </w:rPr>
            </w:pPr>
            <w:r>
              <w:rPr>
                <w:rStyle w:val="Other1"/>
                <w:sz w:val="18"/>
                <w:szCs w:val="18"/>
              </w:rPr>
              <w:t>11,35</w:t>
            </w:r>
          </w:p>
        </w:tc>
      </w:tr>
      <w:tr w:rsidR="00C45733">
        <w:trPr>
          <w:trHeight w:hRule="exact" w:val="312"/>
          <w:jc w:val="center"/>
        </w:trPr>
        <w:tc>
          <w:tcPr>
            <w:tcW w:w="1282" w:type="dxa"/>
            <w:vMerge w:val="restart"/>
            <w:tcBorders>
              <w:top w:val="single" w:sz="4" w:space="0" w:color="auto"/>
              <w:left w:val="single" w:sz="4" w:space="0" w:color="auto"/>
            </w:tcBorders>
            <w:shd w:val="clear" w:color="auto" w:fill="auto"/>
          </w:tcPr>
          <w:p w:rsidR="00C45733" w:rsidRDefault="004F1D06">
            <w:pPr>
              <w:pStyle w:val="Other10"/>
              <w:spacing w:after="0"/>
              <w:rPr>
                <w:sz w:val="18"/>
                <w:szCs w:val="18"/>
              </w:rPr>
            </w:pPr>
            <w:r>
              <w:rPr>
                <w:rStyle w:val="Other1"/>
                <w:b/>
                <w:bCs/>
                <w:sz w:val="18"/>
                <w:szCs w:val="18"/>
              </w:rPr>
              <w:t>2. NP</w:t>
            </w:r>
          </w:p>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předsíň</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38.2.01</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400"/>
              <w:rPr>
                <w:sz w:val="18"/>
                <w:szCs w:val="18"/>
              </w:rPr>
            </w:pPr>
            <w:r>
              <w:rPr>
                <w:rStyle w:val="Other1"/>
                <w:sz w:val="18"/>
                <w:szCs w:val="18"/>
              </w:rPr>
              <w:t>5,85</w:t>
            </w:r>
          </w:p>
        </w:tc>
      </w:tr>
      <w:tr w:rsidR="00C45733">
        <w:trPr>
          <w:trHeight w:hRule="exact" w:val="312"/>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šatna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38.2.02</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400"/>
              <w:rPr>
                <w:sz w:val="18"/>
                <w:szCs w:val="18"/>
              </w:rPr>
            </w:pPr>
            <w:r>
              <w:rPr>
                <w:rStyle w:val="Other1"/>
                <w:sz w:val="18"/>
                <w:szCs w:val="18"/>
              </w:rPr>
              <w:t>3,56</w:t>
            </w:r>
          </w:p>
        </w:tc>
      </w:tr>
      <w:tr w:rsidR="00C45733">
        <w:trPr>
          <w:trHeight w:hRule="exact" w:val="307"/>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šatna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38.2.03</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360"/>
              <w:rPr>
                <w:sz w:val="18"/>
                <w:szCs w:val="18"/>
              </w:rPr>
            </w:pPr>
            <w:r>
              <w:rPr>
                <w:rStyle w:val="Other1"/>
                <w:sz w:val="18"/>
                <w:szCs w:val="18"/>
              </w:rPr>
              <w:t>19,29</w:t>
            </w:r>
          </w:p>
        </w:tc>
      </w:tr>
      <w:tr w:rsidR="00C45733">
        <w:trPr>
          <w:trHeight w:hRule="exact" w:val="307"/>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WC</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38.2.04</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400"/>
              <w:rPr>
                <w:sz w:val="18"/>
                <w:szCs w:val="18"/>
              </w:rPr>
            </w:pPr>
            <w:r>
              <w:rPr>
                <w:rStyle w:val="Other1"/>
                <w:sz w:val="18"/>
                <w:szCs w:val="18"/>
              </w:rPr>
              <w:t>5,14</w:t>
            </w:r>
          </w:p>
        </w:tc>
      </w:tr>
      <w:tr w:rsidR="00C45733">
        <w:trPr>
          <w:trHeight w:hRule="exact" w:val="312"/>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sprcha</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38.2.05</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400"/>
              <w:rPr>
                <w:sz w:val="18"/>
                <w:szCs w:val="18"/>
              </w:rPr>
            </w:pPr>
            <w:r>
              <w:rPr>
                <w:rStyle w:val="Other1"/>
                <w:sz w:val="18"/>
                <w:szCs w:val="18"/>
              </w:rPr>
              <w:t>2,11</w:t>
            </w:r>
          </w:p>
        </w:tc>
      </w:tr>
      <w:tr w:rsidR="00C45733">
        <w:trPr>
          <w:trHeight w:hRule="exact" w:val="312"/>
          <w:jc w:val="center"/>
        </w:trPr>
        <w:tc>
          <w:tcPr>
            <w:tcW w:w="1282" w:type="dxa"/>
            <w:vMerge/>
            <w:tcBorders>
              <w:left w:val="single" w:sz="4" w:space="0" w:color="auto"/>
            </w:tcBorders>
            <w:shd w:val="clear" w:color="auto" w:fill="auto"/>
          </w:tcPr>
          <w:p w:rsidR="00C45733" w:rsidRDefault="00C45733"/>
        </w:tc>
        <w:tc>
          <w:tcPr>
            <w:tcW w:w="2606" w:type="dxa"/>
            <w:tcBorders>
              <w:top w:val="single" w:sz="4" w:space="0" w:color="auto"/>
              <w:left w:val="single" w:sz="4" w:space="0" w:color="auto"/>
            </w:tcBorders>
            <w:shd w:val="clear" w:color="auto" w:fill="auto"/>
            <w:vAlign w:val="bottom"/>
          </w:tcPr>
          <w:p w:rsidR="00C45733" w:rsidRDefault="004F1D06">
            <w:pPr>
              <w:pStyle w:val="Other10"/>
              <w:spacing w:after="0"/>
              <w:rPr>
                <w:sz w:val="18"/>
                <w:szCs w:val="18"/>
              </w:rPr>
            </w:pPr>
            <w:r>
              <w:rPr>
                <w:rStyle w:val="Other1"/>
                <w:sz w:val="18"/>
                <w:szCs w:val="18"/>
              </w:rPr>
              <w:t>technická místnost</w:t>
            </w:r>
          </w:p>
        </w:tc>
        <w:tc>
          <w:tcPr>
            <w:tcW w:w="1171" w:type="dxa"/>
            <w:tcBorders>
              <w:top w:val="single" w:sz="4" w:space="0" w:color="auto"/>
              <w:left w:val="single" w:sz="4" w:space="0" w:color="auto"/>
            </w:tcBorders>
            <w:shd w:val="clear" w:color="auto" w:fill="auto"/>
            <w:vAlign w:val="bottom"/>
          </w:tcPr>
          <w:p w:rsidR="00C45733" w:rsidRDefault="004F1D06">
            <w:pPr>
              <w:pStyle w:val="Other10"/>
              <w:spacing w:after="0"/>
              <w:ind w:firstLine="260"/>
              <w:rPr>
                <w:sz w:val="18"/>
                <w:szCs w:val="18"/>
              </w:rPr>
            </w:pPr>
            <w:r>
              <w:rPr>
                <w:rStyle w:val="Other1"/>
                <w:sz w:val="18"/>
                <w:szCs w:val="18"/>
              </w:rPr>
              <w:t>38.2.06</w:t>
            </w:r>
          </w:p>
        </w:tc>
        <w:tc>
          <w:tcPr>
            <w:tcW w:w="1210" w:type="dxa"/>
            <w:tcBorders>
              <w:top w:val="single" w:sz="4" w:space="0" w:color="auto"/>
              <w:left w:val="single" w:sz="4" w:space="0" w:color="auto"/>
              <w:right w:val="single" w:sz="4" w:space="0" w:color="auto"/>
            </w:tcBorders>
            <w:shd w:val="clear" w:color="auto" w:fill="auto"/>
            <w:vAlign w:val="bottom"/>
          </w:tcPr>
          <w:p w:rsidR="00C45733" w:rsidRDefault="004F1D06">
            <w:pPr>
              <w:pStyle w:val="Other10"/>
              <w:spacing w:after="0"/>
              <w:ind w:firstLine="400"/>
              <w:rPr>
                <w:sz w:val="18"/>
                <w:szCs w:val="18"/>
              </w:rPr>
            </w:pPr>
            <w:r>
              <w:rPr>
                <w:rStyle w:val="Other1"/>
                <w:sz w:val="18"/>
                <w:szCs w:val="18"/>
              </w:rPr>
              <w:t>3,26</w:t>
            </w:r>
          </w:p>
        </w:tc>
      </w:tr>
      <w:tr w:rsidR="00C45733">
        <w:trPr>
          <w:trHeight w:hRule="exact" w:val="322"/>
          <w:jc w:val="center"/>
        </w:trPr>
        <w:tc>
          <w:tcPr>
            <w:tcW w:w="5059" w:type="dxa"/>
            <w:gridSpan w:val="3"/>
            <w:tcBorders>
              <w:top w:val="single" w:sz="4" w:space="0" w:color="auto"/>
              <w:left w:val="single" w:sz="4" w:space="0" w:color="auto"/>
              <w:bottom w:val="single" w:sz="4" w:space="0" w:color="auto"/>
            </w:tcBorders>
            <w:shd w:val="clear" w:color="auto" w:fill="auto"/>
            <w:vAlign w:val="bottom"/>
          </w:tcPr>
          <w:p w:rsidR="00C45733" w:rsidRDefault="004F1D06">
            <w:pPr>
              <w:pStyle w:val="Other10"/>
              <w:spacing w:after="0"/>
              <w:rPr>
                <w:sz w:val="18"/>
                <w:szCs w:val="18"/>
              </w:rPr>
            </w:pPr>
            <w:r>
              <w:rPr>
                <w:rStyle w:val="Other1"/>
                <w:b/>
                <w:bCs/>
                <w:sz w:val="18"/>
                <w:szCs w:val="18"/>
              </w:rPr>
              <w:t>CELKEM m</w:t>
            </w:r>
            <w:r>
              <w:rPr>
                <w:rStyle w:val="Other1"/>
                <w:b/>
                <w:bCs/>
                <w:sz w:val="18"/>
                <w:szCs w:val="18"/>
                <w:vertAlign w:val="superscript"/>
              </w:rPr>
              <w:t>2</w:t>
            </w:r>
            <w:r>
              <w:rPr>
                <w:rStyle w:val="Other1"/>
                <w:b/>
                <w:bCs/>
                <w:sz w:val="18"/>
                <w:szCs w:val="18"/>
              </w:rPr>
              <w:t>:</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45733" w:rsidRDefault="004F1D06">
            <w:pPr>
              <w:pStyle w:val="Other10"/>
              <w:spacing w:after="0"/>
              <w:jc w:val="center"/>
              <w:rPr>
                <w:sz w:val="18"/>
                <w:szCs w:val="18"/>
              </w:rPr>
            </w:pPr>
            <w:r>
              <w:rPr>
                <w:rStyle w:val="Other1"/>
                <w:b/>
                <w:bCs/>
                <w:sz w:val="18"/>
                <w:szCs w:val="18"/>
              </w:rPr>
              <w:t>148,03</w:t>
            </w:r>
          </w:p>
        </w:tc>
      </w:tr>
    </w:tbl>
    <w:p w:rsidR="00C45733" w:rsidRDefault="00C45733">
      <w:pPr>
        <w:spacing w:after="219" w:line="1" w:lineRule="exact"/>
      </w:pPr>
    </w:p>
    <w:p w:rsidR="00C45733" w:rsidRDefault="004F1D06">
      <w:pPr>
        <w:pStyle w:val="Bodytext10"/>
        <w:numPr>
          <w:ilvl w:val="0"/>
          <w:numId w:val="5"/>
        </w:numPr>
        <w:tabs>
          <w:tab w:val="left" w:pos="1098"/>
        </w:tabs>
        <w:spacing w:after="0" w:line="134" w:lineRule="auto"/>
        <w:ind w:firstLine="740"/>
      </w:pPr>
      <w:r>
        <w:rPr>
          <w:rStyle w:val="Bodytext1"/>
        </w:rPr>
        <w:t>21,50 Kč/ m² měsíčně (celkem 114 m</w:t>
      </w:r>
      <w:r>
        <w:rPr>
          <w:rStyle w:val="Bodytext1"/>
          <w:vertAlign w:val="superscript"/>
        </w:rPr>
        <w:t>2</w:t>
      </w:r>
      <w:r>
        <w:rPr>
          <w:rStyle w:val="Bodytext1"/>
        </w:rPr>
        <w:t xml:space="preserve"> zpevněné plochy u objektu č. 38), tj. </w:t>
      </w:r>
      <w:r>
        <w:rPr>
          <w:rStyle w:val="Bodytext1"/>
          <w:b/>
          <w:bCs/>
        </w:rPr>
        <w:t>2.451,- Kč</w:t>
      </w:r>
    </w:p>
    <w:p w:rsidR="00C45733" w:rsidRDefault="004F1D06">
      <w:pPr>
        <w:pStyle w:val="Bodytext10"/>
        <w:spacing w:after="220"/>
        <w:ind w:left="1100"/>
      </w:pPr>
      <w:r>
        <w:rPr>
          <w:rStyle w:val="Bodytext1"/>
          <w:b/>
          <w:bCs/>
        </w:rPr>
        <w:t>měsíčně</w:t>
      </w:r>
      <w:r>
        <w:rPr>
          <w:rStyle w:val="Bodytext1"/>
        </w:rPr>
        <w:t>, tzn. 29.412,- Kč ročně.</w:t>
      </w:r>
    </w:p>
    <w:p w:rsidR="00C45733" w:rsidRDefault="004F1D06" w:rsidP="00262572">
      <w:pPr>
        <w:pStyle w:val="Bodytext10"/>
        <w:numPr>
          <w:ilvl w:val="0"/>
          <w:numId w:val="20"/>
        </w:numPr>
        <w:tabs>
          <w:tab w:val="left" w:pos="401"/>
        </w:tabs>
        <w:spacing w:after="220"/>
        <w:jc w:val="both"/>
      </w:pPr>
      <w:r>
        <w:rPr>
          <w:rStyle w:val="Bodytext1"/>
        </w:rPr>
        <w:t>Nájemné za užívání předmětu nájmu bude hrazeno předem měsíčně na základě faktury vystavené pronajímatelem, která bude mít náležitosti daňového dokladu dle zákona č. 235/2004 Sb., v platném znění. Datum uskutečnění zdanitelného plnění je první den měsíce fakturovaného období. Nájemci bude vystaven daňový doklad nejpozději do 15 dnů ode dne uskutečnění zdanitelného plnění se splatností 30 dnů ode dne vystavení tohoto dokladu.</w:t>
      </w:r>
    </w:p>
    <w:p w:rsidR="00C45733" w:rsidRDefault="004F1D06" w:rsidP="00262572">
      <w:pPr>
        <w:pStyle w:val="Bodytext10"/>
        <w:numPr>
          <w:ilvl w:val="0"/>
          <w:numId w:val="20"/>
        </w:numPr>
        <w:tabs>
          <w:tab w:val="left" w:pos="413"/>
        </w:tabs>
        <w:spacing w:after="0"/>
        <w:jc w:val="both"/>
      </w:pPr>
      <w:r>
        <w:rPr>
          <w:rStyle w:val="Bodytext1"/>
        </w:rPr>
        <w:t>V ceně nájemného nejsou zahrnuty úhrady za služby související s užíváním předmětu nájmu, které bude pronajímatel poskytovat nájemci:</w:t>
      </w:r>
    </w:p>
    <w:p w:rsidR="00C45733" w:rsidRDefault="004F1D06">
      <w:pPr>
        <w:pStyle w:val="Bodytext10"/>
        <w:numPr>
          <w:ilvl w:val="0"/>
          <w:numId w:val="6"/>
        </w:numPr>
        <w:tabs>
          <w:tab w:val="left" w:pos="1086"/>
        </w:tabs>
        <w:spacing w:after="0"/>
        <w:ind w:firstLine="740"/>
      </w:pPr>
      <w:r>
        <w:rPr>
          <w:rStyle w:val="Bodytext1"/>
        </w:rPr>
        <w:lastRenderedPageBreak/>
        <w:t>dodávka tepelné energie pro vytápění,</w:t>
      </w:r>
    </w:p>
    <w:p w:rsidR="00C45733" w:rsidRDefault="004F1D06">
      <w:pPr>
        <w:pStyle w:val="Bodytext10"/>
        <w:numPr>
          <w:ilvl w:val="0"/>
          <w:numId w:val="6"/>
        </w:numPr>
        <w:tabs>
          <w:tab w:val="left" w:pos="1086"/>
        </w:tabs>
        <w:spacing w:after="0"/>
        <w:ind w:firstLine="740"/>
      </w:pPr>
      <w:r>
        <w:rPr>
          <w:rStyle w:val="Bodytext1"/>
        </w:rPr>
        <w:t>dodávka pitné vody vč. srážkových vod,</w:t>
      </w:r>
    </w:p>
    <w:p w:rsidR="00C45733" w:rsidRDefault="004F1D06">
      <w:pPr>
        <w:pStyle w:val="Bodytext10"/>
        <w:numPr>
          <w:ilvl w:val="0"/>
          <w:numId w:val="6"/>
        </w:numPr>
        <w:tabs>
          <w:tab w:val="left" w:pos="1086"/>
        </w:tabs>
        <w:spacing w:after="220"/>
        <w:ind w:firstLine="740"/>
      </w:pPr>
      <w:r>
        <w:rPr>
          <w:rStyle w:val="Bodytext1"/>
        </w:rPr>
        <w:t>dodávka elektrické energie,</w:t>
      </w:r>
    </w:p>
    <w:p w:rsidR="00C45733" w:rsidRDefault="004F1D06">
      <w:pPr>
        <w:pStyle w:val="Heading410"/>
        <w:keepNext/>
        <w:keepLines/>
        <w:ind w:firstLine="740"/>
        <w:jc w:val="left"/>
      </w:pPr>
      <w:bookmarkStart w:id="7" w:name="bookmark15"/>
      <w:r>
        <w:rPr>
          <w:rStyle w:val="Heading41"/>
          <w:b/>
          <w:bCs/>
        </w:rPr>
        <w:t xml:space="preserve">viz </w:t>
      </w:r>
      <w:proofErr w:type="spellStart"/>
      <w:r>
        <w:rPr>
          <w:rStyle w:val="Heading41"/>
          <w:b/>
          <w:bCs/>
        </w:rPr>
        <w:t>pís</w:t>
      </w:r>
      <w:proofErr w:type="spellEnd"/>
      <w:r>
        <w:rPr>
          <w:rStyle w:val="Heading41"/>
          <w:b/>
          <w:bCs/>
        </w:rPr>
        <w:t>. a)</w:t>
      </w:r>
      <w:bookmarkEnd w:id="7"/>
    </w:p>
    <w:p w:rsidR="00C45733" w:rsidRDefault="004F1D06">
      <w:pPr>
        <w:pStyle w:val="Heading410"/>
        <w:keepNext/>
        <w:keepLines/>
        <w:ind w:firstLine="740"/>
        <w:jc w:val="left"/>
      </w:pPr>
      <w:r>
        <w:rPr>
          <w:rStyle w:val="Heading41"/>
          <w:b/>
          <w:bCs/>
        </w:rPr>
        <w:t>Tepelná energie pro vytápění</w:t>
      </w:r>
    </w:p>
    <w:p w:rsidR="00C45733" w:rsidRDefault="004F1D06">
      <w:pPr>
        <w:pStyle w:val="Bodytext10"/>
        <w:spacing w:after="0"/>
        <w:ind w:firstLine="740"/>
        <w:jc w:val="both"/>
      </w:pPr>
      <w:r>
        <w:rPr>
          <w:rStyle w:val="Bodytext1"/>
        </w:rPr>
        <w:t>Dodávka tepla pro objekt č. 38 je uskutečňována z rozvodů výměníkové stanice záložní kotelny.</w:t>
      </w:r>
    </w:p>
    <w:p w:rsidR="00C45733" w:rsidRDefault="004F1D06">
      <w:pPr>
        <w:pStyle w:val="Bodytext10"/>
        <w:spacing w:after="0"/>
        <w:ind w:firstLine="740"/>
      </w:pPr>
      <w:r>
        <w:rPr>
          <w:rStyle w:val="Bodytext1"/>
        </w:rPr>
        <w:t>Spotřeba tepla je měřena na sekundárním rozvodu.</w:t>
      </w:r>
    </w:p>
    <w:p w:rsidR="00C45733" w:rsidRDefault="004F1D06">
      <w:pPr>
        <w:pStyle w:val="Bodytext10"/>
        <w:spacing w:after="220"/>
        <w:ind w:left="740" w:firstLine="20"/>
        <w:jc w:val="both"/>
      </w:pPr>
      <w:r>
        <w:rPr>
          <w:rStyle w:val="Bodytext1"/>
        </w:rPr>
        <w:t xml:space="preserve">Z celkové spotřeby naměřené tepelné energie pro přípravu tepla v objektu č. 38 bude nájemci účtováno měsíčně </w:t>
      </w:r>
      <w:r>
        <w:rPr>
          <w:rStyle w:val="Bodytext1"/>
          <w:b/>
          <w:bCs/>
        </w:rPr>
        <w:t xml:space="preserve">56,46 % </w:t>
      </w:r>
      <w:r>
        <w:rPr>
          <w:rStyle w:val="Bodytext1"/>
        </w:rPr>
        <w:t xml:space="preserve">spotřebované energie, za cenu podle aktuální ceny dodavatele tepelné energie. Výpočet procentního podílu - viz. </w:t>
      </w:r>
      <w:r>
        <w:rPr>
          <w:rStyle w:val="Bodytext1"/>
          <w:b/>
          <w:bCs/>
          <w:u w:val="single"/>
        </w:rPr>
        <w:t>Příloha č. 2</w:t>
      </w:r>
      <w:r>
        <w:rPr>
          <w:rStyle w:val="Bodytext1"/>
          <w:b/>
          <w:bCs/>
        </w:rPr>
        <w:t>: Příloha k platbě za Energie – část I. Výpočet podílu na vytápění</w:t>
      </w:r>
    </w:p>
    <w:p w:rsidR="00C45733" w:rsidRDefault="004F1D06">
      <w:pPr>
        <w:pStyle w:val="Heading410"/>
        <w:keepNext/>
        <w:keepLines/>
        <w:ind w:firstLine="740"/>
        <w:jc w:val="left"/>
      </w:pPr>
      <w:bookmarkStart w:id="8" w:name="bookmark18"/>
      <w:r>
        <w:rPr>
          <w:rStyle w:val="Heading41"/>
          <w:b/>
          <w:bCs/>
        </w:rPr>
        <w:t xml:space="preserve">viz </w:t>
      </w:r>
      <w:proofErr w:type="spellStart"/>
      <w:r>
        <w:rPr>
          <w:rStyle w:val="Heading41"/>
          <w:b/>
          <w:bCs/>
        </w:rPr>
        <w:t>pís</w:t>
      </w:r>
      <w:proofErr w:type="spellEnd"/>
      <w:r>
        <w:rPr>
          <w:rStyle w:val="Heading41"/>
          <w:b/>
          <w:bCs/>
        </w:rPr>
        <w:t>. b)</w:t>
      </w:r>
      <w:bookmarkEnd w:id="8"/>
    </w:p>
    <w:p w:rsidR="00C45733" w:rsidRDefault="004F1D06">
      <w:pPr>
        <w:pStyle w:val="Bodytext10"/>
        <w:spacing w:after="220"/>
        <w:ind w:left="740" w:firstLine="20"/>
        <w:jc w:val="both"/>
      </w:pPr>
      <w:r>
        <w:rPr>
          <w:rStyle w:val="Bodytext1"/>
          <w:b/>
          <w:bCs/>
        </w:rPr>
        <w:t>Pitná voda</w:t>
      </w:r>
      <w:r>
        <w:rPr>
          <w:rStyle w:val="Bodytext1"/>
        </w:rPr>
        <w:t>: paušál 2,16 m</w:t>
      </w:r>
      <w:r>
        <w:rPr>
          <w:rStyle w:val="Bodytext1"/>
          <w:vertAlign w:val="superscript"/>
        </w:rPr>
        <w:t>3</w:t>
      </w:r>
      <w:r>
        <w:rPr>
          <w:rStyle w:val="Bodytext1"/>
        </w:rPr>
        <w:t xml:space="preserve"> osobu/měsíc, celkem 6 osob, 12,96 m</w:t>
      </w:r>
      <w:r>
        <w:rPr>
          <w:rStyle w:val="Bodytext1"/>
          <w:vertAlign w:val="superscript"/>
        </w:rPr>
        <w:t>2</w:t>
      </w:r>
      <w:r>
        <w:rPr>
          <w:rStyle w:val="Bodytext1"/>
        </w:rPr>
        <w:t xml:space="preserve"> měsíčně x dle aktuálních cen dodavatele. Výpočet paušálu viz. </w:t>
      </w:r>
      <w:r>
        <w:rPr>
          <w:rStyle w:val="Bodytext1"/>
          <w:b/>
          <w:bCs/>
          <w:u w:val="single"/>
        </w:rPr>
        <w:t>Příloha č. 2</w:t>
      </w:r>
      <w:r>
        <w:rPr>
          <w:rStyle w:val="Bodytext1"/>
          <w:b/>
          <w:bCs/>
        </w:rPr>
        <w:t>: Příloha k platbě za Energie – část III. Směrná čísla roční potřeby vody</w:t>
      </w:r>
    </w:p>
    <w:p w:rsidR="00C45733" w:rsidRDefault="004F1D06">
      <w:pPr>
        <w:pStyle w:val="Bodytext10"/>
        <w:spacing w:after="0"/>
        <w:ind w:left="740" w:firstLine="20"/>
        <w:jc w:val="both"/>
      </w:pPr>
      <w:r>
        <w:rPr>
          <w:rStyle w:val="Bodytext1"/>
          <w:b/>
          <w:bCs/>
        </w:rPr>
        <w:t>Srážkové vody za objekt a parkovací plochy</w:t>
      </w:r>
      <w:r>
        <w:rPr>
          <w:rStyle w:val="Bodytext1"/>
        </w:rPr>
        <w:t>: 169,22 m</w:t>
      </w:r>
      <w:r>
        <w:rPr>
          <w:rStyle w:val="Bodytext1"/>
          <w:vertAlign w:val="superscript"/>
        </w:rPr>
        <w:t>2</w:t>
      </w:r>
      <w:r>
        <w:rPr>
          <w:rStyle w:val="Bodytext1"/>
        </w:rPr>
        <w:t xml:space="preserve"> x 0,9 (odtokový činitel) x 0,754 (koeficient dlouhodobého srážkového úhrnu) = 114,83 m</w:t>
      </w:r>
      <w:r>
        <w:rPr>
          <w:rStyle w:val="Bodytext1"/>
          <w:vertAlign w:val="superscript"/>
        </w:rPr>
        <w:t>3</w:t>
      </w:r>
      <w:r>
        <w:rPr>
          <w:rStyle w:val="Bodytext1"/>
        </w:rPr>
        <w:t xml:space="preserve"> ročně, měsíčně 9,57 m</w:t>
      </w:r>
      <w:r>
        <w:rPr>
          <w:rStyle w:val="Bodytext1"/>
          <w:vertAlign w:val="superscript"/>
        </w:rPr>
        <w:t>3</w:t>
      </w:r>
      <w:r>
        <w:rPr>
          <w:rStyle w:val="Bodytext1"/>
        </w:rPr>
        <w:t xml:space="preserve"> x cena stočného dle aktuálních cen dodavatele. Výpočet viz </w:t>
      </w:r>
      <w:r>
        <w:rPr>
          <w:rStyle w:val="Bodytext1"/>
          <w:b/>
          <w:bCs/>
          <w:u w:val="single"/>
        </w:rPr>
        <w:t>Příloha č. 2</w:t>
      </w:r>
      <w:r>
        <w:rPr>
          <w:rStyle w:val="Bodytext1"/>
          <w:b/>
          <w:bCs/>
        </w:rPr>
        <w:t>: Příloha k platbě za Energie – část II. Výpočet podílu střechy na srážkovou vodu</w:t>
      </w:r>
    </w:p>
    <w:p w:rsidR="00C45733" w:rsidRDefault="004F1D06">
      <w:pPr>
        <w:pStyle w:val="Bodytext10"/>
        <w:spacing w:after="220"/>
        <w:ind w:left="740" w:firstLine="20"/>
        <w:jc w:val="both"/>
      </w:pPr>
      <w:r>
        <w:rPr>
          <w:rStyle w:val="Bodytext1"/>
        </w:rPr>
        <w:t xml:space="preserve">Výpočet srážkové vody dle ustanovení zákona č. 274/2001 Sb., o vodovodech a kanalizacích pro veřejnou potřebu, zajišťuje provozovatel kanalizací rovněž odváděním srážkových vod. viz. </w:t>
      </w:r>
      <w:r>
        <w:rPr>
          <w:rStyle w:val="Bodytext1"/>
          <w:b/>
          <w:bCs/>
          <w:u w:val="single"/>
        </w:rPr>
        <w:t>Příloha č. 3:</w:t>
      </w:r>
      <w:r>
        <w:rPr>
          <w:rStyle w:val="Bodytext1"/>
          <w:b/>
          <w:bCs/>
        </w:rPr>
        <w:t xml:space="preserve"> Odvádění srážkových vod Vodárna Zlín a.s.</w:t>
      </w:r>
    </w:p>
    <w:p w:rsidR="00C45733" w:rsidRDefault="004F1D06">
      <w:pPr>
        <w:pStyle w:val="Heading410"/>
        <w:keepNext/>
        <w:keepLines/>
        <w:ind w:firstLine="740"/>
        <w:jc w:val="left"/>
      </w:pPr>
      <w:bookmarkStart w:id="9" w:name="bookmark20"/>
      <w:r>
        <w:rPr>
          <w:rStyle w:val="Heading41"/>
          <w:b/>
          <w:bCs/>
        </w:rPr>
        <w:t xml:space="preserve">viz </w:t>
      </w:r>
      <w:proofErr w:type="spellStart"/>
      <w:r>
        <w:rPr>
          <w:rStyle w:val="Heading41"/>
          <w:b/>
          <w:bCs/>
        </w:rPr>
        <w:t>pís</w:t>
      </w:r>
      <w:proofErr w:type="spellEnd"/>
      <w:r>
        <w:rPr>
          <w:rStyle w:val="Heading41"/>
          <w:b/>
          <w:bCs/>
        </w:rPr>
        <w:t>. c)</w:t>
      </w:r>
      <w:bookmarkEnd w:id="9"/>
    </w:p>
    <w:p w:rsidR="00C45733" w:rsidRDefault="004F1D06">
      <w:pPr>
        <w:pStyle w:val="Heading410"/>
        <w:keepNext/>
        <w:keepLines/>
        <w:ind w:firstLine="740"/>
        <w:jc w:val="left"/>
      </w:pPr>
      <w:r>
        <w:rPr>
          <w:rStyle w:val="Heading41"/>
          <w:b/>
          <w:bCs/>
        </w:rPr>
        <w:t>Dodávka elektrické energie</w:t>
      </w:r>
    </w:p>
    <w:p w:rsidR="00C45733" w:rsidRDefault="004F1D06">
      <w:pPr>
        <w:pStyle w:val="Bodytext10"/>
        <w:spacing w:after="460"/>
        <w:ind w:left="740" w:firstLine="20"/>
        <w:jc w:val="both"/>
      </w:pPr>
      <w:r>
        <w:rPr>
          <w:rStyle w:val="Bodytext1"/>
        </w:rPr>
        <w:t>Spotřeba bude fakturována na základě údajů na podružném elektroměru a bude účtována dle aktuálních cen příslušného dodavatele.</w:t>
      </w:r>
    </w:p>
    <w:p w:rsidR="00C45733" w:rsidRDefault="004F1D06" w:rsidP="00262572">
      <w:pPr>
        <w:pStyle w:val="Bodytext10"/>
        <w:numPr>
          <w:ilvl w:val="0"/>
          <w:numId w:val="20"/>
        </w:numPr>
        <w:tabs>
          <w:tab w:val="left" w:pos="413"/>
        </w:tabs>
        <w:spacing w:after="220"/>
        <w:jc w:val="both"/>
      </w:pPr>
      <w:r>
        <w:rPr>
          <w:rStyle w:val="Bodytext1"/>
        </w:rPr>
        <w:t>Náklady na služby budou nájemcem hrazeny na základě pronajímatelem vystavené faktury dle vyúčtování jednotlivých služeb, a to vždy v měsíci následujícím po měsíci, ve kterém pronajímatel obdržel podklady od dodavatelů energií. Faktura bude splatná ve lhůtě 30 dnů od doručení faktury.</w:t>
      </w:r>
    </w:p>
    <w:p w:rsidR="00C45733" w:rsidRDefault="004F1D06" w:rsidP="00262572">
      <w:pPr>
        <w:pStyle w:val="Bodytext10"/>
        <w:numPr>
          <w:ilvl w:val="0"/>
          <w:numId w:val="20"/>
        </w:numPr>
        <w:tabs>
          <w:tab w:val="left" w:pos="413"/>
        </w:tabs>
        <w:spacing w:after="220"/>
        <w:jc w:val="both"/>
      </w:pPr>
      <w:r>
        <w:rPr>
          <w:rStyle w:val="Bodytext1"/>
        </w:rPr>
        <w:t xml:space="preserve">Sjednané platby nájemného a služeb jsou splatné na účet pronajímatele vedený u ČSOB, a.s., č. účtu: </w:t>
      </w:r>
      <w:r>
        <w:rPr>
          <w:rStyle w:val="Bodytext1"/>
          <w:b/>
          <w:bCs/>
        </w:rPr>
        <w:t>151203067/0300</w:t>
      </w:r>
      <w:r>
        <w:rPr>
          <w:rStyle w:val="Bodytext1"/>
        </w:rPr>
        <w:t>.</w:t>
      </w:r>
    </w:p>
    <w:p w:rsidR="00C45733" w:rsidRDefault="004F1D06" w:rsidP="00262572">
      <w:pPr>
        <w:pStyle w:val="Bodytext10"/>
        <w:numPr>
          <w:ilvl w:val="0"/>
          <w:numId w:val="20"/>
        </w:numPr>
        <w:tabs>
          <w:tab w:val="left" w:pos="413"/>
        </w:tabs>
        <w:spacing w:after="220"/>
        <w:jc w:val="both"/>
      </w:pPr>
      <w:r>
        <w:rPr>
          <w:rStyle w:val="Bodytext1"/>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rsidR="00C45733" w:rsidRDefault="004F1D06" w:rsidP="00262572">
      <w:pPr>
        <w:pStyle w:val="Bodytext10"/>
        <w:numPr>
          <w:ilvl w:val="0"/>
          <w:numId w:val="20"/>
        </w:numPr>
        <w:tabs>
          <w:tab w:val="left" w:pos="413"/>
        </w:tabs>
        <w:spacing w:after="460"/>
        <w:jc w:val="both"/>
      </w:pPr>
      <w:r>
        <w:rPr>
          <w:rStyle w:val="Bodytext1"/>
        </w:rPr>
        <w:t>Nájemce se zavazuje, že při ukončení nájemního vztahu uhradí částku připadající na spotřebované služby za předmětné období do doby ukončení nájemního vztahu, a to nejpozději do dne splatnosti uvedeného na vyúčtování pronajímatelem provedeném po ukončení nájemního vztahu ihned po obdržení podkladů od dodavatelů energií.</w:t>
      </w:r>
    </w:p>
    <w:p w:rsidR="00C45733" w:rsidRDefault="004F1D06" w:rsidP="00262572">
      <w:pPr>
        <w:pStyle w:val="Bodytext10"/>
        <w:numPr>
          <w:ilvl w:val="0"/>
          <w:numId w:val="20"/>
        </w:numPr>
        <w:tabs>
          <w:tab w:val="left" w:pos="413"/>
        </w:tabs>
        <w:spacing w:after="0"/>
        <w:jc w:val="both"/>
      </w:pPr>
      <w:r>
        <w:rPr>
          <w:rStyle w:val="Bodytext1"/>
        </w:rPr>
        <w:t>Základní nájemné lze změnit v důsledku změny míry inflace zjištěné podle oficiálních údajů ČSÚ za uplynulý kalendářní rok za těchto podmínek:</w:t>
      </w:r>
    </w:p>
    <w:p w:rsidR="00C45733" w:rsidRDefault="004F1D06">
      <w:pPr>
        <w:pStyle w:val="Bodytext10"/>
        <w:numPr>
          <w:ilvl w:val="0"/>
          <w:numId w:val="7"/>
        </w:numPr>
        <w:tabs>
          <w:tab w:val="left" w:pos="1412"/>
        </w:tabs>
        <w:spacing w:after="0"/>
        <w:ind w:left="1100"/>
        <w:jc w:val="both"/>
      </w:pPr>
      <w:r>
        <w:rPr>
          <w:rStyle w:val="Bodytext1"/>
        </w:rPr>
        <w:t>Cena uvedená v této smlouvě nebude měněna po dobu prvních 12 měsíců trvání</w:t>
      </w:r>
    </w:p>
    <w:p w:rsidR="00C45733" w:rsidRDefault="004F1D06">
      <w:pPr>
        <w:pStyle w:val="Bodytext10"/>
        <w:spacing w:after="0"/>
        <w:ind w:left="1460"/>
      </w:pPr>
      <w:r>
        <w:rPr>
          <w:rStyle w:val="Bodytext1"/>
        </w:rPr>
        <w:t>smlouvy.</w:t>
      </w:r>
    </w:p>
    <w:p w:rsidR="00C45733" w:rsidRDefault="004F1D06">
      <w:pPr>
        <w:pStyle w:val="Bodytext10"/>
        <w:numPr>
          <w:ilvl w:val="0"/>
          <w:numId w:val="7"/>
        </w:numPr>
        <w:tabs>
          <w:tab w:val="left" w:pos="1407"/>
        </w:tabs>
        <w:spacing w:after="0"/>
        <w:ind w:left="1100"/>
        <w:jc w:val="both"/>
      </w:pPr>
      <w:r>
        <w:rPr>
          <w:rStyle w:val="Bodytext1"/>
        </w:rPr>
        <w:t>Ve druhém a každém následujícím roce trvání smlouvy může být cena upravena</w:t>
      </w:r>
    </w:p>
    <w:p w:rsidR="00C45733" w:rsidRDefault="004F1D06">
      <w:pPr>
        <w:pStyle w:val="Bodytext10"/>
        <w:spacing w:after="0"/>
        <w:ind w:left="1460"/>
        <w:jc w:val="both"/>
      </w:pPr>
      <w:r>
        <w:rPr>
          <w:rStyle w:val="Bodytext1"/>
        </w:rPr>
        <w:t>v závislosti na hodnotě inflace zjištěné podle oficiálních údajů ČSÚ za uplynulý kalendářní rok, a to tehdy, pokud se míra inflace změní o více jak 5 % oproti míře inflace v předchozím kalendářním roce. Úpravy ceny mohou být provedeny tak, že se cena zvýší / sníží maximálně o stejné %, o které se změní míra inflace oproti míře inflace v předchozím kalendářním roce.</w:t>
      </w:r>
    </w:p>
    <w:p w:rsidR="00C45733" w:rsidRDefault="004F1D06">
      <w:pPr>
        <w:pStyle w:val="Bodytext10"/>
        <w:numPr>
          <w:ilvl w:val="0"/>
          <w:numId w:val="7"/>
        </w:numPr>
        <w:tabs>
          <w:tab w:val="left" w:pos="1445"/>
        </w:tabs>
        <w:spacing w:after="0"/>
        <w:ind w:left="1440" w:hanging="360"/>
        <w:jc w:val="both"/>
      </w:pPr>
      <w:r>
        <w:rPr>
          <w:rStyle w:val="Bodytext1"/>
        </w:rPr>
        <w:t xml:space="preserve">Úpravy ceny mohou být provedeny v okamžiku, kdy budou vydány oficiální údaje ČSÚ za uplynulý kalendářní rok, platnost úpravy ceny je však možné uplatňovat smluvními </w:t>
      </w:r>
      <w:r>
        <w:rPr>
          <w:rStyle w:val="Bodytext1"/>
        </w:rPr>
        <w:lastRenderedPageBreak/>
        <w:t>stranami zpětně k datu, kdy uplynulo prvních 12 měsíců trvání smlouvy (v 2. roce trvání smlouvy) a vždy dalších 12 měsíců (v dalších letech trvání smlouvy).</w:t>
      </w:r>
    </w:p>
    <w:p w:rsidR="00C45733" w:rsidRDefault="004F1D06">
      <w:pPr>
        <w:pStyle w:val="Bodytext10"/>
        <w:numPr>
          <w:ilvl w:val="0"/>
          <w:numId w:val="7"/>
        </w:numPr>
        <w:tabs>
          <w:tab w:val="left" w:pos="1445"/>
        </w:tabs>
        <w:spacing w:after="0"/>
        <w:ind w:left="1440" w:hanging="360"/>
        <w:jc w:val="both"/>
      </w:pPr>
      <w:r>
        <w:rPr>
          <w:rStyle w:val="Bodytext1"/>
        </w:rPr>
        <w:t>O úpravu ceny musí smluvní strana požádat písemně druhou smluvní stranu nejpozději do 1 kalendářního měsíce od vydání oficiálních údajů ČSÚ za uplynulý kalendářní rok. Neučiní-li tak, cena zůstane v platnosti po dalších 12 měsíců platnosti smlouvy.</w:t>
      </w:r>
    </w:p>
    <w:p w:rsidR="00C45733" w:rsidRDefault="004F1D06">
      <w:pPr>
        <w:pStyle w:val="Bodytext10"/>
        <w:numPr>
          <w:ilvl w:val="0"/>
          <w:numId w:val="7"/>
        </w:numPr>
        <w:tabs>
          <w:tab w:val="left" w:pos="1445"/>
        </w:tabs>
        <w:spacing w:after="0"/>
        <w:ind w:left="1440" w:hanging="360"/>
        <w:jc w:val="both"/>
      </w:pPr>
      <w:r>
        <w:rPr>
          <w:rStyle w:val="Bodytext1"/>
        </w:rPr>
        <w:t>K úpravě ceny může dojít jen na základě dohody smluvních stran na základě uzavřeného písemného dodatku ke smlouvě.</w:t>
      </w:r>
    </w:p>
    <w:p w:rsidR="00C45733" w:rsidRDefault="004F1D06">
      <w:pPr>
        <w:pStyle w:val="Bodytext10"/>
        <w:numPr>
          <w:ilvl w:val="0"/>
          <w:numId w:val="7"/>
        </w:numPr>
        <w:tabs>
          <w:tab w:val="left" w:pos="1445"/>
        </w:tabs>
        <w:spacing w:after="680"/>
        <w:ind w:left="1440" w:hanging="360"/>
        <w:jc w:val="both"/>
      </w:pPr>
      <w:r>
        <w:rPr>
          <w:rStyle w:val="Bodytext1"/>
        </w:rPr>
        <w:t>Pokud dojde k dohodě smluvních stran, mohou smluvní strany uplatnit změny ceny k datu, kdy uplynulo prvních 12 měsíců trvání smlouvy (v 2. roce trvání smlouvy) a vždy dalších 12 měsíců (v dalších letech trvání smlouvy). V takovém případě jsou smluvní strany povinny provést doúčtování / vrácení částek odpovídajících sjednané úpravě ceny za platební období, ve kterém byla účtována původně sjednaná cena.</w:t>
      </w:r>
    </w:p>
    <w:p w:rsidR="00C45733" w:rsidRDefault="004F1D06" w:rsidP="00262572">
      <w:pPr>
        <w:pStyle w:val="Bodytext10"/>
        <w:numPr>
          <w:ilvl w:val="0"/>
          <w:numId w:val="20"/>
        </w:numPr>
        <w:tabs>
          <w:tab w:val="left" w:pos="380"/>
        </w:tabs>
        <w:spacing w:after="0"/>
        <w:jc w:val="both"/>
      </w:pPr>
      <w:r>
        <w:rPr>
          <w:rStyle w:val="Bodytext1"/>
        </w:rPr>
        <w:t>Pronajímatel je oprávněn jednostranně upravit dohodnutou výši úhrady za poskytované služby podle předchozího odstavce, jestliže se po uzavření smlouvy zvýší</w:t>
      </w:r>
    </w:p>
    <w:p w:rsidR="00C45733" w:rsidRDefault="004F1D06">
      <w:pPr>
        <w:pStyle w:val="Bodytext10"/>
        <w:numPr>
          <w:ilvl w:val="0"/>
          <w:numId w:val="8"/>
        </w:numPr>
        <w:tabs>
          <w:tab w:val="left" w:pos="700"/>
          <w:tab w:val="left" w:pos="1565"/>
        </w:tabs>
        <w:spacing w:after="0"/>
        <w:ind w:firstLine="460"/>
      </w:pPr>
      <w:r>
        <w:rPr>
          <w:rStyle w:val="Bodytext1"/>
        </w:rPr>
        <w:t>náklady</w:t>
      </w:r>
      <w:r>
        <w:rPr>
          <w:rStyle w:val="Bodytext1"/>
        </w:rPr>
        <w:tab/>
        <w:t>na vytápění nebytových prostor</w:t>
      </w:r>
    </w:p>
    <w:p w:rsidR="00C45733" w:rsidRDefault="004F1D06">
      <w:pPr>
        <w:pStyle w:val="Bodytext10"/>
        <w:numPr>
          <w:ilvl w:val="0"/>
          <w:numId w:val="8"/>
        </w:numPr>
        <w:tabs>
          <w:tab w:val="left" w:pos="700"/>
          <w:tab w:val="left" w:pos="1570"/>
        </w:tabs>
        <w:spacing w:after="0"/>
        <w:ind w:firstLine="460"/>
      </w:pPr>
      <w:r>
        <w:rPr>
          <w:rStyle w:val="Bodytext1"/>
        </w:rPr>
        <w:t>cena za</w:t>
      </w:r>
      <w:r>
        <w:rPr>
          <w:rStyle w:val="Bodytext1"/>
        </w:rPr>
        <w:tab/>
        <w:t>dodávky elektrické energie</w:t>
      </w:r>
    </w:p>
    <w:p w:rsidR="00C45733" w:rsidRDefault="004F1D06">
      <w:pPr>
        <w:pStyle w:val="Bodytext10"/>
        <w:numPr>
          <w:ilvl w:val="0"/>
          <w:numId w:val="8"/>
        </w:numPr>
        <w:tabs>
          <w:tab w:val="left" w:pos="700"/>
          <w:tab w:val="left" w:pos="1570"/>
        </w:tabs>
        <w:spacing w:after="0"/>
        <w:ind w:firstLine="460"/>
      </w:pPr>
      <w:r>
        <w:rPr>
          <w:rStyle w:val="Bodytext1"/>
        </w:rPr>
        <w:t>vodné a</w:t>
      </w:r>
      <w:r>
        <w:rPr>
          <w:rStyle w:val="Bodytext1"/>
        </w:rPr>
        <w:tab/>
        <w:t>stočné</w:t>
      </w:r>
    </w:p>
    <w:p w:rsidR="00C45733" w:rsidRDefault="004F1D06">
      <w:pPr>
        <w:pStyle w:val="Bodytext10"/>
        <w:spacing w:after="100"/>
        <w:ind w:left="360"/>
        <w:jc w:val="both"/>
      </w:pPr>
      <w:r>
        <w:rPr>
          <w:rStyle w:val="Bodytext1"/>
        </w:rPr>
        <w:t>oproti ceně v době uzavření smlouvy. Jednostranná úprava úhrady za poskytované služby bude provedena tak, že do sazby za úhradu služeb podle článku IV., odst. 3, bude přiměřeně promítnuta skutečná změna (zvýšení) ceny příslušné služby. Výše ceny (úhrady) za poskytované služby bude upravena i v případě změny procentní sazby daně z přidané hodnoty u dodávky elektrické energie, vodného a stočného nebo telefonních poplatků. Pronajímatel je povinen takovéto navýšení ceny doložit, například rozpisem záloh příslušných komodit, či jiným podkladem, prokazujícím navýšení smluvních cen.</w:t>
      </w:r>
    </w:p>
    <w:p w:rsidR="00C45733" w:rsidRDefault="004F1D06" w:rsidP="00262572">
      <w:pPr>
        <w:pStyle w:val="Bodytext10"/>
        <w:numPr>
          <w:ilvl w:val="0"/>
          <w:numId w:val="20"/>
        </w:numPr>
        <w:tabs>
          <w:tab w:val="left" w:pos="380"/>
        </w:tabs>
        <w:spacing w:after="220"/>
        <w:jc w:val="both"/>
      </w:pPr>
      <w:r>
        <w:rPr>
          <w:rStyle w:val="Bodytext1"/>
        </w:rPr>
        <w:t>Měsíční nájemné a cenu služeb je nájemce povinen platit měsíčně dle splatnosti faktury, a to převodem na účet pronajímatele. Fakturu je Pronajímatel povinen doručit Nájemci doporučeně na adresu jeho sídla.</w:t>
      </w:r>
    </w:p>
    <w:p w:rsidR="00C45733" w:rsidRDefault="004F1D06" w:rsidP="00262572">
      <w:pPr>
        <w:pStyle w:val="Bodytext10"/>
        <w:numPr>
          <w:ilvl w:val="0"/>
          <w:numId w:val="20"/>
        </w:numPr>
        <w:tabs>
          <w:tab w:val="left" w:pos="380"/>
        </w:tabs>
        <w:spacing w:after="220"/>
        <w:jc w:val="both"/>
      </w:pPr>
      <w:r>
        <w:rPr>
          <w:rStyle w:val="Bodytext1"/>
        </w:rPr>
        <w:t>Za zaplacení měsíčního nájemného a úhrady za poskytované služby podle předchozích odstavců se považuje připsání příslušné částky na účet pronajímatele. V případě prodlení se zaplacením platby je nájemce povinen platit pronajímateli úrok z prodlení ve výši 0,05 % z dlužné částky za každý den prodlení.</w:t>
      </w:r>
    </w:p>
    <w:p w:rsidR="00C45733" w:rsidRDefault="004F1D06" w:rsidP="00262572">
      <w:pPr>
        <w:pStyle w:val="Bodytext10"/>
        <w:numPr>
          <w:ilvl w:val="0"/>
          <w:numId w:val="20"/>
        </w:numPr>
        <w:tabs>
          <w:tab w:val="left" w:pos="380"/>
        </w:tabs>
        <w:spacing w:after="480"/>
        <w:jc w:val="both"/>
      </w:pPr>
      <w:r>
        <w:rPr>
          <w:rStyle w:val="Bodytext1"/>
        </w:rPr>
        <w:t>Pronajímatel poskytne nájemci bezúplatně jednu vnitropodnikovou linku (nebude z ní umožněno volat mimo vnitropodnikovou síť).</w:t>
      </w:r>
    </w:p>
    <w:p w:rsidR="00C45733" w:rsidRDefault="004F1D06">
      <w:pPr>
        <w:pStyle w:val="Heading410"/>
        <w:keepNext/>
        <w:keepLines/>
      </w:pPr>
      <w:bookmarkStart w:id="10" w:name="bookmark23"/>
      <w:r>
        <w:rPr>
          <w:rStyle w:val="Heading41"/>
          <w:b/>
          <w:bCs/>
        </w:rPr>
        <w:t>Článek V.</w:t>
      </w:r>
      <w:bookmarkEnd w:id="10"/>
    </w:p>
    <w:p w:rsidR="00C45733" w:rsidRDefault="004F1D06">
      <w:pPr>
        <w:pStyle w:val="Heading410"/>
        <w:keepNext/>
        <w:keepLines/>
        <w:spacing w:after="220"/>
      </w:pPr>
      <w:r>
        <w:rPr>
          <w:rStyle w:val="Heading41"/>
          <w:b/>
          <w:bCs/>
        </w:rPr>
        <w:t>Práva a povinnosti smluvních stran</w:t>
      </w:r>
    </w:p>
    <w:p w:rsidR="00C45733" w:rsidRDefault="004F1D06">
      <w:pPr>
        <w:pStyle w:val="Bodytext10"/>
        <w:numPr>
          <w:ilvl w:val="0"/>
          <w:numId w:val="9"/>
        </w:numPr>
        <w:tabs>
          <w:tab w:val="left" w:pos="378"/>
        </w:tabs>
        <w:spacing w:after="100"/>
      </w:pPr>
      <w:r>
        <w:rPr>
          <w:rStyle w:val="Bodytext1"/>
        </w:rPr>
        <w:t>Pronajímatel je povinen:</w:t>
      </w:r>
    </w:p>
    <w:p w:rsidR="00C45733" w:rsidRDefault="004F1D06">
      <w:pPr>
        <w:pStyle w:val="Bodytext10"/>
        <w:numPr>
          <w:ilvl w:val="0"/>
          <w:numId w:val="10"/>
        </w:numPr>
        <w:tabs>
          <w:tab w:val="left" w:pos="378"/>
        </w:tabs>
        <w:spacing w:after="0"/>
      </w:pPr>
      <w:r>
        <w:rPr>
          <w:rStyle w:val="Bodytext1"/>
        </w:rPr>
        <w:t>předat nájemci pronajaté prostory ve stavu způsobilém k obvyklému užívání</w:t>
      </w:r>
    </w:p>
    <w:p w:rsidR="00C45733" w:rsidRDefault="004F1D06">
      <w:pPr>
        <w:pStyle w:val="Bodytext10"/>
        <w:numPr>
          <w:ilvl w:val="0"/>
          <w:numId w:val="10"/>
        </w:numPr>
        <w:tabs>
          <w:tab w:val="left" w:pos="378"/>
        </w:tabs>
        <w:spacing w:after="0"/>
      </w:pPr>
      <w:r>
        <w:rPr>
          <w:rStyle w:val="Bodytext1"/>
        </w:rPr>
        <w:t>poskytovat dohodnuté služby spojené s užíváním pronajatých prostor</w:t>
      </w:r>
    </w:p>
    <w:p w:rsidR="00C45733" w:rsidRDefault="004F1D06">
      <w:pPr>
        <w:pStyle w:val="Bodytext10"/>
        <w:numPr>
          <w:ilvl w:val="0"/>
          <w:numId w:val="10"/>
        </w:numPr>
        <w:tabs>
          <w:tab w:val="left" w:pos="378"/>
        </w:tabs>
        <w:spacing w:after="0"/>
      </w:pPr>
      <w:r>
        <w:rPr>
          <w:rStyle w:val="Bodytext1"/>
        </w:rPr>
        <w:t>zajistit nájemci nerušené užívání předmětu nájmu po celou dobu nájmu</w:t>
      </w:r>
    </w:p>
    <w:p w:rsidR="00C45733" w:rsidRDefault="004F1D06">
      <w:pPr>
        <w:pStyle w:val="Bodytext10"/>
        <w:numPr>
          <w:ilvl w:val="0"/>
          <w:numId w:val="10"/>
        </w:numPr>
        <w:tabs>
          <w:tab w:val="left" w:pos="378"/>
        </w:tabs>
        <w:spacing w:after="0"/>
      </w:pPr>
      <w:r>
        <w:rPr>
          <w:rStyle w:val="Bodytext1"/>
        </w:rPr>
        <w:t>umožnit nájemci přístup do pronajatých prostor</w:t>
      </w:r>
    </w:p>
    <w:p w:rsidR="00C45733" w:rsidRDefault="004F1D06">
      <w:pPr>
        <w:pStyle w:val="Bodytext10"/>
        <w:numPr>
          <w:ilvl w:val="0"/>
          <w:numId w:val="10"/>
        </w:numPr>
        <w:tabs>
          <w:tab w:val="left" w:pos="378"/>
        </w:tabs>
        <w:spacing w:after="220"/>
      </w:pPr>
      <w:r>
        <w:rPr>
          <w:rStyle w:val="Bodytext1"/>
        </w:rPr>
        <w:t>udržovat věc v takovém stavu, aby mohla sloužit smluvnímu užívání</w:t>
      </w:r>
    </w:p>
    <w:p w:rsidR="00C45733" w:rsidRDefault="004F1D06">
      <w:pPr>
        <w:pStyle w:val="Bodytext10"/>
        <w:numPr>
          <w:ilvl w:val="0"/>
          <w:numId w:val="9"/>
        </w:numPr>
        <w:tabs>
          <w:tab w:val="left" w:pos="378"/>
        </w:tabs>
        <w:spacing w:after="100"/>
      </w:pPr>
      <w:r>
        <w:rPr>
          <w:rStyle w:val="Bodytext1"/>
        </w:rPr>
        <w:t>Pronajímatel je oprávněn:</w:t>
      </w:r>
    </w:p>
    <w:p w:rsidR="00C45733" w:rsidRDefault="004F1D06">
      <w:pPr>
        <w:pStyle w:val="Bodytext10"/>
        <w:numPr>
          <w:ilvl w:val="0"/>
          <w:numId w:val="11"/>
        </w:numPr>
        <w:tabs>
          <w:tab w:val="left" w:pos="378"/>
        </w:tabs>
        <w:spacing w:after="220"/>
        <w:ind w:left="360" w:hanging="360"/>
        <w:jc w:val="both"/>
      </w:pPr>
      <w:r>
        <w:rPr>
          <w:rStyle w:val="Bodytext1"/>
        </w:rPr>
        <w:t>vstoupit do pronajatých nebytových prostor spolu s osobou oprávněnou, jednat s nájemcem v pracovních dnech v běžných provozních hodinách nájemce, a to za účelem kontroly dodržování podmínek této smlouvy, jakož i provádění nutných oprav či provádění kontroly stavu pronajatých prostor,</w:t>
      </w:r>
    </w:p>
    <w:p w:rsidR="00C45733" w:rsidRDefault="004F1D06">
      <w:pPr>
        <w:pStyle w:val="Bodytext10"/>
        <w:numPr>
          <w:ilvl w:val="0"/>
          <w:numId w:val="11"/>
        </w:numPr>
        <w:tabs>
          <w:tab w:val="left" w:pos="353"/>
        </w:tabs>
        <w:spacing w:after="220"/>
        <w:ind w:left="400" w:hanging="400"/>
        <w:jc w:val="both"/>
      </w:pPr>
      <w:r>
        <w:rPr>
          <w:rStyle w:val="Bodytext1"/>
        </w:rPr>
        <w:t>ve výjimečných případech vstoupit do pronajatých nebytových prostor i mimo výše stanovenou pracovní dobu bez doprovodu nájemce nebo jím pověřené osoby, jestliže to vyžaduje náhle vzniklý havarijní stav či jiná podobná skutečnost.</w:t>
      </w:r>
    </w:p>
    <w:p w:rsidR="00C45733" w:rsidRDefault="004F1D06">
      <w:pPr>
        <w:pStyle w:val="Bodytext10"/>
        <w:numPr>
          <w:ilvl w:val="0"/>
          <w:numId w:val="9"/>
        </w:numPr>
        <w:tabs>
          <w:tab w:val="left" w:pos="353"/>
        </w:tabs>
        <w:jc w:val="both"/>
      </w:pPr>
      <w:r>
        <w:rPr>
          <w:rStyle w:val="Bodytext1"/>
        </w:rPr>
        <w:lastRenderedPageBreak/>
        <w:t>Nájemce je povinen:</w:t>
      </w:r>
    </w:p>
    <w:p w:rsidR="00C45733" w:rsidRDefault="004F1D06">
      <w:pPr>
        <w:pStyle w:val="Bodytext10"/>
        <w:numPr>
          <w:ilvl w:val="0"/>
          <w:numId w:val="12"/>
        </w:numPr>
        <w:tabs>
          <w:tab w:val="left" w:pos="353"/>
        </w:tabs>
        <w:spacing w:after="0"/>
        <w:ind w:left="400" w:hanging="400"/>
        <w:jc w:val="both"/>
      </w:pPr>
      <w:r>
        <w:rPr>
          <w:rStyle w:val="Bodytext1"/>
        </w:rPr>
        <w:t>převzít pronajaté prostory od pronajímatele a po skončení nájmu je vyklidit a vrátit ve stavu, v jakém je převzal, s přihlédnutím k obvyklému opotřebení,</w:t>
      </w:r>
    </w:p>
    <w:p w:rsidR="00C45733" w:rsidRDefault="004F1D06">
      <w:pPr>
        <w:pStyle w:val="Bodytext10"/>
        <w:numPr>
          <w:ilvl w:val="0"/>
          <w:numId w:val="12"/>
        </w:numPr>
        <w:tabs>
          <w:tab w:val="left" w:pos="353"/>
        </w:tabs>
        <w:spacing w:after="0"/>
        <w:ind w:left="400" w:hanging="400"/>
        <w:jc w:val="both"/>
      </w:pPr>
      <w:r>
        <w:rPr>
          <w:rStyle w:val="Bodytext1"/>
        </w:rPr>
        <w:t>užívat pronajaté prostory pouze k dohodnutému účelu (viz čl. II této smlouvy), k jinému účelu je prostory oprávněn užívat pouze s předchozím písemným souhlasem pronajímatele,</w:t>
      </w:r>
    </w:p>
    <w:p w:rsidR="00C45733" w:rsidRDefault="004F1D06">
      <w:pPr>
        <w:pStyle w:val="Bodytext10"/>
        <w:numPr>
          <w:ilvl w:val="0"/>
          <w:numId w:val="12"/>
        </w:numPr>
        <w:tabs>
          <w:tab w:val="left" w:pos="353"/>
        </w:tabs>
        <w:spacing w:after="0"/>
        <w:ind w:left="400" w:hanging="400"/>
        <w:jc w:val="both"/>
      </w:pPr>
      <w:r>
        <w:rPr>
          <w:rStyle w:val="Bodytext1"/>
        </w:rPr>
        <w:t>užívat pronajaté prostory v souladu se zásadami vyplývajícími z vnitřních provozních, požárních a hygienických předpisů pronajímatele, s nimiž byl před podpisem smlouvy seznámen,</w:t>
      </w:r>
    </w:p>
    <w:p w:rsidR="00C45733" w:rsidRDefault="004F1D06">
      <w:pPr>
        <w:pStyle w:val="Bodytext10"/>
        <w:numPr>
          <w:ilvl w:val="0"/>
          <w:numId w:val="12"/>
        </w:numPr>
        <w:tabs>
          <w:tab w:val="left" w:pos="353"/>
        </w:tabs>
        <w:spacing w:after="0"/>
        <w:jc w:val="both"/>
      </w:pPr>
      <w:r>
        <w:rPr>
          <w:rStyle w:val="Bodytext1"/>
        </w:rPr>
        <w:t>zajistit na své náklady běžný úklid pronajatých prostor,</w:t>
      </w:r>
    </w:p>
    <w:p w:rsidR="00C45733" w:rsidRDefault="004F1D06">
      <w:pPr>
        <w:pStyle w:val="Bodytext10"/>
        <w:numPr>
          <w:ilvl w:val="0"/>
          <w:numId w:val="12"/>
        </w:numPr>
        <w:tabs>
          <w:tab w:val="left" w:pos="353"/>
        </w:tabs>
        <w:spacing w:after="0"/>
        <w:jc w:val="both"/>
      </w:pPr>
      <w:r>
        <w:rPr>
          <w:rStyle w:val="Bodytext1"/>
        </w:rPr>
        <w:t>zajistit na své náklady běžnou údržbu pronajatých prostor,</w:t>
      </w:r>
    </w:p>
    <w:p w:rsidR="00C45733" w:rsidRDefault="004F1D06">
      <w:pPr>
        <w:pStyle w:val="Bodytext10"/>
        <w:numPr>
          <w:ilvl w:val="0"/>
          <w:numId w:val="12"/>
        </w:numPr>
        <w:tabs>
          <w:tab w:val="left" w:pos="353"/>
        </w:tabs>
        <w:spacing w:after="0"/>
        <w:ind w:left="400" w:hanging="400"/>
        <w:jc w:val="both"/>
      </w:pPr>
      <w:r>
        <w:rPr>
          <w:rStyle w:val="Bodytext1"/>
        </w:rPr>
        <w:t>zajistit plnění úkolů na úseku požární ochrany v pronajatých prostorách v souladu se zněním zákona č. 133/1985 Sb., o požární ochraně v platném znění, zejména s § 6 citovaného zákona a dále v souladu s prováděcími předpisy k tomuto zákonu v platném znění,</w:t>
      </w:r>
    </w:p>
    <w:p w:rsidR="00C45733" w:rsidRDefault="004F1D06">
      <w:pPr>
        <w:pStyle w:val="Bodytext10"/>
        <w:numPr>
          <w:ilvl w:val="0"/>
          <w:numId w:val="12"/>
        </w:numPr>
        <w:tabs>
          <w:tab w:val="left" w:pos="353"/>
        </w:tabs>
        <w:spacing w:after="0"/>
        <w:ind w:left="400" w:hanging="400"/>
        <w:jc w:val="both"/>
      </w:pPr>
      <w:r>
        <w:rPr>
          <w:rStyle w:val="Bodytext1"/>
        </w:rPr>
        <w:t>zdržet se všeho, čím by mohlo dojít na pronajatých prostorách ke vzniku škody a zajistit totéž u svých zaměstnanců a ostatních osob, kterým do pronajatých prostor umožní přístup,</w:t>
      </w:r>
    </w:p>
    <w:p w:rsidR="00C45733" w:rsidRDefault="004F1D06">
      <w:pPr>
        <w:pStyle w:val="Bodytext10"/>
        <w:numPr>
          <w:ilvl w:val="0"/>
          <w:numId w:val="12"/>
        </w:numPr>
        <w:tabs>
          <w:tab w:val="left" w:pos="353"/>
        </w:tabs>
        <w:spacing w:after="0"/>
        <w:jc w:val="both"/>
      </w:pPr>
      <w:r>
        <w:rPr>
          <w:rStyle w:val="Bodytext1"/>
        </w:rPr>
        <w:t>neprodleně oznámit pronajímateli havarijní stav a vznik závad v pronajatých prostorách,</w:t>
      </w:r>
    </w:p>
    <w:p w:rsidR="00C45733" w:rsidRDefault="004F1D06">
      <w:pPr>
        <w:pStyle w:val="Bodytext10"/>
        <w:numPr>
          <w:ilvl w:val="0"/>
          <w:numId w:val="12"/>
        </w:numPr>
        <w:tabs>
          <w:tab w:val="left" w:pos="353"/>
        </w:tabs>
        <w:spacing w:after="0"/>
        <w:jc w:val="both"/>
      </w:pPr>
      <w:r>
        <w:rPr>
          <w:rStyle w:val="Bodytext1"/>
        </w:rPr>
        <w:t>udržovat pronajaté prostory ve výborném stavu a vzhledu, udržovat vnější vzhled uklizený a</w:t>
      </w:r>
    </w:p>
    <w:p w:rsidR="00C45733" w:rsidRDefault="004F1D06">
      <w:pPr>
        <w:pStyle w:val="Bodytext10"/>
        <w:spacing w:after="220"/>
        <w:ind w:left="400"/>
        <w:jc w:val="both"/>
      </w:pPr>
      <w:r>
        <w:rPr>
          <w:rStyle w:val="Bodytext1"/>
        </w:rPr>
        <w:t>odpovídající příslušné úrovni prostředí, neumístí zde žádný nápis, pokud mu k tomu nedá pronajímatel výslovný souhlas.</w:t>
      </w:r>
    </w:p>
    <w:p w:rsidR="00C45733" w:rsidRDefault="004F1D06">
      <w:pPr>
        <w:pStyle w:val="Bodytext10"/>
        <w:numPr>
          <w:ilvl w:val="0"/>
          <w:numId w:val="9"/>
        </w:numPr>
        <w:tabs>
          <w:tab w:val="left" w:pos="353"/>
        </w:tabs>
        <w:ind w:left="400" w:hanging="400"/>
        <w:jc w:val="both"/>
      </w:pPr>
      <w:r>
        <w:rPr>
          <w:rStyle w:val="Bodytext1"/>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p>
    <w:p w:rsidR="00C45733" w:rsidRDefault="004F1D06">
      <w:pPr>
        <w:pStyle w:val="Bodytext10"/>
        <w:numPr>
          <w:ilvl w:val="0"/>
          <w:numId w:val="9"/>
        </w:numPr>
        <w:tabs>
          <w:tab w:val="left" w:pos="353"/>
        </w:tabs>
        <w:spacing w:after="220"/>
        <w:ind w:left="400" w:hanging="400"/>
        <w:jc w:val="both"/>
      </w:pPr>
      <w:r>
        <w:rPr>
          <w:rStyle w:val="Bodytext1"/>
        </w:rPr>
        <w:t>Nájemce není oprávněn bez předchozího písemného souhlasu pronajímatele přenechat pronajaté prostory do užívání jiné osoby.</w:t>
      </w:r>
    </w:p>
    <w:p w:rsidR="00C45733" w:rsidRDefault="004F1D06">
      <w:pPr>
        <w:pStyle w:val="Bodytext10"/>
        <w:numPr>
          <w:ilvl w:val="0"/>
          <w:numId w:val="9"/>
        </w:numPr>
        <w:tabs>
          <w:tab w:val="left" w:pos="353"/>
        </w:tabs>
        <w:spacing w:after="440"/>
        <w:ind w:left="400" w:hanging="400"/>
        <w:jc w:val="both"/>
      </w:pPr>
      <w:r>
        <w:rPr>
          <w:rStyle w:val="Bodytext1"/>
        </w:rPr>
        <w:t>Obě smluvní strany jsou povinny udržovat v tajnosti všechny skutečnosti, které tvoří předmět obchodního tajemství druhé smluvní strany.</w:t>
      </w:r>
    </w:p>
    <w:p w:rsidR="00C45733" w:rsidRDefault="004F1D06">
      <w:pPr>
        <w:pStyle w:val="Heading410"/>
        <w:keepNext/>
        <w:keepLines/>
      </w:pPr>
      <w:bookmarkStart w:id="11" w:name="bookmark26"/>
      <w:r>
        <w:rPr>
          <w:rStyle w:val="Heading41"/>
          <w:b/>
          <w:bCs/>
        </w:rPr>
        <w:t>Článek VI.</w:t>
      </w:r>
      <w:bookmarkEnd w:id="11"/>
    </w:p>
    <w:p w:rsidR="00C45733" w:rsidRDefault="004F1D06">
      <w:pPr>
        <w:pStyle w:val="Heading410"/>
        <w:keepNext/>
        <w:keepLines/>
        <w:spacing w:after="440"/>
      </w:pPr>
      <w:r>
        <w:rPr>
          <w:rStyle w:val="Heading41"/>
          <w:b/>
          <w:bCs/>
        </w:rPr>
        <w:t>Majetkové sankce</w:t>
      </w:r>
    </w:p>
    <w:p w:rsidR="00C45733" w:rsidRDefault="004F1D06">
      <w:pPr>
        <w:pStyle w:val="Bodytext10"/>
        <w:numPr>
          <w:ilvl w:val="0"/>
          <w:numId w:val="13"/>
        </w:numPr>
        <w:tabs>
          <w:tab w:val="left" w:pos="353"/>
        </w:tabs>
        <w:spacing w:after="220"/>
        <w:ind w:left="400" w:hanging="400"/>
        <w:jc w:val="both"/>
      </w:pPr>
      <w:r>
        <w:rPr>
          <w:rStyle w:val="Bodytext1"/>
        </w:rPr>
        <w:t xml:space="preserve">Pokud nájemce nevyklidí předmět nájmu ke dni skončení nájmu, resp. ve lhůtě do </w:t>
      </w:r>
      <w:proofErr w:type="gramStart"/>
      <w:r>
        <w:rPr>
          <w:rStyle w:val="Bodytext1"/>
        </w:rPr>
        <w:t>5-ti</w:t>
      </w:r>
      <w:proofErr w:type="gramEnd"/>
      <w:r>
        <w:rPr>
          <w:rStyle w:val="Bodytext1"/>
        </w:rPr>
        <w:t xml:space="preserve"> dnů od ukončení nájmu, je pronajímatel oprávněn požadovat smluvní pokutu ve výši 5.000,- Kč (slovy: </w:t>
      </w:r>
      <w:proofErr w:type="spellStart"/>
      <w:r>
        <w:rPr>
          <w:rStyle w:val="Bodytext1"/>
        </w:rPr>
        <w:t>pěttisíc</w:t>
      </w:r>
      <w:proofErr w:type="spellEnd"/>
      <w:r>
        <w:rPr>
          <w:rStyle w:val="Bodytext1"/>
        </w:rPr>
        <w:t xml:space="preserve"> korun českých) za každý jednotlivý den prodlení. Zaplacením smluvní pokuty se nezbavuje nájemce povinnosti uhradit pronajímateli vzniklou škodu.</w:t>
      </w:r>
    </w:p>
    <w:p w:rsidR="00C45733" w:rsidRDefault="004F1D06">
      <w:pPr>
        <w:pStyle w:val="Bodytext10"/>
        <w:numPr>
          <w:ilvl w:val="0"/>
          <w:numId w:val="13"/>
        </w:numPr>
        <w:tabs>
          <w:tab w:val="left" w:pos="353"/>
        </w:tabs>
        <w:spacing w:after="440"/>
        <w:ind w:left="400" w:hanging="400"/>
        <w:jc w:val="both"/>
      </w:pPr>
      <w:r>
        <w:rPr>
          <w:rStyle w:val="Bodytext1"/>
        </w:rPr>
        <w:t>Pronajímatel má při vymáhání své pohledávky vůči nájemci právo zadržet movité věci nájemce, které se nacházejí v pronajatých prostorách.</w:t>
      </w:r>
    </w:p>
    <w:p w:rsidR="00C45733" w:rsidRDefault="004F1D06">
      <w:pPr>
        <w:pStyle w:val="Heading410"/>
        <w:keepNext/>
        <w:keepLines/>
      </w:pPr>
      <w:bookmarkStart w:id="12" w:name="bookmark29"/>
      <w:r>
        <w:rPr>
          <w:rStyle w:val="Heading41"/>
          <w:b/>
          <w:bCs/>
        </w:rPr>
        <w:t>Článek VII.</w:t>
      </w:r>
      <w:bookmarkEnd w:id="12"/>
    </w:p>
    <w:p w:rsidR="00C45733" w:rsidRDefault="004F1D06">
      <w:pPr>
        <w:pStyle w:val="Heading410"/>
        <w:keepNext/>
        <w:keepLines/>
        <w:spacing w:after="120"/>
      </w:pPr>
      <w:r>
        <w:rPr>
          <w:rStyle w:val="Heading41"/>
          <w:b/>
          <w:bCs/>
        </w:rPr>
        <w:t>Ukončení nájmu</w:t>
      </w:r>
    </w:p>
    <w:p w:rsidR="00C45733" w:rsidRDefault="004F1D06">
      <w:pPr>
        <w:pStyle w:val="Bodytext10"/>
        <w:numPr>
          <w:ilvl w:val="0"/>
          <w:numId w:val="14"/>
        </w:numPr>
        <w:tabs>
          <w:tab w:val="left" w:pos="353"/>
        </w:tabs>
        <w:jc w:val="both"/>
      </w:pPr>
      <w:r>
        <w:rPr>
          <w:rStyle w:val="Bodytext1"/>
        </w:rPr>
        <w:t>Právní vztah založený touto smlouvou zanikne:</w:t>
      </w:r>
    </w:p>
    <w:p w:rsidR="00C45733" w:rsidRDefault="004F1D06">
      <w:pPr>
        <w:pStyle w:val="Bodytext10"/>
        <w:numPr>
          <w:ilvl w:val="0"/>
          <w:numId w:val="15"/>
        </w:numPr>
        <w:tabs>
          <w:tab w:val="left" w:pos="353"/>
        </w:tabs>
        <w:spacing w:after="0"/>
        <w:jc w:val="both"/>
      </w:pPr>
      <w:r>
        <w:rPr>
          <w:rStyle w:val="Bodytext1"/>
        </w:rPr>
        <w:t>písemnou dohodou obou smluvních stran,</w:t>
      </w:r>
    </w:p>
    <w:p w:rsidR="00C45733" w:rsidRDefault="004F1D06">
      <w:pPr>
        <w:pStyle w:val="Bodytext10"/>
        <w:numPr>
          <w:ilvl w:val="0"/>
          <w:numId w:val="15"/>
        </w:numPr>
        <w:tabs>
          <w:tab w:val="left" w:pos="353"/>
        </w:tabs>
        <w:spacing w:after="0"/>
        <w:ind w:left="400" w:hanging="400"/>
        <w:jc w:val="both"/>
      </w:pPr>
      <w:r>
        <w:rPr>
          <w:rStyle w:val="Bodytext1"/>
        </w:rPr>
        <w:t>písemnou výpovědí podanou některou ze smluvních stran a doručenou druhé smluvní straně – výpovědní lhůta činí dva měsíce a počíná běžet prvního dne měsíce následujícího po jejím doručení, nájem zaniká uplynutím výpovědní lhůty. Výpověď může každá ze stran podat i bez výslovného uvedení důvodu,</w:t>
      </w:r>
    </w:p>
    <w:p w:rsidR="00C45733" w:rsidRDefault="004F1D06">
      <w:pPr>
        <w:pStyle w:val="Bodytext10"/>
        <w:numPr>
          <w:ilvl w:val="0"/>
          <w:numId w:val="15"/>
        </w:numPr>
        <w:tabs>
          <w:tab w:val="left" w:pos="353"/>
        </w:tabs>
        <w:spacing w:after="220"/>
        <w:ind w:left="400" w:hanging="400"/>
        <w:jc w:val="both"/>
      </w:pPr>
      <w:r>
        <w:rPr>
          <w:rStyle w:val="Bodytext1"/>
        </w:rPr>
        <w:t>výpovědí nájmu bez výpovědní doby; výpověď bez výpovědní doby může podat každá ze smluvních stran pouze z důvodů dle odst. 2 a 3.</w:t>
      </w:r>
    </w:p>
    <w:p w:rsidR="00C45733" w:rsidRDefault="004F1D06">
      <w:pPr>
        <w:pStyle w:val="Bodytext10"/>
        <w:numPr>
          <w:ilvl w:val="0"/>
          <w:numId w:val="14"/>
        </w:numPr>
        <w:tabs>
          <w:tab w:val="left" w:pos="359"/>
        </w:tabs>
        <w:spacing w:after="0"/>
        <w:jc w:val="both"/>
      </w:pPr>
      <w:r>
        <w:rPr>
          <w:rStyle w:val="Bodytext1"/>
        </w:rPr>
        <w:t>Pronajímatel může vypovědět nájem bez výpovědní doby:</w:t>
      </w:r>
    </w:p>
    <w:p w:rsidR="00C45733" w:rsidRDefault="004F1D06">
      <w:pPr>
        <w:pStyle w:val="Bodytext10"/>
        <w:numPr>
          <w:ilvl w:val="0"/>
          <w:numId w:val="16"/>
        </w:numPr>
        <w:tabs>
          <w:tab w:val="left" w:pos="359"/>
        </w:tabs>
        <w:spacing w:after="0"/>
        <w:jc w:val="both"/>
      </w:pPr>
      <w:r>
        <w:rPr>
          <w:rStyle w:val="Bodytext1"/>
        </w:rPr>
        <w:t>je-li nájemce v prodlení s placením nájemného nebo služeb spojených s užíváním předmětu nájmu</w:t>
      </w:r>
    </w:p>
    <w:p w:rsidR="00C45733" w:rsidRDefault="004F1D06">
      <w:pPr>
        <w:pStyle w:val="Bodytext10"/>
        <w:spacing w:after="0"/>
        <w:ind w:firstLine="420"/>
        <w:jc w:val="both"/>
      </w:pPr>
      <w:r>
        <w:rPr>
          <w:rStyle w:val="Bodytext1"/>
        </w:rPr>
        <w:t>po dobu delší než 1 měsíc,</w:t>
      </w:r>
    </w:p>
    <w:p w:rsidR="00C45733" w:rsidRDefault="004F1D06">
      <w:pPr>
        <w:pStyle w:val="Bodytext10"/>
        <w:numPr>
          <w:ilvl w:val="0"/>
          <w:numId w:val="16"/>
        </w:numPr>
        <w:tabs>
          <w:tab w:val="left" w:pos="359"/>
        </w:tabs>
        <w:spacing w:after="0"/>
        <w:jc w:val="both"/>
      </w:pPr>
      <w:r>
        <w:rPr>
          <w:rStyle w:val="Bodytext1"/>
        </w:rPr>
        <w:t>porušuje-li nájemce zvlášť závažným způsobem své povinnosti, a tím působí značnou újmu druhé</w:t>
      </w:r>
    </w:p>
    <w:p w:rsidR="00C45733" w:rsidRDefault="004F1D06">
      <w:pPr>
        <w:pStyle w:val="Bodytext10"/>
        <w:spacing w:after="0"/>
        <w:ind w:left="420"/>
        <w:jc w:val="both"/>
      </w:pPr>
      <w:r>
        <w:rPr>
          <w:rStyle w:val="Bodytext1"/>
        </w:rPr>
        <w:t xml:space="preserve">straně (například si nájemce nevyžádá předchozí souhlas pronajímatele při provádění změn na </w:t>
      </w:r>
      <w:r>
        <w:rPr>
          <w:rStyle w:val="Bodytext1"/>
        </w:rPr>
        <w:lastRenderedPageBreak/>
        <w:t>předmětu nájmu, při převodu nájmu na třetí osobu či při opatřování předmětu nájmu znameními)</w:t>
      </w:r>
    </w:p>
    <w:p w:rsidR="00C45733" w:rsidRDefault="004F1D06">
      <w:pPr>
        <w:pStyle w:val="Bodytext10"/>
        <w:numPr>
          <w:ilvl w:val="0"/>
          <w:numId w:val="16"/>
        </w:numPr>
        <w:tabs>
          <w:tab w:val="left" w:pos="359"/>
        </w:tabs>
        <w:spacing w:after="0"/>
        <w:jc w:val="both"/>
      </w:pPr>
      <w:r>
        <w:rPr>
          <w:rStyle w:val="Bodytext1"/>
        </w:rPr>
        <w:t>neuvede-li nájemce na žádost pronajímatele věc do původního stavu,</w:t>
      </w:r>
    </w:p>
    <w:p w:rsidR="00C45733" w:rsidRDefault="004F1D06">
      <w:pPr>
        <w:pStyle w:val="Bodytext10"/>
        <w:numPr>
          <w:ilvl w:val="0"/>
          <w:numId w:val="16"/>
        </w:numPr>
        <w:tabs>
          <w:tab w:val="left" w:pos="359"/>
        </w:tabs>
        <w:spacing w:after="0"/>
        <w:jc w:val="both"/>
      </w:pPr>
      <w:r>
        <w:rPr>
          <w:rStyle w:val="Bodytext1"/>
        </w:rPr>
        <w:t>užívá-li nájemce věc takovým způsobem, že se opotřebovává nad míru přiměřenou okolnostem</w:t>
      </w:r>
    </w:p>
    <w:p w:rsidR="00C45733" w:rsidRDefault="004F1D06">
      <w:pPr>
        <w:pStyle w:val="Bodytext10"/>
        <w:ind w:left="420"/>
        <w:jc w:val="both"/>
      </w:pPr>
      <w:r>
        <w:rPr>
          <w:rStyle w:val="Bodytext1"/>
        </w:rPr>
        <w:t>nebo že hrozí zničení věci; pronajímatel není v tomto případě povinen vyzvat nájemce ke sjednání nápravy,</w:t>
      </w:r>
    </w:p>
    <w:p w:rsidR="00C45733" w:rsidRDefault="004F1D06">
      <w:pPr>
        <w:pStyle w:val="Bodytext10"/>
        <w:spacing w:after="220"/>
        <w:jc w:val="both"/>
      </w:pPr>
      <w:r>
        <w:rPr>
          <w:rStyle w:val="Bodytext1"/>
        </w:rPr>
        <w:t>případně z dalších zákonem stanovených a v této smlouvě neuvedených důvodů.</w:t>
      </w:r>
    </w:p>
    <w:p w:rsidR="00C45733" w:rsidRDefault="004F1D06">
      <w:pPr>
        <w:pStyle w:val="Bodytext10"/>
        <w:numPr>
          <w:ilvl w:val="0"/>
          <w:numId w:val="14"/>
        </w:numPr>
        <w:tabs>
          <w:tab w:val="left" w:pos="359"/>
        </w:tabs>
        <w:spacing w:after="0"/>
        <w:jc w:val="both"/>
      </w:pPr>
      <w:r>
        <w:rPr>
          <w:rStyle w:val="Bodytext1"/>
        </w:rPr>
        <w:t>Nájemce může vypovědět nájem bez výpovědní doby:</w:t>
      </w:r>
    </w:p>
    <w:p w:rsidR="00C45733" w:rsidRDefault="004F1D06">
      <w:pPr>
        <w:pStyle w:val="Bodytext10"/>
        <w:numPr>
          <w:ilvl w:val="0"/>
          <w:numId w:val="17"/>
        </w:numPr>
        <w:tabs>
          <w:tab w:val="left" w:pos="359"/>
        </w:tabs>
        <w:spacing w:after="0"/>
        <w:jc w:val="both"/>
      </w:pPr>
      <w:r>
        <w:rPr>
          <w:rStyle w:val="Bodytext1"/>
        </w:rPr>
        <w:t>zanikne-li pronajatá věc zčásti,</w:t>
      </w:r>
    </w:p>
    <w:p w:rsidR="00C45733" w:rsidRDefault="004F1D06">
      <w:pPr>
        <w:pStyle w:val="Bodytext10"/>
        <w:numPr>
          <w:ilvl w:val="0"/>
          <w:numId w:val="17"/>
        </w:numPr>
        <w:tabs>
          <w:tab w:val="left" w:pos="359"/>
        </w:tabs>
        <w:spacing w:after="0"/>
        <w:jc w:val="both"/>
      </w:pPr>
      <w:r>
        <w:rPr>
          <w:rStyle w:val="Bodytext1"/>
        </w:rPr>
        <w:t>stane-li se věc nepoužitelnou k ujednanému účelu z důvodů, které nejsou na straně nájemce,</w:t>
      </w:r>
    </w:p>
    <w:p w:rsidR="00C45733" w:rsidRDefault="004F1D06">
      <w:pPr>
        <w:pStyle w:val="Bodytext10"/>
        <w:numPr>
          <w:ilvl w:val="0"/>
          <w:numId w:val="17"/>
        </w:numPr>
        <w:tabs>
          <w:tab w:val="left" w:pos="359"/>
        </w:tabs>
        <w:spacing w:after="0"/>
        <w:jc w:val="both"/>
      </w:pPr>
      <w:r>
        <w:rPr>
          <w:rStyle w:val="Bodytext1"/>
        </w:rPr>
        <w:t>neodstraní-li pronajímatel řádně a včas oznámenou vadu, která zásadním způsobem ztěžuje nebo,</w:t>
      </w:r>
    </w:p>
    <w:p w:rsidR="00C45733" w:rsidRDefault="004F1D06">
      <w:pPr>
        <w:pStyle w:val="Bodytext10"/>
        <w:spacing w:after="0"/>
        <w:ind w:firstLine="420"/>
        <w:jc w:val="both"/>
      </w:pPr>
      <w:r>
        <w:rPr>
          <w:rStyle w:val="Bodytext1"/>
        </w:rPr>
        <w:t>znemožňuje užívání věci,</w:t>
      </w:r>
    </w:p>
    <w:p w:rsidR="00C45733" w:rsidRDefault="004F1D06">
      <w:pPr>
        <w:pStyle w:val="Bodytext10"/>
        <w:numPr>
          <w:ilvl w:val="0"/>
          <w:numId w:val="17"/>
        </w:numPr>
        <w:tabs>
          <w:tab w:val="left" w:pos="359"/>
        </w:tabs>
        <w:spacing w:after="0"/>
        <w:jc w:val="both"/>
      </w:pPr>
      <w:r>
        <w:rPr>
          <w:rStyle w:val="Bodytext1"/>
        </w:rPr>
        <w:t>není-li možné kvůli opravě pronajaté věci věc vůbec užívat,</w:t>
      </w:r>
    </w:p>
    <w:p w:rsidR="00C45733" w:rsidRDefault="004F1D06">
      <w:pPr>
        <w:pStyle w:val="Bodytext10"/>
        <w:numPr>
          <w:ilvl w:val="0"/>
          <w:numId w:val="17"/>
        </w:numPr>
        <w:tabs>
          <w:tab w:val="left" w:pos="359"/>
        </w:tabs>
        <w:spacing w:after="0"/>
        <w:jc w:val="both"/>
      </w:pPr>
      <w:r>
        <w:rPr>
          <w:rStyle w:val="Bodytext1"/>
        </w:rPr>
        <w:t>porušuje-li pronajímatel své povinnosti zvlášť závažným způsobem, a tím působí značnou újmu</w:t>
      </w:r>
    </w:p>
    <w:p w:rsidR="00C45733" w:rsidRDefault="004F1D06">
      <w:pPr>
        <w:pStyle w:val="Bodytext10"/>
        <w:ind w:firstLine="420"/>
        <w:jc w:val="both"/>
      </w:pPr>
      <w:r>
        <w:rPr>
          <w:rStyle w:val="Bodytext1"/>
        </w:rPr>
        <w:t>druhé straně,</w:t>
      </w:r>
    </w:p>
    <w:p w:rsidR="00C45733" w:rsidRDefault="004F1D06">
      <w:pPr>
        <w:pStyle w:val="Bodytext10"/>
        <w:spacing w:after="340"/>
        <w:jc w:val="both"/>
      </w:pPr>
      <w:r>
        <w:rPr>
          <w:rStyle w:val="Bodytext1"/>
        </w:rPr>
        <w:t>případně z dalších zákonem stanovených a v této smlouvě neuvedených důvodů.</w:t>
      </w:r>
    </w:p>
    <w:p w:rsidR="00C45733" w:rsidRDefault="004F1D06">
      <w:pPr>
        <w:pStyle w:val="Bodytext10"/>
        <w:numPr>
          <w:ilvl w:val="0"/>
          <w:numId w:val="14"/>
        </w:numPr>
        <w:tabs>
          <w:tab w:val="left" w:pos="359"/>
        </w:tabs>
        <w:spacing w:after="680"/>
        <w:ind w:left="360" w:hanging="360"/>
        <w:jc w:val="both"/>
      </w:pPr>
      <w:r>
        <w:rPr>
          <w:rStyle w:val="Bodytext1"/>
        </w:rPr>
        <w:t>Po skončení nájmu odevzdá nájemce pronajímateli nebo jím určenému správci předmět nájmu ve stavu, v jakém jej převzal, s přihlédnutím k obvyklému opotřebení, případně se změnami, jejichž provedení a ponechání i po skončení nájmu pronajímatel odsouhlasil. O odevzdání předmětu nájmu nájemcem bude pořízen protokol.</w:t>
      </w:r>
    </w:p>
    <w:p w:rsidR="00C45733" w:rsidRDefault="004F1D06">
      <w:pPr>
        <w:pStyle w:val="Heading410"/>
        <w:keepNext/>
        <w:keepLines/>
      </w:pPr>
      <w:bookmarkStart w:id="13" w:name="bookmark32"/>
      <w:r>
        <w:rPr>
          <w:rStyle w:val="Heading41"/>
          <w:b/>
          <w:bCs/>
        </w:rPr>
        <w:t>Článek VIII.</w:t>
      </w:r>
      <w:bookmarkEnd w:id="13"/>
    </w:p>
    <w:p w:rsidR="00C45733" w:rsidRDefault="004F1D06">
      <w:pPr>
        <w:pStyle w:val="Heading410"/>
        <w:keepNext/>
        <w:keepLines/>
        <w:spacing w:after="340"/>
      </w:pPr>
      <w:r>
        <w:rPr>
          <w:rStyle w:val="Heading41"/>
          <w:b/>
          <w:bCs/>
        </w:rPr>
        <w:t>Závěrečná ujednání</w:t>
      </w:r>
    </w:p>
    <w:p w:rsidR="00C45733" w:rsidRDefault="004F1D06">
      <w:pPr>
        <w:pStyle w:val="Bodytext10"/>
        <w:numPr>
          <w:ilvl w:val="0"/>
          <w:numId w:val="18"/>
        </w:numPr>
        <w:tabs>
          <w:tab w:val="left" w:pos="359"/>
        </w:tabs>
        <w:ind w:left="360" w:hanging="360"/>
        <w:jc w:val="both"/>
      </w:pPr>
      <w:r>
        <w:rPr>
          <w:rStyle w:val="Bodytext1"/>
        </w:rPr>
        <w:t>Smlouva nabývá platnosti dnem podpisu oběma smluvními stranami a účinnosti dnem zveřejnění v registru smluv.</w:t>
      </w:r>
    </w:p>
    <w:p w:rsidR="00C45733" w:rsidRDefault="004F1D06">
      <w:pPr>
        <w:pStyle w:val="Bodytext10"/>
        <w:numPr>
          <w:ilvl w:val="0"/>
          <w:numId w:val="18"/>
        </w:numPr>
        <w:tabs>
          <w:tab w:val="left" w:pos="359"/>
        </w:tabs>
        <w:ind w:left="360" w:hanging="360"/>
        <w:jc w:val="both"/>
      </w:pPr>
      <w:r>
        <w:rPr>
          <w:rStyle w:val="Bodytext1"/>
        </w:rPr>
        <w:t>Vztahy mezi pronajímatelem a nájemcem v této smlouvě neupravené se řídí příslušnými ustanoveními obecných právních předpisů, zejména zákonem č. 89/2012 Sb., v platném znění.</w:t>
      </w:r>
    </w:p>
    <w:p w:rsidR="00C45733" w:rsidRDefault="004F1D06">
      <w:pPr>
        <w:pStyle w:val="Bodytext10"/>
        <w:numPr>
          <w:ilvl w:val="0"/>
          <w:numId w:val="18"/>
        </w:numPr>
        <w:tabs>
          <w:tab w:val="left" w:pos="359"/>
        </w:tabs>
        <w:ind w:left="360" w:hanging="360"/>
        <w:jc w:val="both"/>
      </w:pPr>
      <w:r>
        <w:rPr>
          <w:rStyle w:val="Bodytext1"/>
        </w:rPr>
        <w:t>Smlouvu lze měnit pouze formou písemných, vzestupně číslovaných dodatků podepsaných oběma smluvními stranami.</w:t>
      </w:r>
    </w:p>
    <w:p w:rsidR="00C45733" w:rsidRDefault="004F1D06">
      <w:pPr>
        <w:pStyle w:val="Bodytext10"/>
        <w:numPr>
          <w:ilvl w:val="0"/>
          <w:numId w:val="18"/>
        </w:numPr>
        <w:tabs>
          <w:tab w:val="left" w:pos="359"/>
        </w:tabs>
        <w:spacing w:after="220"/>
        <w:ind w:left="360" w:hanging="360"/>
        <w:jc w:val="both"/>
      </w:pPr>
      <w:r>
        <w:rPr>
          <w:rStyle w:val="Bodytext1"/>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rsidR="00C45733" w:rsidRDefault="004F1D06">
      <w:pPr>
        <w:pStyle w:val="Bodytext10"/>
        <w:numPr>
          <w:ilvl w:val="0"/>
          <w:numId w:val="18"/>
        </w:numPr>
        <w:tabs>
          <w:tab w:val="left" w:pos="359"/>
        </w:tabs>
        <w:spacing w:after="220"/>
        <w:ind w:left="360" w:hanging="360"/>
        <w:jc w:val="both"/>
      </w:pPr>
      <w:r>
        <w:rPr>
          <w:rStyle w:val="Bodytext1"/>
        </w:rPr>
        <w:t>Smluvní strany se dohodly, že pronajímatel v zákonné lhůtě odešle smlouvu k řádnému uveřejnění do registru smluv, dle zákona č. 340/2015 Sb., o zvláštních podmínkách účinnosti některých smluv, uveřejňování těchto smluv a o registru smluv (zákon o registru smluv).</w:t>
      </w:r>
    </w:p>
    <w:p w:rsidR="00C45733" w:rsidRDefault="004F1D06">
      <w:pPr>
        <w:pStyle w:val="Bodytext10"/>
        <w:numPr>
          <w:ilvl w:val="0"/>
          <w:numId w:val="18"/>
        </w:numPr>
        <w:tabs>
          <w:tab w:val="left" w:pos="359"/>
        </w:tabs>
        <w:ind w:left="360" w:hanging="360"/>
        <w:jc w:val="both"/>
      </w:pPr>
      <w:r>
        <w:rPr>
          <w:rStyle w:val="Bodytext1"/>
        </w:rPr>
        <w:t>Smluvní strany prohlašují, že žádná část smlouvy nenaplňuje znaky obchodního tajemství dle § 504 zákona č. 89/2012 Sb., občanský zákoník, ve znění pozdějších předpisů.</w:t>
      </w:r>
    </w:p>
    <w:p w:rsidR="00C45733" w:rsidRDefault="004F1D06">
      <w:pPr>
        <w:pStyle w:val="Bodytext10"/>
        <w:numPr>
          <w:ilvl w:val="0"/>
          <w:numId w:val="18"/>
        </w:numPr>
        <w:tabs>
          <w:tab w:val="left" w:pos="359"/>
        </w:tabs>
        <w:spacing w:after="160"/>
        <w:ind w:left="360" w:hanging="360"/>
        <w:jc w:val="both"/>
      </w:pPr>
      <w:r>
        <w:rPr>
          <w:rStyle w:val="Bodytext1"/>
        </w:rPr>
        <w:t>Tato smlouva se vyhotovuje ve dvou stejnopisech s platností originálu, z nichž každá smluvní strana obdrží 1 vyhotovení.</w:t>
      </w:r>
      <w:r>
        <w:br w:type="page"/>
      </w:r>
    </w:p>
    <w:p w:rsidR="00C45733" w:rsidRDefault="004F1D06">
      <w:pPr>
        <w:pStyle w:val="Bodytext10"/>
        <w:numPr>
          <w:ilvl w:val="0"/>
          <w:numId w:val="18"/>
        </w:numPr>
        <w:tabs>
          <w:tab w:val="left" w:pos="346"/>
        </w:tabs>
        <w:spacing w:after="220"/>
      </w:pPr>
      <w:r>
        <w:rPr>
          <w:rStyle w:val="Bodytext1"/>
        </w:rPr>
        <w:lastRenderedPageBreak/>
        <w:t>Součástí této smlouvy je:</w:t>
      </w:r>
    </w:p>
    <w:p w:rsidR="00C45733" w:rsidRDefault="004F1D06">
      <w:pPr>
        <w:pStyle w:val="Bodytext10"/>
        <w:spacing w:after="220"/>
        <w:ind w:firstLine="360"/>
      </w:pPr>
      <w:r>
        <w:rPr>
          <w:rStyle w:val="Bodytext1"/>
        </w:rPr>
        <w:t>Příloha č. 1:</w:t>
      </w:r>
    </w:p>
    <w:p w:rsidR="00C45733" w:rsidRDefault="004F1D06">
      <w:pPr>
        <w:pStyle w:val="Bodytext10"/>
        <w:numPr>
          <w:ilvl w:val="0"/>
          <w:numId w:val="19"/>
        </w:numPr>
        <w:tabs>
          <w:tab w:val="left" w:pos="803"/>
        </w:tabs>
        <w:spacing w:after="0"/>
        <w:ind w:firstLine="440"/>
        <w:jc w:val="both"/>
      </w:pPr>
      <w:r>
        <w:rPr>
          <w:rStyle w:val="Bodytext1"/>
        </w:rPr>
        <w:t>situační plán budovy č. 38 areálu KNTB, a. s.</w:t>
      </w:r>
    </w:p>
    <w:p w:rsidR="00C45733" w:rsidRDefault="004F1D06">
      <w:pPr>
        <w:pStyle w:val="Bodytext10"/>
        <w:numPr>
          <w:ilvl w:val="0"/>
          <w:numId w:val="19"/>
        </w:numPr>
        <w:tabs>
          <w:tab w:val="left" w:pos="798"/>
        </w:tabs>
        <w:spacing w:after="0"/>
        <w:ind w:firstLine="440"/>
        <w:jc w:val="both"/>
      </w:pPr>
      <w:r>
        <w:rPr>
          <w:rStyle w:val="Bodytext1"/>
        </w:rPr>
        <w:t xml:space="preserve">situační plán prostor společnosti </w:t>
      </w:r>
      <w:proofErr w:type="spellStart"/>
      <w:r>
        <w:rPr>
          <w:rStyle w:val="Bodytext1"/>
        </w:rPr>
        <w:t>Leastex</w:t>
      </w:r>
      <w:proofErr w:type="spellEnd"/>
      <w:r>
        <w:rPr>
          <w:rStyle w:val="Bodytext1"/>
        </w:rPr>
        <w:t>, a.s. v 1. NP</w:t>
      </w:r>
    </w:p>
    <w:p w:rsidR="00C45733" w:rsidRDefault="004F1D06">
      <w:pPr>
        <w:pStyle w:val="Bodytext10"/>
        <w:numPr>
          <w:ilvl w:val="0"/>
          <w:numId w:val="19"/>
        </w:numPr>
        <w:tabs>
          <w:tab w:val="left" w:pos="794"/>
        </w:tabs>
        <w:spacing w:after="220"/>
        <w:ind w:firstLine="440"/>
        <w:jc w:val="both"/>
      </w:pPr>
      <w:r>
        <w:rPr>
          <w:rStyle w:val="Bodytext1"/>
        </w:rPr>
        <w:t xml:space="preserve">situační plán prostor společnosti </w:t>
      </w:r>
      <w:proofErr w:type="spellStart"/>
      <w:r>
        <w:rPr>
          <w:rStyle w:val="Bodytext1"/>
        </w:rPr>
        <w:t>Leastex</w:t>
      </w:r>
      <w:proofErr w:type="spellEnd"/>
      <w:r>
        <w:rPr>
          <w:rStyle w:val="Bodytext1"/>
        </w:rPr>
        <w:t>, a.s. ve 2. NP</w:t>
      </w:r>
    </w:p>
    <w:p w:rsidR="00C45733" w:rsidRDefault="004F1D06">
      <w:pPr>
        <w:pStyle w:val="Bodytext10"/>
        <w:spacing w:after="220"/>
        <w:ind w:firstLine="440"/>
        <w:jc w:val="both"/>
      </w:pPr>
      <w:r>
        <w:rPr>
          <w:rStyle w:val="Bodytext1"/>
        </w:rPr>
        <w:t>Příloha č. 2: Příloha k platbě za Energie</w:t>
      </w:r>
    </w:p>
    <w:p w:rsidR="00C45733" w:rsidRDefault="004F1D06">
      <w:pPr>
        <w:pStyle w:val="Bodytext10"/>
        <w:tabs>
          <w:tab w:val="left" w:pos="1414"/>
        </w:tabs>
        <w:spacing w:after="0"/>
        <w:ind w:firstLine="440"/>
        <w:jc w:val="both"/>
      </w:pPr>
      <w:r>
        <w:rPr>
          <w:rStyle w:val="Bodytext1"/>
        </w:rPr>
        <w:t>Část I.</w:t>
      </w:r>
      <w:r w:rsidR="00262572">
        <w:rPr>
          <w:rStyle w:val="Bodytext1"/>
        </w:rPr>
        <w:t xml:space="preserve"> </w:t>
      </w:r>
      <w:r>
        <w:rPr>
          <w:rStyle w:val="Bodytext1"/>
        </w:rPr>
        <w:t>Výpočet podílu na vytápění</w:t>
      </w:r>
    </w:p>
    <w:p w:rsidR="00C45733" w:rsidRDefault="004F1D06">
      <w:pPr>
        <w:pStyle w:val="Bodytext10"/>
        <w:spacing w:after="0"/>
        <w:ind w:firstLine="440"/>
        <w:jc w:val="both"/>
      </w:pPr>
      <w:r>
        <w:rPr>
          <w:rStyle w:val="Bodytext1"/>
        </w:rPr>
        <w:t>Část II. Výpočet podílu střechy na srážkovou vodu</w:t>
      </w:r>
    </w:p>
    <w:p w:rsidR="00C45733" w:rsidRDefault="004F1D06">
      <w:pPr>
        <w:pStyle w:val="Bodytext10"/>
        <w:spacing w:after="220"/>
        <w:ind w:firstLine="440"/>
        <w:jc w:val="both"/>
      </w:pPr>
      <w:r>
        <w:rPr>
          <w:rStyle w:val="Bodytext1"/>
        </w:rPr>
        <w:t>Část III. Směrná čísla roční potřeby vody</w:t>
      </w:r>
    </w:p>
    <w:p w:rsidR="00C45733" w:rsidRDefault="004F1D06">
      <w:pPr>
        <w:pStyle w:val="Bodytext10"/>
        <w:spacing w:after="0"/>
        <w:ind w:firstLine="440"/>
        <w:jc w:val="both"/>
        <w:sectPr w:rsidR="00C45733">
          <w:footerReference w:type="default" r:id="rId7"/>
          <w:pgSz w:w="11900" w:h="16840"/>
          <w:pgMar w:top="1396" w:right="1239" w:bottom="1243" w:left="1348" w:header="968" w:footer="3" w:gutter="0"/>
          <w:pgNumType w:start="1"/>
          <w:cols w:space="720"/>
          <w:noEndnote/>
          <w:docGrid w:linePitch="360"/>
        </w:sectPr>
      </w:pPr>
      <w:r>
        <w:rPr>
          <w:rStyle w:val="Bodytext1"/>
        </w:rPr>
        <w:t>Příloha č. 3: Odvádění srážkových vod Vodárna Zlín a.s.</w:t>
      </w:r>
    </w:p>
    <w:p w:rsidR="00C45733" w:rsidRDefault="00C45733">
      <w:pPr>
        <w:spacing w:line="240" w:lineRule="exact"/>
        <w:rPr>
          <w:sz w:val="19"/>
          <w:szCs w:val="19"/>
        </w:rPr>
      </w:pPr>
    </w:p>
    <w:p w:rsidR="00C45733" w:rsidRDefault="00C45733">
      <w:pPr>
        <w:spacing w:line="240" w:lineRule="exact"/>
        <w:rPr>
          <w:sz w:val="19"/>
          <w:szCs w:val="19"/>
        </w:rPr>
      </w:pPr>
    </w:p>
    <w:p w:rsidR="00C45733" w:rsidRDefault="00C45733">
      <w:pPr>
        <w:spacing w:line="240" w:lineRule="exact"/>
        <w:rPr>
          <w:sz w:val="19"/>
          <w:szCs w:val="19"/>
        </w:rPr>
      </w:pPr>
    </w:p>
    <w:p w:rsidR="00C45733" w:rsidRDefault="00C45733">
      <w:pPr>
        <w:spacing w:line="240" w:lineRule="exact"/>
        <w:rPr>
          <w:sz w:val="19"/>
          <w:szCs w:val="19"/>
        </w:rPr>
      </w:pPr>
    </w:p>
    <w:p w:rsidR="00C45733" w:rsidRDefault="00C45733">
      <w:pPr>
        <w:spacing w:line="240" w:lineRule="exact"/>
        <w:rPr>
          <w:sz w:val="19"/>
          <w:szCs w:val="19"/>
        </w:rPr>
      </w:pPr>
    </w:p>
    <w:p w:rsidR="00C45733" w:rsidRDefault="00C45733">
      <w:pPr>
        <w:spacing w:line="240" w:lineRule="exact"/>
        <w:rPr>
          <w:sz w:val="19"/>
          <w:szCs w:val="19"/>
        </w:rPr>
      </w:pPr>
    </w:p>
    <w:p w:rsidR="00C45733" w:rsidRDefault="00C45733">
      <w:pPr>
        <w:spacing w:before="39" w:after="39" w:line="240" w:lineRule="exact"/>
        <w:rPr>
          <w:sz w:val="19"/>
          <w:szCs w:val="19"/>
        </w:rPr>
      </w:pPr>
    </w:p>
    <w:p w:rsidR="00C45733" w:rsidRDefault="00C45733">
      <w:pPr>
        <w:spacing w:line="1" w:lineRule="exact"/>
        <w:sectPr w:rsidR="00C45733">
          <w:type w:val="continuous"/>
          <w:pgSz w:w="11900" w:h="16840"/>
          <w:pgMar w:top="1347" w:right="0" w:bottom="777" w:left="0" w:header="0" w:footer="3" w:gutter="0"/>
          <w:cols w:space="720"/>
          <w:noEndnote/>
          <w:docGrid w:linePitch="360"/>
        </w:sectPr>
      </w:pPr>
    </w:p>
    <w:p w:rsidR="00C45733" w:rsidRDefault="004F1D06" w:rsidP="00262572">
      <w:pPr>
        <w:pStyle w:val="Bodytext10"/>
        <w:framePr w:w="3271" w:h="271" w:wrap="none" w:vAnchor="text" w:hAnchor="page" w:x="1448" w:y="17"/>
        <w:spacing w:after="0"/>
      </w:pPr>
      <w:r>
        <w:rPr>
          <w:rStyle w:val="Bodytext1"/>
        </w:rPr>
        <w:t>Ve Zlíně</w:t>
      </w:r>
      <w:r w:rsidR="00262572">
        <w:rPr>
          <w:rStyle w:val="Bodytext1"/>
        </w:rPr>
        <w:t xml:space="preserve"> 25. 3. 2024 el. podpis</w:t>
      </w:r>
    </w:p>
    <w:p w:rsidR="00C45733" w:rsidRDefault="004F1D06">
      <w:pPr>
        <w:pStyle w:val="Bodytext10"/>
        <w:framePr w:w="1291" w:h="288" w:wrap="none" w:vAnchor="text" w:hAnchor="page" w:x="1462" w:y="572"/>
        <w:spacing w:after="0"/>
      </w:pPr>
      <w:r>
        <w:rPr>
          <w:rStyle w:val="Bodytext1"/>
          <w:b/>
          <w:bCs/>
        </w:rPr>
        <w:t>Pronajímatel:</w:t>
      </w:r>
    </w:p>
    <w:p w:rsidR="00C45733" w:rsidRDefault="004F1D06">
      <w:pPr>
        <w:pStyle w:val="Heading410"/>
        <w:keepNext/>
        <w:keepLines/>
        <w:framePr w:w="3019" w:h="768" w:wrap="none" w:vAnchor="text" w:hAnchor="page" w:x="1961" w:y="2185"/>
        <w:jc w:val="left"/>
      </w:pPr>
      <w:bookmarkStart w:id="14" w:name="bookmark38"/>
      <w:r>
        <w:rPr>
          <w:rStyle w:val="Heading41"/>
          <w:b/>
          <w:bCs/>
        </w:rPr>
        <w:t>Krajská nemocnice T. Bati, a. s.</w:t>
      </w:r>
      <w:bookmarkEnd w:id="14"/>
    </w:p>
    <w:p w:rsidR="00262572" w:rsidRDefault="004F1D06" w:rsidP="00262572">
      <w:pPr>
        <w:pStyle w:val="Bodytext10"/>
        <w:framePr w:w="3019" w:h="768" w:wrap="none" w:vAnchor="text" w:hAnchor="page" w:x="1961" w:y="2185"/>
        <w:spacing w:after="0"/>
        <w:ind w:left="200"/>
        <w:jc w:val="both"/>
        <w:rPr>
          <w:rStyle w:val="Bodytext1"/>
        </w:rPr>
      </w:pPr>
      <w:r>
        <w:rPr>
          <w:rStyle w:val="Bodytext1"/>
        </w:rPr>
        <w:t xml:space="preserve">Ing. Jan Hrdý </w:t>
      </w:r>
    </w:p>
    <w:p w:rsidR="00C45733" w:rsidRDefault="004F1D06" w:rsidP="00262572">
      <w:pPr>
        <w:pStyle w:val="Bodytext10"/>
        <w:framePr w:w="3019" w:h="768" w:wrap="none" w:vAnchor="text" w:hAnchor="page" w:x="1961" w:y="2185"/>
        <w:spacing w:after="0"/>
        <w:ind w:left="200"/>
        <w:jc w:val="both"/>
      </w:pPr>
      <w:r>
        <w:rPr>
          <w:rStyle w:val="Bodytext1"/>
        </w:rPr>
        <w:t>předseda představenstva</w:t>
      </w:r>
    </w:p>
    <w:p w:rsidR="00C45733" w:rsidRDefault="004F1D06">
      <w:pPr>
        <w:pStyle w:val="Bodytext10"/>
        <w:framePr w:w="4224" w:h="3144" w:wrap="none" w:vAnchor="text" w:hAnchor="page" w:x="6421" w:y="21"/>
        <w:spacing w:after="320"/>
        <w:ind w:firstLine="660"/>
      </w:pPr>
      <w:r>
        <w:rPr>
          <w:rStyle w:val="Bodytext1"/>
        </w:rPr>
        <w:t>V</w:t>
      </w:r>
      <w:r w:rsidR="00262572">
        <w:rPr>
          <w:rStyle w:val="Bodytext1"/>
        </w:rPr>
        <w:t> </w:t>
      </w:r>
      <w:r>
        <w:rPr>
          <w:rStyle w:val="Bodytext1"/>
        </w:rPr>
        <w:t>Ostravě</w:t>
      </w:r>
      <w:r w:rsidR="00262572">
        <w:rPr>
          <w:rStyle w:val="Bodytext1"/>
        </w:rPr>
        <w:t xml:space="preserve"> 26. 3. 2024 el. podpis</w:t>
      </w:r>
    </w:p>
    <w:p w:rsidR="00C45733" w:rsidRDefault="004F1D06">
      <w:pPr>
        <w:pStyle w:val="Heading410"/>
        <w:keepNext/>
        <w:keepLines/>
        <w:framePr w:w="4224" w:h="3144" w:wrap="none" w:vAnchor="text" w:hAnchor="page" w:x="6421" w:y="21"/>
        <w:spacing w:after="320"/>
        <w:ind w:firstLine="880"/>
        <w:jc w:val="left"/>
      </w:pPr>
      <w:bookmarkStart w:id="15" w:name="bookmark40"/>
      <w:r>
        <w:rPr>
          <w:rStyle w:val="Heading41"/>
          <w:b/>
          <w:bCs/>
        </w:rPr>
        <w:t>Nájemce:</w:t>
      </w:r>
      <w:bookmarkEnd w:id="15"/>
    </w:p>
    <w:p w:rsidR="00C45733" w:rsidRDefault="00C45733" w:rsidP="00262572">
      <w:pPr>
        <w:pStyle w:val="Bodytext30"/>
        <w:framePr w:w="4224" w:h="3144" w:wrap="none" w:vAnchor="text" w:hAnchor="page" w:x="6421" w:y="21"/>
        <w:spacing w:line="240" w:lineRule="auto"/>
      </w:pPr>
    </w:p>
    <w:p w:rsidR="00C45733" w:rsidRDefault="004F1D06">
      <w:pPr>
        <w:pStyle w:val="Bodytext10"/>
        <w:framePr w:w="4224" w:h="3144" w:wrap="none" w:vAnchor="text" w:hAnchor="page" w:x="6421" w:y="21"/>
        <w:spacing w:after="0"/>
        <w:jc w:val="center"/>
      </w:pPr>
      <w:proofErr w:type="spellStart"/>
      <w:r>
        <w:rPr>
          <w:rStyle w:val="Bodytext1"/>
          <w:b/>
          <w:bCs/>
        </w:rPr>
        <w:t>Leastex</w:t>
      </w:r>
      <w:proofErr w:type="spellEnd"/>
      <w:r>
        <w:rPr>
          <w:rStyle w:val="Bodytext1"/>
          <w:b/>
          <w:bCs/>
        </w:rPr>
        <w:t>, a.s.</w:t>
      </w:r>
    </w:p>
    <w:p w:rsidR="00C45733" w:rsidRDefault="004F1D06">
      <w:pPr>
        <w:pStyle w:val="Bodytext10"/>
        <w:framePr w:w="4224" w:h="3144" w:wrap="none" w:vAnchor="text" w:hAnchor="page" w:x="6421" w:y="21"/>
        <w:spacing w:after="0"/>
        <w:jc w:val="center"/>
      </w:pPr>
      <w:r>
        <w:rPr>
          <w:rStyle w:val="Bodytext1"/>
        </w:rPr>
        <w:t>TSC Management s.r.o.</w:t>
      </w:r>
    </w:p>
    <w:p w:rsidR="00C45733" w:rsidRDefault="004F1D06">
      <w:pPr>
        <w:pStyle w:val="Bodytext10"/>
        <w:framePr w:w="4224" w:h="3144" w:wrap="none" w:vAnchor="text" w:hAnchor="page" w:x="6421" w:y="21"/>
        <w:spacing w:after="0"/>
        <w:ind w:firstLine="1000"/>
      </w:pPr>
      <w:r>
        <w:rPr>
          <w:rStyle w:val="Bodytext1"/>
        </w:rPr>
        <w:t>předseda představenstva</w:t>
      </w:r>
    </w:p>
    <w:p w:rsidR="00C45733" w:rsidRDefault="00262572">
      <w:pPr>
        <w:pStyle w:val="Bodytext10"/>
        <w:framePr w:w="4224" w:h="3144" w:wrap="none" w:vAnchor="text" w:hAnchor="page" w:x="6421" w:y="21"/>
        <w:spacing w:after="320"/>
        <w:ind w:right="240"/>
        <w:jc w:val="right"/>
      </w:pPr>
      <w:proofErr w:type="spellStart"/>
      <w:r>
        <w:rPr>
          <w:rStyle w:val="Bodytext1"/>
        </w:rPr>
        <w:t>xxxxxxxxxxxxxx</w:t>
      </w:r>
      <w:proofErr w:type="spellEnd"/>
      <w:r w:rsidR="004F1D06">
        <w:rPr>
          <w:rStyle w:val="Bodytext1"/>
        </w:rPr>
        <w:t>, na základě plné moci</w:t>
      </w: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after="652" w:line="1" w:lineRule="exact"/>
      </w:pPr>
    </w:p>
    <w:p w:rsidR="00C45733" w:rsidRDefault="00C45733">
      <w:pPr>
        <w:spacing w:line="1" w:lineRule="exact"/>
        <w:sectPr w:rsidR="00C45733">
          <w:type w:val="continuous"/>
          <w:pgSz w:w="11900" w:h="16840"/>
          <w:pgMar w:top="1347" w:right="1345" w:bottom="777" w:left="1359" w:header="0" w:footer="3" w:gutter="0"/>
          <w:cols w:space="720"/>
          <w:noEndnote/>
          <w:docGrid w:linePitch="360"/>
        </w:sectPr>
      </w:pPr>
    </w:p>
    <w:p w:rsidR="00C45733" w:rsidRDefault="004F1D06">
      <w:pPr>
        <w:spacing w:line="1" w:lineRule="exact"/>
      </w:pPr>
      <w:r>
        <w:rPr>
          <w:noProof/>
        </w:rPr>
        <mc:AlternateContent>
          <mc:Choice Requires="wps">
            <w:drawing>
              <wp:anchor distT="0" distB="0" distL="114300" distR="114300" simplePos="0" relativeHeight="125829378" behindDoc="0" locked="0" layoutInCell="1" allowOverlap="1">
                <wp:simplePos x="0" y="0"/>
                <wp:positionH relativeFrom="page">
                  <wp:posOffset>4972685</wp:posOffset>
                </wp:positionH>
                <wp:positionV relativeFrom="paragraph">
                  <wp:posOffset>12700</wp:posOffset>
                </wp:positionV>
                <wp:extent cx="1151890" cy="4660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51890" cy="466090"/>
                        </a:xfrm>
                        <a:prstGeom prst="rect">
                          <a:avLst/>
                        </a:prstGeom>
                        <a:noFill/>
                      </wps:spPr>
                      <wps:txbx>
                        <w:txbxContent>
                          <w:p w:rsidR="00C45733" w:rsidRDefault="004F1D06">
                            <w:pPr>
                              <w:pStyle w:val="Bodytext10"/>
                              <w:spacing w:after="0"/>
                              <w:jc w:val="center"/>
                            </w:pPr>
                            <w:r>
                              <w:rPr>
                                <w:rStyle w:val="Bodytext1"/>
                                <w:b/>
                                <w:bCs/>
                              </w:rPr>
                              <w:t>Leastex, a.s.</w:t>
                            </w:r>
                          </w:p>
                          <w:p w:rsidR="00C45733" w:rsidRDefault="004F1D06">
                            <w:pPr>
                              <w:pStyle w:val="Bodytext10"/>
                              <w:spacing w:after="0"/>
                            </w:pPr>
                            <w:r>
                              <w:rPr>
                                <w:rStyle w:val="Bodytext1"/>
                              </w:rPr>
                              <w:t>Ing. Karel Loveček člen představenstva</w:t>
                            </w:r>
                          </w:p>
                        </w:txbxContent>
                      </wps:txbx>
                      <wps:bodyPr lIns="0" tIns="0" rIns="0" bIns="0"/>
                    </wps:wsp>
                  </a:graphicData>
                </a:graphic>
              </wp:anchor>
            </w:drawing>
          </mc:Choice>
          <mc:Fallback>
            <w:pict>
              <v:shape id="_x0000_s1029" type="#_x0000_t202" style="position:absolute;margin-left:391.55000000000001pt;margin-top:1.pt;width:90.700000000000003pt;height:36.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b/>
                          <w:bCs/>
                        </w:rPr>
                        <w:t>Leastex, a.s.</w:t>
                      </w:r>
                    </w:p>
                    <w:p>
                      <w:pPr>
                        <w:pStyle w:val="Style2"/>
                        <w:keepNext w:val="0"/>
                        <w:keepLines w:val="0"/>
                        <w:widowControl w:val="0"/>
                        <w:shd w:val="clear" w:color="auto" w:fill="auto"/>
                        <w:bidi w:val="0"/>
                        <w:spacing w:before="0" w:after="0" w:line="240" w:lineRule="auto"/>
                        <w:ind w:left="0" w:right="0" w:firstLine="0"/>
                        <w:jc w:val="left"/>
                      </w:pPr>
                      <w:r>
                        <w:rPr>
                          <w:rStyle w:val="CharStyle3"/>
                        </w:rPr>
                        <w:t>Ing. Karel Loveček člen představenstva</w:t>
                      </w:r>
                    </w:p>
                  </w:txbxContent>
                </v:textbox>
                <w10:wrap type="square" anchorx="page"/>
              </v:shape>
            </w:pict>
          </mc:Fallback>
        </mc:AlternateContent>
      </w:r>
    </w:p>
    <w:p w:rsidR="00C45733" w:rsidRDefault="004F1D06">
      <w:pPr>
        <w:pStyle w:val="Heading410"/>
        <w:keepNext/>
        <w:keepLines/>
        <w:ind w:firstLine="620"/>
        <w:jc w:val="left"/>
      </w:pPr>
      <w:bookmarkStart w:id="16" w:name="bookmark46"/>
      <w:r>
        <w:rPr>
          <w:rStyle w:val="Heading41"/>
          <w:b/>
          <w:bCs/>
        </w:rPr>
        <w:t>Krajská nemocnice T. Bati, a. s.</w:t>
      </w:r>
      <w:bookmarkEnd w:id="16"/>
    </w:p>
    <w:p w:rsidR="00C45733" w:rsidRDefault="00262572" w:rsidP="00262572">
      <w:pPr>
        <w:pStyle w:val="Bodytext10"/>
        <w:spacing w:after="0"/>
        <w:sectPr w:rsidR="00C45733">
          <w:type w:val="continuous"/>
          <w:pgSz w:w="11900" w:h="16840"/>
          <w:pgMar w:top="1348" w:right="4968" w:bottom="1348" w:left="1368" w:header="0" w:footer="3" w:gutter="0"/>
          <w:cols w:space="720"/>
          <w:noEndnote/>
          <w:docGrid w:linePitch="360"/>
        </w:sectPr>
      </w:pPr>
      <w:r>
        <w:rPr>
          <w:rStyle w:val="Bodytext1"/>
        </w:rPr>
        <w:t xml:space="preserve">           </w:t>
      </w:r>
      <w:r w:rsidR="004F1D06">
        <w:rPr>
          <w:rStyle w:val="Bodytext1"/>
        </w:rPr>
        <w:t>Ing. Martin Déva</w:t>
      </w:r>
      <w:r w:rsidR="004F1D06">
        <w:rPr>
          <w:rStyle w:val="Bodytext1"/>
        </w:rPr>
        <w:br/>
      </w:r>
      <w:r>
        <w:rPr>
          <w:rStyle w:val="Bodytext1"/>
        </w:rPr>
        <w:t xml:space="preserve">          </w:t>
      </w:r>
      <w:r w:rsidR="004F1D06">
        <w:rPr>
          <w:rStyle w:val="Bodytext1"/>
        </w:rPr>
        <w:t>člen představenstva</w:t>
      </w: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line="360" w:lineRule="exact"/>
      </w:pPr>
    </w:p>
    <w:p w:rsidR="00C45733" w:rsidRDefault="00C45733">
      <w:pPr>
        <w:spacing w:after="388" w:line="1" w:lineRule="exact"/>
      </w:pPr>
    </w:p>
    <w:p w:rsidR="00C45733" w:rsidRDefault="00C45733">
      <w:pPr>
        <w:spacing w:line="1" w:lineRule="exact"/>
        <w:sectPr w:rsidR="00C45733">
          <w:pgSz w:w="11900" w:h="16840"/>
          <w:pgMar w:top="1628" w:right="1400" w:bottom="780" w:left="2024" w:header="1200" w:footer="3" w:gutter="0"/>
          <w:cols w:space="720"/>
          <w:noEndnote/>
          <w:docGrid w:linePitch="360"/>
        </w:sectPr>
      </w:pPr>
    </w:p>
    <w:p w:rsidR="00C45733" w:rsidRDefault="00C45733">
      <w:pPr>
        <w:jc w:val="center"/>
        <w:rPr>
          <w:sz w:val="2"/>
          <w:szCs w:val="2"/>
        </w:rPr>
        <w:sectPr w:rsidR="00C45733">
          <w:headerReference w:type="default" r:id="rId8"/>
          <w:footerReference w:type="default" r:id="rId9"/>
          <w:pgSz w:w="11900" w:h="16840"/>
          <w:pgMar w:top="1882" w:right="3484" w:bottom="1527" w:left="2478" w:header="0" w:footer="3" w:gutter="0"/>
          <w:cols w:space="720"/>
          <w:noEndnote/>
          <w:docGrid w:linePitch="360"/>
        </w:sectPr>
      </w:pPr>
    </w:p>
    <w:p w:rsidR="00C45733" w:rsidRDefault="00C45733">
      <w:pPr>
        <w:spacing w:line="1" w:lineRule="exact"/>
      </w:pPr>
    </w:p>
    <w:sectPr w:rsidR="00C45733">
      <w:pgSz w:w="11900" w:h="16840"/>
      <w:pgMar w:top="2108" w:right="3306" w:bottom="1450" w:left="36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560" w:rsidRDefault="00DF1560">
      <w:r>
        <w:separator/>
      </w:r>
    </w:p>
  </w:endnote>
  <w:endnote w:type="continuationSeparator" w:id="0">
    <w:p w:rsidR="00DF1560" w:rsidRDefault="00DF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33" w:rsidRDefault="004F1D0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3431540</wp:posOffset>
              </wp:positionH>
              <wp:positionV relativeFrom="page">
                <wp:posOffset>10135235</wp:posOffset>
              </wp:positionV>
              <wp:extent cx="64897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8970" cy="76200"/>
                      </a:xfrm>
                      <a:prstGeom prst="rect">
                        <a:avLst/>
                      </a:prstGeom>
                      <a:noFill/>
                    </wps:spPr>
                    <wps:txbx>
                      <w:txbxContent>
                        <w:p w:rsidR="00C45733" w:rsidRDefault="004F1D06">
                          <w:pPr>
                            <w:pStyle w:val="Headerorfooter20"/>
                            <w:rPr>
                              <w:sz w:val="16"/>
                              <w:szCs w:val="16"/>
                            </w:rPr>
                          </w:pPr>
                          <w:r>
                            <w:rPr>
                              <w:rStyle w:val="Headerorfooter2"/>
                              <w:rFonts w:ascii="Arial" w:eastAsia="Arial" w:hAnsi="Arial" w:cs="Arial"/>
                              <w:sz w:val="16"/>
                              <w:szCs w:val="16"/>
                            </w:rPr>
                            <w:t xml:space="preserve">Stránka </w:t>
                          </w:r>
                          <w:r>
                            <w:fldChar w:fldCharType="begin"/>
                          </w:r>
                          <w:r>
                            <w:instrText xml:space="preserve"> PAGE \* MERGEFORMAT </w:instrText>
                          </w:r>
                          <w:r>
                            <w:fldChar w:fldCharType="separate"/>
                          </w:r>
                          <w:r>
                            <w:rPr>
                              <w:rStyle w:val="Headerorfooter2"/>
                              <w:rFonts w:ascii="Arial" w:eastAsia="Arial" w:hAnsi="Arial" w:cs="Arial"/>
                              <w:b/>
                              <w:bCs/>
                              <w:sz w:val="16"/>
                              <w:szCs w:val="16"/>
                            </w:rPr>
                            <w:t>#</w:t>
                          </w:r>
                          <w:r>
                            <w:rPr>
                              <w:rStyle w:val="Headerorfooter2"/>
                              <w:rFonts w:ascii="Arial" w:eastAsia="Arial" w:hAnsi="Arial" w:cs="Arial"/>
                              <w:b/>
                              <w:bCs/>
                              <w:sz w:val="16"/>
                              <w:szCs w:val="16"/>
                            </w:rPr>
                            <w:fldChar w:fldCharType="end"/>
                          </w:r>
                          <w:r>
                            <w:rPr>
                              <w:rStyle w:val="Headerorfooter2"/>
                              <w:rFonts w:ascii="Arial" w:eastAsia="Arial" w:hAnsi="Arial" w:cs="Arial"/>
                              <w:b/>
                              <w:bCs/>
                              <w:sz w:val="16"/>
                              <w:szCs w:val="16"/>
                            </w:rPr>
                            <w:t xml:space="preserve"> </w:t>
                          </w:r>
                          <w:r>
                            <w:rPr>
                              <w:rStyle w:val="Headerorfooter2"/>
                              <w:rFonts w:ascii="Arial" w:eastAsia="Arial" w:hAnsi="Arial" w:cs="Arial"/>
                              <w:sz w:val="16"/>
                              <w:szCs w:val="16"/>
                            </w:rPr>
                            <w:t xml:space="preserve">z </w:t>
                          </w:r>
                          <w:r>
                            <w:rPr>
                              <w:rStyle w:val="Headerorfooter2"/>
                              <w:rFonts w:ascii="Arial" w:eastAsia="Arial" w:hAnsi="Arial" w:cs="Arial"/>
                              <w:b/>
                              <w:bCs/>
                              <w:sz w:val="16"/>
                              <w:szCs w:val="16"/>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0.19999999999999pt;margin-top:798.05000000000007pt;width:51.100000000000001pt;height: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Style w:val="CharStyle6"/>
                        <w:rFonts w:ascii="Arial" w:eastAsia="Arial" w:hAnsi="Arial" w:cs="Arial"/>
                        <w:sz w:val="16"/>
                        <w:szCs w:val="16"/>
                      </w:rPr>
                      <w:t xml:space="preserve">Stránka </w:t>
                    </w:r>
                    <w:fldSimple w:instr=" PAGE \* MERGEFORMAT ">
                      <w:r>
                        <w:rPr>
                          <w:rStyle w:val="CharStyle6"/>
                          <w:rFonts w:ascii="Arial" w:eastAsia="Arial" w:hAnsi="Arial" w:cs="Arial"/>
                          <w:b/>
                          <w:bCs/>
                          <w:sz w:val="16"/>
                          <w:szCs w:val="16"/>
                        </w:rPr>
                        <w:t>#</w:t>
                      </w:r>
                    </w:fldSimple>
                    <w:r>
                      <w:rPr>
                        <w:rStyle w:val="CharStyle6"/>
                        <w:rFonts w:ascii="Arial" w:eastAsia="Arial" w:hAnsi="Arial" w:cs="Arial"/>
                        <w:b/>
                        <w:bCs/>
                        <w:sz w:val="16"/>
                        <w:szCs w:val="16"/>
                      </w:rPr>
                      <w:t xml:space="preserve"> </w:t>
                    </w:r>
                    <w:r>
                      <w:rPr>
                        <w:rStyle w:val="CharStyle6"/>
                        <w:rFonts w:ascii="Arial" w:eastAsia="Arial" w:hAnsi="Arial" w:cs="Arial"/>
                        <w:sz w:val="16"/>
                        <w:szCs w:val="16"/>
                      </w:rPr>
                      <w:t xml:space="preserve">z </w:t>
                    </w:r>
                    <w:r>
                      <w:rPr>
                        <w:rStyle w:val="CharStyle6"/>
                        <w:rFonts w:ascii="Arial" w:eastAsia="Arial" w:hAnsi="Arial" w:cs="Arial"/>
                        <w:b/>
                        <w:bCs/>
                        <w:sz w:val="16"/>
                        <w:szCs w:val="16"/>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33" w:rsidRDefault="004F1D06">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3427095</wp:posOffset>
              </wp:positionH>
              <wp:positionV relativeFrom="page">
                <wp:posOffset>10147300</wp:posOffset>
              </wp:positionV>
              <wp:extent cx="70421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704215" cy="76200"/>
                      </a:xfrm>
                      <a:prstGeom prst="rect">
                        <a:avLst/>
                      </a:prstGeom>
                      <a:noFill/>
                    </wps:spPr>
                    <wps:txbx>
                      <w:txbxContent>
                        <w:p w:rsidR="00C45733" w:rsidRDefault="004F1D06">
                          <w:pPr>
                            <w:pStyle w:val="Headerorfooter20"/>
                            <w:rPr>
                              <w:sz w:val="16"/>
                              <w:szCs w:val="16"/>
                            </w:rPr>
                          </w:pPr>
                          <w:r>
                            <w:rPr>
                              <w:rStyle w:val="Headerorfooter2"/>
                              <w:rFonts w:ascii="Arial" w:eastAsia="Arial" w:hAnsi="Arial" w:cs="Arial"/>
                              <w:sz w:val="16"/>
                              <w:szCs w:val="16"/>
                            </w:rPr>
                            <w:t xml:space="preserve">Stránka </w:t>
                          </w:r>
                          <w:r>
                            <w:fldChar w:fldCharType="begin"/>
                          </w:r>
                          <w:r>
                            <w:instrText xml:space="preserve"> PAGE \* MERGEFORMAT </w:instrText>
                          </w:r>
                          <w:r>
                            <w:fldChar w:fldCharType="separate"/>
                          </w:r>
                          <w:r>
                            <w:rPr>
                              <w:rStyle w:val="Headerorfooter2"/>
                              <w:rFonts w:ascii="Arial" w:eastAsia="Arial" w:hAnsi="Arial" w:cs="Arial"/>
                              <w:b/>
                              <w:bCs/>
                              <w:sz w:val="16"/>
                              <w:szCs w:val="16"/>
                              <w:lang w:val="en-US" w:eastAsia="en-US" w:bidi="en-US"/>
                            </w:rPr>
                            <w:t>#</w:t>
                          </w:r>
                          <w:r>
                            <w:rPr>
                              <w:rStyle w:val="Headerorfooter2"/>
                              <w:rFonts w:ascii="Arial" w:eastAsia="Arial" w:hAnsi="Arial" w:cs="Arial"/>
                              <w:b/>
                              <w:bCs/>
                              <w:sz w:val="16"/>
                              <w:szCs w:val="16"/>
                              <w:lang w:val="en-US" w:eastAsia="en-US" w:bidi="en-US"/>
                            </w:rPr>
                            <w:fldChar w:fldCharType="end"/>
                          </w:r>
                          <w:r>
                            <w:rPr>
                              <w:rStyle w:val="Headerorfooter2"/>
                              <w:rFonts w:ascii="Arial" w:eastAsia="Arial" w:hAnsi="Arial" w:cs="Arial"/>
                              <w:b/>
                              <w:bCs/>
                              <w:sz w:val="16"/>
                              <w:szCs w:val="16"/>
                              <w:lang w:val="en-US" w:eastAsia="en-US" w:bidi="en-US"/>
                            </w:rPr>
                            <w:t xml:space="preserve"> </w:t>
                          </w:r>
                          <w:r>
                            <w:rPr>
                              <w:rStyle w:val="Headerorfooter2"/>
                              <w:rFonts w:ascii="Arial" w:eastAsia="Arial" w:hAnsi="Arial" w:cs="Arial"/>
                              <w:sz w:val="16"/>
                              <w:szCs w:val="16"/>
                              <w:lang w:val="en-US" w:eastAsia="en-US" w:bidi="en-US"/>
                            </w:rPr>
                            <w:t xml:space="preserve">z </w:t>
                          </w:r>
                          <w:r>
                            <w:rPr>
                              <w:rStyle w:val="Headerorfooter2"/>
                              <w:rFonts w:ascii="Arial" w:eastAsia="Arial" w:hAnsi="Arial" w:cs="Arial"/>
                              <w:b/>
                              <w:bCs/>
                              <w:sz w:val="16"/>
                              <w:szCs w:val="16"/>
                              <w:lang w:val="en-US" w:eastAsia="en-US" w:bidi="en-US"/>
                            </w:rPr>
                            <w:t>10</w:t>
                          </w:r>
                        </w:p>
                      </w:txbxContent>
                    </wps:txbx>
                    <wps:bodyPr wrap="none" lIns="0" tIns="0" rIns="0" bIns="0">
                      <a:spAutoFit/>
                    </wps:bodyPr>
                  </wps:wsp>
                </a:graphicData>
              </a:graphic>
            </wp:anchor>
          </w:drawing>
        </mc:Choice>
        <mc:Fallback>
          <w:pict>
            <v:shape id="_x0000_s1035" type="#_x0000_t202" style="position:absolute;margin-left:269.85000000000002pt;margin-top:799.pt;width:55.450000000000003pt;height:6.pt;z-index:-188744058;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Style w:val="CharStyle6"/>
                        <w:rFonts w:ascii="Arial" w:eastAsia="Arial" w:hAnsi="Arial" w:cs="Arial"/>
                        <w:sz w:val="16"/>
                        <w:szCs w:val="16"/>
                      </w:rPr>
                      <w:t xml:space="preserve">Stránka </w:t>
                    </w:r>
                    <w:fldSimple w:instr=" PAGE \* MERGEFORMAT ">
                      <w:r>
                        <w:rPr>
                          <w:rStyle w:val="CharStyle6"/>
                          <w:rFonts w:ascii="Arial" w:eastAsia="Arial" w:hAnsi="Arial" w:cs="Arial"/>
                          <w:b/>
                          <w:bCs/>
                          <w:sz w:val="16"/>
                          <w:szCs w:val="16"/>
                          <w:lang w:val="en-US" w:eastAsia="en-US" w:bidi="en-US"/>
                        </w:rPr>
                        <w:t>#</w:t>
                      </w:r>
                    </w:fldSimple>
                    <w:r>
                      <w:rPr>
                        <w:rStyle w:val="CharStyle6"/>
                        <w:rFonts w:ascii="Arial" w:eastAsia="Arial" w:hAnsi="Arial" w:cs="Arial"/>
                        <w:b/>
                        <w:bCs/>
                        <w:sz w:val="16"/>
                        <w:szCs w:val="16"/>
                        <w:lang w:val="en-US" w:eastAsia="en-US" w:bidi="en-US"/>
                      </w:rPr>
                      <w:t xml:space="preserve"> </w:t>
                    </w:r>
                    <w:r>
                      <w:rPr>
                        <w:rStyle w:val="CharStyle6"/>
                        <w:rFonts w:ascii="Arial" w:eastAsia="Arial" w:hAnsi="Arial" w:cs="Arial"/>
                        <w:sz w:val="16"/>
                        <w:szCs w:val="16"/>
                        <w:lang w:val="en-US" w:eastAsia="en-US" w:bidi="en-US"/>
                      </w:rPr>
                      <w:t xml:space="preserve">z </w:t>
                    </w:r>
                    <w:r>
                      <w:rPr>
                        <w:rStyle w:val="CharStyle6"/>
                        <w:rFonts w:ascii="Arial" w:eastAsia="Arial" w:hAnsi="Arial" w:cs="Arial"/>
                        <w:b/>
                        <w:bCs/>
                        <w:sz w:val="16"/>
                        <w:szCs w:val="16"/>
                        <w:lang w:val="en-US" w:eastAsia="en-US" w:bidi="en-US"/>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560" w:rsidRDefault="00DF1560"/>
  </w:footnote>
  <w:footnote w:type="continuationSeparator" w:id="0">
    <w:p w:rsidR="00DF1560" w:rsidRDefault="00DF1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33" w:rsidRDefault="00C4573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287"/>
    <w:multiLevelType w:val="multilevel"/>
    <w:tmpl w:val="41BC15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7314B"/>
    <w:multiLevelType w:val="multilevel"/>
    <w:tmpl w:val="A30EE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67C49"/>
    <w:multiLevelType w:val="multilevel"/>
    <w:tmpl w:val="8EA01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01108"/>
    <w:multiLevelType w:val="multilevel"/>
    <w:tmpl w:val="06DC94F4"/>
    <w:lvl w:ilvl="0">
      <w:start w:val="1"/>
      <w:numFmt w:val="bullet"/>
      <w:lvlText w:val="•"/>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F4877"/>
    <w:multiLevelType w:val="multilevel"/>
    <w:tmpl w:val="80F22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7045C"/>
    <w:multiLevelType w:val="multilevel"/>
    <w:tmpl w:val="EC7E2E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85CA6"/>
    <w:multiLevelType w:val="multilevel"/>
    <w:tmpl w:val="06460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C5FE5"/>
    <w:multiLevelType w:val="multilevel"/>
    <w:tmpl w:val="618459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F4347"/>
    <w:multiLevelType w:val="multilevel"/>
    <w:tmpl w:val="786C37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85CB6"/>
    <w:multiLevelType w:val="multilevel"/>
    <w:tmpl w:val="119027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965F2"/>
    <w:multiLevelType w:val="hybridMultilevel"/>
    <w:tmpl w:val="5530AB82"/>
    <w:lvl w:ilvl="0" w:tplc="D06652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C333EC"/>
    <w:multiLevelType w:val="multilevel"/>
    <w:tmpl w:val="580048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A73F40"/>
    <w:multiLevelType w:val="multilevel"/>
    <w:tmpl w:val="5B24F9FE"/>
    <w:lvl w:ilvl="0">
      <w:start w:val="1"/>
      <w:numFmt w:val="bullet"/>
      <w:lvlText w:val="•"/>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02502B"/>
    <w:multiLevelType w:val="multilevel"/>
    <w:tmpl w:val="93F47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14DE2"/>
    <w:multiLevelType w:val="multilevel"/>
    <w:tmpl w:val="342612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0A553B"/>
    <w:multiLevelType w:val="multilevel"/>
    <w:tmpl w:val="1E0282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47CB7"/>
    <w:multiLevelType w:val="multilevel"/>
    <w:tmpl w:val="79FC4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213066"/>
    <w:multiLevelType w:val="multilevel"/>
    <w:tmpl w:val="CE8EDA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F29E2"/>
    <w:multiLevelType w:val="multilevel"/>
    <w:tmpl w:val="D73A82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3530CC"/>
    <w:multiLevelType w:val="multilevel"/>
    <w:tmpl w:val="5AC24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4"/>
  </w:num>
  <w:num w:numId="4">
    <w:abstractNumId w:val="13"/>
  </w:num>
  <w:num w:numId="5">
    <w:abstractNumId w:val="3"/>
  </w:num>
  <w:num w:numId="6">
    <w:abstractNumId w:val="19"/>
  </w:num>
  <w:num w:numId="7">
    <w:abstractNumId w:val="1"/>
  </w:num>
  <w:num w:numId="8">
    <w:abstractNumId w:val="6"/>
  </w:num>
  <w:num w:numId="9">
    <w:abstractNumId w:val="17"/>
  </w:num>
  <w:num w:numId="10">
    <w:abstractNumId w:val="7"/>
  </w:num>
  <w:num w:numId="11">
    <w:abstractNumId w:val="8"/>
  </w:num>
  <w:num w:numId="12">
    <w:abstractNumId w:val="9"/>
  </w:num>
  <w:num w:numId="13">
    <w:abstractNumId w:val="11"/>
  </w:num>
  <w:num w:numId="14">
    <w:abstractNumId w:val="14"/>
  </w:num>
  <w:num w:numId="15">
    <w:abstractNumId w:val="5"/>
  </w:num>
  <w:num w:numId="16">
    <w:abstractNumId w:val="16"/>
  </w:num>
  <w:num w:numId="17">
    <w:abstractNumId w:val="2"/>
  </w:num>
  <w:num w:numId="18">
    <w:abstractNumId w:val="0"/>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33"/>
    <w:rsid w:val="00262572"/>
    <w:rsid w:val="0034392D"/>
    <w:rsid w:val="004F1D06"/>
    <w:rsid w:val="006F5480"/>
    <w:rsid w:val="00C45733"/>
    <w:rsid w:val="00DF1560"/>
    <w:rsid w:val="00F21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E5B02"/>
  <w15:docId w15:val="{5B0DCB3E-B96C-4F75-A4A7-8BC24A52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0"/>
      <w:szCs w:val="4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0"/>
      <w:szCs w:val="30"/>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8"/>
      <w:szCs w:val="28"/>
      <w:u w:val="none"/>
    </w:rPr>
  </w:style>
  <w:style w:type="character" w:customStyle="1" w:styleId="Picturecaption1">
    <w:name w:val="Picture caption|1_"/>
    <w:basedOn w:val="Standardnpsmoodstavce"/>
    <w:link w:val="Picturecaption10"/>
    <w:rPr>
      <w:b w:val="0"/>
      <w:bCs w:val="0"/>
      <w:i w:val="0"/>
      <w:iCs w:val="0"/>
      <w:smallCaps w:val="0"/>
      <w:strike w:val="0"/>
      <w:color w:val="333333"/>
      <w:sz w:val="20"/>
      <w:szCs w:val="20"/>
      <w:u w:val="none"/>
      <w:lang w:val="en-US" w:eastAsia="en-US" w:bidi="en-US"/>
    </w:rPr>
  </w:style>
  <w:style w:type="paragraph" w:customStyle="1" w:styleId="Bodytext10">
    <w:name w:val="Body text|1"/>
    <w:basedOn w:val="Normln"/>
    <w:link w:val="Bodytext1"/>
    <w:pPr>
      <w:spacing w:after="120"/>
    </w:pPr>
    <w:rPr>
      <w:rFonts w:ascii="Arial" w:eastAsia="Arial" w:hAnsi="Arial" w:cs="Arial"/>
      <w:sz w:val="20"/>
      <w:szCs w:val="20"/>
    </w:rPr>
  </w:style>
  <w:style w:type="paragraph" w:customStyle="1" w:styleId="Headerorfooter20">
    <w:name w:val="Header or footer|2"/>
    <w:basedOn w:val="Normln"/>
    <w:link w:val="Headerorfooter2"/>
    <w:rPr>
      <w:sz w:val="20"/>
      <w:szCs w:val="20"/>
    </w:rPr>
  </w:style>
  <w:style w:type="paragraph" w:customStyle="1" w:styleId="Heading410">
    <w:name w:val="Heading #4|1"/>
    <w:basedOn w:val="Normln"/>
    <w:link w:val="Heading41"/>
    <w:pPr>
      <w:jc w:val="center"/>
      <w:outlineLvl w:val="3"/>
    </w:pPr>
    <w:rPr>
      <w:rFonts w:ascii="Arial" w:eastAsia="Arial" w:hAnsi="Arial" w:cs="Arial"/>
      <w:b/>
      <w:bCs/>
      <w:sz w:val="20"/>
      <w:szCs w:val="20"/>
    </w:rPr>
  </w:style>
  <w:style w:type="paragraph" w:customStyle="1" w:styleId="Other10">
    <w:name w:val="Other|1"/>
    <w:basedOn w:val="Normln"/>
    <w:link w:val="Other1"/>
    <w:pPr>
      <w:spacing w:after="120"/>
    </w:pPr>
    <w:rPr>
      <w:rFonts w:ascii="Arial" w:eastAsia="Arial" w:hAnsi="Arial" w:cs="Arial"/>
      <w:sz w:val="20"/>
      <w:szCs w:val="20"/>
    </w:rPr>
  </w:style>
  <w:style w:type="paragraph" w:customStyle="1" w:styleId="Heading110">
    <w:name w:val="Heading #1|1"/>
    <w:basedOn w:val="Normln"/>
    <w:link w:val="Heading11"/>
    <w:pPr>
      <w:outlineLvl w:val="0"/>
    </w:pPr>
    <w:rPr>
      <w:rFonts w:ascii="Arial" w:eastAsia="Arial" w:hAnsi="Arial" w:cs="Arial"/>
      <w:sz w:val="40"/>
      <w:szCs w:val="40"/>
    </w:rPr>
  </w:style>
  <w:style w:type="paragraph" w:customStyle="1" w:styleId="Bodytext20">
    <w:name w:val="Body text|2"/>
    <w:basedOn w:val="Normln"/>
    <w:link w:val="Bodytext2"/>
    <w:pPr>
      <w:spacing w:line="271" w:lineRule="auto"/>
    </w:pPr>
    <w:rPr>
      <w:rFonts w:ascii="Arial" w:eastAsia="Arial" w:hAnsi="Arial" w:cs="Arial"/>
      <w:sz w:val="14"/>
      <w:szCs w:val="14"/>
    </w:rPr>
  </w:style>
  <w:style w:type="paragraph" w:customStyle="1" w:styleId="Bodytext30">
    <w:name w:val="Body text|3"/>
    <w:basedOn w:val="Normln"/>
    <w:link w:val="Bodytext3"/>
    <w:pPr>
      <w:spacing w:line="209" w:lineRule="auto"/>
      <w:jc w:val="right"/>
    </w:pPr>
    <w:rPr>
      <w:rFonts w:ascii="Arial" w:eastAsia="Arial" w:hAnsi="Arial" w:cs="Arial"/>
      <w:sz w:val="18"/>
      <w:szCs w:val="18"/>
    </w:rPr>
  </w:style>
  <w:style w:type="paragraph" w:customStyle="1" w:styleId="Heading210">
    <w:name w:val="Heading #2|1"/>
    <w:basedOn w:val="Normln"/>
    <w:link w:val="Heading21"/>
    <w:pPr>
      <w:spacing w:after="80"/>
      <w:outlineLvl w:val="1"/>
    </w:pPr>
    <w:rPr>
      <w:rFonts w:ascii="Arial" w:eastAsia="Arial" w:hAnsi="Arial" w:cs="Arial"/>
      <w:sz w:val="30"/>
      <w:szCs w:val="30"/>
    </w:rPr>
  </w:style>
  <w:style w:type="paragraph" w:customStyle="1" w:styleId="Heading310">
    <w:name w:val="Heading #3|1"/>
    <w:basedOn w:val="Normln"/>
    <w:link w:val="Heading31"/>
    <w:pPr>
      <w:spacing w:line="283" w:lineRule="auto"/>
      <w:outlineLvl w:val="2"/>
    </w:pPr>
    <w:rPr>
      <w:rFonts w:ascii="Arial" w:eastAsia="Arial" w:hAnsi="Arial" w:cs="Arial"/>
      <w:sz w:val="28"/>
      <w:szCs w:val="28"/>
    </w:rPr>
  </w:style>
  <w:style w:type="paragraph" w:customStyle="1" w:styleId="Picturecaption10">
    <w:name w:val="Picture caption|1"/>
    <w:basedOn w:val="Normln"/>
    <w:link w:val="Picturecaption1"/>
    <w:pPr>
      <w:spacing w:line="230" w:lineRule="auto"/>
      <w:jc w:val="right"/>
    </w:pPr>
    <w:rPr>
      <w:color w:val="333333"/>
      <w:sz w:val="20"/>
      <w:szCs w:val="20"/>
      <w:lang w:val="en-US" w:eastAsia="en-US" w:bidi="en-US"/>
    </w:rPr>
  </w:style>
  <w:style w:type="paragraph" w:styleId="Zhlav">
    <w:name w:val="header"/>
    <w:basedOn w:val="Normln"/>
    <w:link w:val="ZhlavChar"/>
    <w:uiPriority w:val="99"/>
    <w:unhideWhenUsed/>
    <w:rsid w:val="00262572"/>
    <w:pPr>
      <w:tabs>
        <w:tab w:val="center" w:pos="4536"/>
        <w:tab w:val="right" w:pos="9072"/>
      </w:tabs>
    </w:pPr>
  </w:style>
  <w:style w:type="character" w:customStyle="1" w:styleId="ZhlavChar">
    <w:name w:val="Záhlaví Char"/>
    <w:basedOn w:val="Standardnpsmoodstavce"/>
    <w:link w:val="Zhlav"/>
    <w:uiPriority w:val="99"/>
    <w:rsid w:val="00262572"/>
    <w:rPr>
      <w:color w:val="000000"/>
    </w:rPr>
  </w:style>
  <w:style w:type="paragraph" w:styleId="Zpat">
    <w:name w:val="footer"/>
    <w:basedOn w:val="Normln"/>
    <w:link w:val="ZpatChar"/>
    <w:uiPriority w:val="99"/>
    <w:unhideWhenUsed/>
    <w:rsid w:val="00262572"/>
    <w:pPr>
      <w:tabs>
        <w:tab w:val="center" w:pos="4536"/>
        <w:tab w:val="right" w:pos="9072"/>
      </w:tabs>
    </w:pPr>
  </w:style>
  <w:style w:type="character" w:customStyle="1" w:styleId="ZpatChar">
    <w:name w:val="Zápatí Char"/>
    <w:basedOn w:val="Standardnpsmoodstavce"/>
    <w:link w:val="Zpat"/>
    <w:uiPriority w:val="99"/>
    <w:rsid w:val="002625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2694</Words>
  <Characters>15898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2024-03-26T11:37:00Z</dcterms:created>
  <dcterms:modified xsi:type="dcterms:W3CDTF">2024-03-26T11:37:00Z</dcterms:modified>
</cp:coreProperties>
</file>