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CF" w:rsidRDefault="00BC3C00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strany:</w:t>
      </w:r>
    </w:p>
    <w:p w:rsidR="00C54CCF" w:rsidRDefault="00C54CCF">
      <w:pPr>
        <w:ind w:left="0"/>
        <w:rPr>
          <w:sz w:val="22"/>
          <w:szCs w:val="22"/>
        </w:rPr>
      </w:pPr>
    </w:p>
    <w:p w:rsidR="00C54CCF" w:rsidRDefault="00BC3C00">
      <w:pPr>
        <w:tabs>
          <w:tab w:val="left" w:pos="2835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Národní filmový archiv, příspěvková organizace</w:t>
      </w: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se sídlem Závišova 502/5, Nusle, 140 00, Praha 4</w:t>
      </w: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IČ: 000 57 266,</w:t>
      </w: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DIČ: CZ 000 57 266</w:t>
      </w: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Bankovní spojení: Česká národní banka, Na Příkopě 28, 115 03 Praha 1</w:t>
      </w: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Č.ú.: 83337011/0710</w:t>
      </w: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zastoupený PhDr. Michalem Bregantem, generálním ředitelem</w:t>
      </w:r>
    </w:p>
    <w:p w:rsidR="00C54CCF" w:rsidRDefault="00C54CCF">
      <w:pPr>
        <w:tabs>
          <w:tab w:val="left" w:pos="2835"/>
        </w:tabs>
        <w:ind w:left="0"/>
        <w:rPr>
          <w:sz w:val="22"/>
          <w:szCs w:val="22"/>
        </w:rPr>
      </w:pP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dále jako „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“ na straně jedné,</w:t>
      </w:r>
    </w:p>
    <w:p w:rsidR="00C54CCF" w:rsidRDefault="00C54CCF">
      <w:pPr>
        <w:tabs>
          <w:tab w:val="left" w:pos="2835"/>
        </w:tabs>
        <w:ind w:left="0"/>
        <w:rPr>
          <w:sz w:val="22"/>
          <w:szCs w:val="22"/>
        </w:rPr>
      </w:pP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C54CCF" w:rsidRDefault="00C54CCF">
      <w:pPr>
        <w:tabs>
          <w:tab w:val="left" w:pos="2835"/>
        </w:tabs>
        <w:ind w:left="0"/>
        <w:rPr>
          <w:sz w:val="22"/>
          <w:szCs w:val="22"/>
        </w:rPr>
      </w:pPr>
    </w:p>
    <w:p w:rsidR="00C54CCF" w:rsidRDefault="00BC3C00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TUBRR s.r.o.</w:t>
      </w:r>
    </w:p>
    <w:p w:rsidR="00C54CCF" w:rsidRDefault="00BC3C00">
      <w:pPr>
        <w:ind w:left="0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t xml:space="preserve"> </w:t>
      </w:r>
      <w:r>
        <w:rPr>
          <w:sz w:val="22"/>
          <w:szCs w:val="22"/>
        </w:rPr>
        <w:t>Radlická 663/28, Smíchov, 150 00 Praha 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C54CCF" w:rsidRDefault="00BC3C00">
      <w:pPr>
        <w:ind w:left="0"/>
        <w:rPr>
          <w:sz w:val="22"/>
          <w:szCs w:val="22"/>
        </w:rPr>
      </w:pPr>
      <w:r>
        <w:rPr>
          <w:sz w:val="22"/>
          <w:szCs w:val="22"/>
        </w:rPr>
        <w:t>IČ: 28496949</w:t>
      </w:r>
    </w:p>
    <w:p w:rsidR="00C54CCF" w:rsidRDefault="00BC3C00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Zapsaná v obchodním rejstříku vedeném u Městského soudu v Praze, oddíl </w:t>
      </w:r>
      <w:r>
        <w:rPr>
          <w:sz w:val="22"/>
          <w:szCs w:val="22"/>
        </w:rPr>
        <w:t>C, pod sp. zn. 145882</w:t>
      </w:r>
    </w:p>
    <w:p w:rsidR="00C54CCF" w:rsidRDefault="00BC3C00">
      <w:pPr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3B5BF6">
        <w:rPr>
          <w:sz w:val="22"/>
          <w:szCs w:val="22"/>
        </w:rPr>
        <w:t>xxxxxxxx</w:t>
      </w:r>
    </w:p>
    <w:p w:rsidR="00C54CCF" w:rsidRDefault="00C54CCF">
      <w:pPr>
        <w:ind w:left="0"/>
        <w:rPr>
          <w:sz w:val="22"/>
          <w:szCs w:val="22"/>
        </w:rPr>
      </w:pP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dále jako „</w:t>
      </w: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>“ na straně druhé,</w:t>
      </w:r>
    </w:p>
    <w:p w:rsidR="00C54CCF" w:rsidRDefault="00C54CCF">
      <w:pPr>
        <w:tabs>
          <w:tab w:val="left" w:pos="2835"/>
        </w:tabs>
        <w:ind w:left="0"/>
        <w:rPr>
          <w:sz w:val="22"/>
          <w:szCs w:val="22"/>
        </w:rPr>
      </w:pPr>
    </w:p>
    <w:p w:rsidR="00C54CCF" w:rsidRDefault="00BC3C00">
      <w:pPr>
        <w:tabs>
          <w:tab w:val="left" w:pos="2835"/>
        </w:tabs>
        <w:ind w:left="0"/>
        <w:rPr>
          <w:sz w:val="22"/>
          <w:szCs w:val="22"/>
        </w:rPr>
      </w:pPr>
      <w:r>
        <w:rPr>
          <w:sz w:val="22"/>
          <w:szCs w:val="22"/>
        </w:rPr>
        <w:t>společně dále také jako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</w:t>
      </w:r>
    </w:p>
    <w:p w:rsidR="00C54CCF" w:rsidRDefault="00C54CCF">
      <w:pPr>
        <w:ind w:left="0"/>
        <w:rPr>
          <w:sz w:val="22"/>
          <w:szCs w:val="22"/>
        </w:rPr>
      </w:pPr>
    </w:p>
    <w:p w:rsidR="00C54CCF" w:rsidRDefault="00C54CCF">
      <w:pPr>
        <w:ind w:left="0"/>
        <w:rPr>
          <w:sz w:val="22"/>
          <w:szCs w:val="22"/>
        </w:rPr>
      </w:pPr>
    </w:p>
    <w:p w:rsidR="00C54CCF" w:rsidRDefault="00BC3C00">
      <w:pPr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 ve smyslu ustanovení § 1746 odst. 2 a § 2586 a násl. zákona č. 89/2012, občanský zákoník, </w:t>
      </w:r>
    </w:p>
    <w:p w:rsidR="00C54CCF" w:rsidRDefault="00BC3C00">
      <w:pPr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dohodly tak, jak stanoví tato</w:t>
      </w:r>
    </w:p>
    <w:p w:rsidR="00C54CCF" w:rsidRDefault="00C54CCF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sz w:val="22"/>
          <w:szCs w:val="22"/>
        </w:rPr>
      </w:pPr>
    </w:p>
    <w:p w:rsidR="00C54CCF" w:rsidRDefault="00C54CCF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sz w:val="22"/>
          <w:szCs w:val="22"/>
        </w:rPr>
      </w:pPr>
    </w:p>
    <w:p w:rsidR="00C54CCF" w:rsidRDefault="00BC3C00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SMLOUVA O SPOLUPRÁCI</w:t>
      </w:r>
    </w:p>
    <w:p w:rsidR="00C54CCF" w:rsidRDefault="00BC3C00">
      <w:pPr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C54CCF" w:rsidRDefault="00C54CCF">
      <w:pPr>
        <w:pBdr>
          <w:top w:val="nil"/>
          <w:left w:val="nil"/>
          <w:bottom w:val="nil"/>
          <w:right w:val="nil"/>
          <w:between w:val="nil"/>
        </w:pBdr>
        <w:ind w:left="0"/>
        <w:rPr>
          <w:smallCaps/>
          <w:color w:val="000000"/>
          <w:sz w:val="22"/>
          <w:szCs w:val="22"/>
        </w:rPr>
      </w:pP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Postavení smluvních stran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příspěvkovou organizací zřízenou Ministerstvem kultury ČR, zřizovací listina č. j. MK 13526/2013 OMA, ve znění pozdějších změn a doplňků, nepodléhající zápisu do obchodního rejstříku. Posláním Objednatele je pečovat o filmové dědictví, zprost</w:t>
      </w:r>
      <w:r>
        <w:rPr>
          <w:color w:val="000000"/>
          <w:sz w:val="22"/>
          <w:szCs w:val="22"/>
        </w:rPr>
        <w:t>ředkovávat jeho poznávání a napomáhat rozvoji českého audiovizuálního průmyslu a filmové kultury.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českou právnickou osobou, společností s ručením omezeným, zapsanou v obchodním rejstříku vedeném Městským soudem v Praze pod sp.zn. C 145882. Zh</w:t>
      </w:r>
      <w:r>
        <w:rPr>
          <w:color w:val="000000"/>
          <w:sz w:val="22"/>
          <w:szCs w:val="22"/>
        </w:rPr>
        <w:t xml:space="preserve">otovitel je profesionálním poskytovatelem služeb v oblasti mediálních strategií v on-line prostředí se zaměřením na platformu YouTube. Zhotovitel je plátcem DPH. 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Předmět smlouvy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</w:rPr>
      </w:pPr>
      <w:r>
        <w:rPr>
          <w:color w:val="000000"/>
          <w:sz w:val="22"/>
          <w:szCs w:val="22"/>
        </w:rPr>
        <w:t>Objednatel má zájem o využití služeb Zhotovitele za podmínek stanovených v té</w:t>
      </w:r>
      <w:r>
        <w:rPr>
          <w:color w:val="000000"/>
          <w:sz w:val="22"/>
          <w:szCs w:val="22"/>
        </w:rPr>
        <w:t xml:space="preserve">to Smlouvě při vytvoření a optimalizaci veřejného YouTube kanálu s názvem </w:t>
      </w:r>
      <w:r w:rsidR="003B5BF6" w:rsidRPr="003B5BF6">
        <w:rPr>
          <w:color w:val="000000"/>
          <w:sz w:val="22"/>
          <w:szCs w:val="22"/>
          <w:shd w:val="clear" w:color="auto" w:fill="FFF2CC"/>
        </w:rPr>
        <w:t>xxxxxx</w:t>
      </w:r>
      <w:r>
        <w:rPr>
          <w:color w:val="000000"/>
          <w:sz w:val="22"/>
          <w:szCs w:val="22"/>
        </w:rPr>
        <w:t xml:space="preserve"> ve správě Objednatele (dále jen „</w:t>
      </w:r>
      <w:r>
        <w:rPr>
          <w:b/>
          <w:color w:val="000000"/>
          <w:sz w:val="22"/>
          <w:szCs w:val="22"/>
        </w:rPr>
        <w:t>YouTube Kanál</w:t>
      </w:r>
      <w:r>
        <w:rPr>
          <w:color w:val="000000"/>
          <w:sz w:val="22"/>
          <w:szCs w:val="22"/>
        </w:rPr>
        <w:t>“).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Předmětem této smlouvy je úprava vzájemných práv a povinností obou smluvních stran při obchodní spolupráci, poskytnutí služeb Zhotovitele Objednateli a ujednání o výkonu autorských práv.</w:t>
      </w:r>
    </w:p>
    <w:p w:rsidR="00C54CCF" w:rsidRDefault="00C54CCF">
      <w:pPr>
        <w:ind w:firstLine="567"/>
      </w:pP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Služby Zhotovitele</w:t>
      </w:r>
    </w:p>
    <w:p w:rsidR="00C54CCF" w:rsidRDefault="003B5B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</w:t>
      </w:r>
      <w:r w:rsidR="00BC3C00">
        <w:rPr>
          <w:color w:val="000000"/>
          <w:sz w:val="22"/>
          <w:szCs w:val="22"/>
          <w:shd w:val="clear" w:color="auto" w:fill="FFF2CC"/>
        </w:rPr>
        <w:t>:</w:t>
      </w:r>
    </w:p>
    <w:p w:rsidR="00C54CCF" w:rsidRDefault="00C54CCF">
      <w:pPr>
        <w:ind w:firstLine="567"/>
        <w:rPr>
          <w:shd w:val="clear" w:color="auto" w:fill="FFF2CC"/>
        </w:rPr>
      </w:pPr>
    </w:p>
    <w:p w:rsidR="00C54CCF" w:rsidRDefault="003B5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</w:t>
      </w:r>
      <w:r w:rsidR="00BC3C00">
        <w:rPr>
          <w:color w:val="000000"/>
          <w:sz w:val="22"/>
          <w:szCs w:val="22"/>
          <w:shd w:val="clear" w:color="auto" w:fill="FFF2CC"/>
        </w:rPr>
        <w:t>: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</w:t>
      </w:r>
    </w:p>
    <w:p w:rsidR="00C54CCF" w:rsidRDefault="003B5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</w:t>
      </w:r>
    </w:p>
    <w:p w:rsidR="00C54CCF" w:rsidRDefault="00C54CCF">
      <w:pPr>
        <w:ind w:left="927"/>
        <w:rPr>
          <w:shd w:val="clear" w:color="auto" w:fill="FFF2CC"/>
        </w:rPr>
      </w:pPr>
    </w:p>
    <w:p w:rsidR="00C54CCF" w:rsidRDefault="003B5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</w:t>
      </w:r>
    </w:p>
    <w:p w:rsidR="00C54CCF" w:rsidRDefault="003B5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bookmarkStart w:id="0" w:name="_heading=h.30j0zll" w:colFirst="0" w:colLast="0"/>
      <w:bookmarkEnd w:id="0"/>
      <w:r>
        <w:rPr>
          <w:color w:val="000000"/>
          <w:sz w:val="22"/>
          <w:szCs w:val="22"/>
          <w:shd w:val="clear" w:color="auto" w:fill="FFF2CC"/>
        </w:rPr>
        <w:t>xxxxxxxxxxxxxxx</w:t>
      </w:r>
    </w:p>
    <w:p w:rsidR="00C54CCF" w:rsidRDefault="003B5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</w:t>
      </w:r>
    </w:p>
    <w:p w:rsidR="00C54CCF" w:rsidRDefault="003B5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</w:t>
      </w:r>
    </w:p>
    <w:p w:rsidR="00C54CCF" w:rsidRDefault="003B5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</w:t>
      </w:r>
    </w:p>
    <w:p w:rsidR="00C54CCF" w:rsidRDefault="00C54CCF">
      <w:pPr>
        <w:pBdr>
          <w:top w:val="nil"/>
          <w:left w:val="nil"/>
          <w:bottom w:val="nil"/>
          <w:right w:val="nil"/>
          <w:between w:val="nil"/>
        </w:pBdr>
        <w:ind w:left="1287"/>
        <w:rPr>
          <w:color w:val="000000"/>
          <w:shd w:val="clear" w:color="auto" w:fill="FFF2CC"/>
        </w:rPr>
      </w:pPr>
    </w:p>
    <w:p w:rsidR="00C54CCF" w:rsidRDefault="003B5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</w:t>
      </w:r>
    </w:p>
    <w:p w:rsidR="00C54CCF" w:rsidRDefault="003B5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</w:t>
      </w:r>
    </w:p>
    <w:p w:rsidR="00C54CCF" w:rsidRDefault="003B5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</w:t>
      </w:r>
    </w:p>
    <w:p w:rsidR="00C54CCF" w:rsidRDefault="003B5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</w:t>
      </w:r>
    </w:p>
    <w:p w:rsidR="00C54CCF" w:rsidRDefault="00C54CCF">
      <w:pPr>
        <w:ind w:firstLine="567"/>
      </w:pP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Návrh Obsahové strategie bude Zhotovitelem dokončen a předán Objednateli nejpozději do 14 dnů od dodání všech nezbytných informací a podkladů ze strany Objednatele (v rozsahu uvedeném v odst. 3 tohoto článku) za podmínky, že dojde k úhradě zálohy na cenu S</w:t>
      </w:r>
      <w:r>
        <w:rPr>
          <w:color w:val="000000"/>
          <w:sz w:val="22"/>
          <w:szCs w:val="22"/>
        </w:rPr>
        <w:t>lužeb podle článku 4 odst. 4 Smlouvy. V případě prodlení Objednatele s poskytnutím součinnosti či předáním podkladů se termín pro zhotovení návrhu Obsahové strategie posouvá o příslušný počet dnů trvání prodlení Objednatele. Do předloženého návrhu Obsahové</w:t>
      </w:r>
      <w:r>
        <w:rPr>
          <w:color w:val="000000"/>
          <w:sz w:val="22"/>
          <w:szCs w:val="22"/>
        </w:rPr>
        <w:t xml:space="preserve"> strategie je Zhotovitel povinen v přiměřené lhůtě (nikoliv kratší než 2 dny a nikoliv delší než 10 dnů) zapracovat Objednatelem případně vznesené připomínky. Nevznese-li Objednatel k návrhu Obsahové strategie žádné připomínky ani do 15 dnů od jejího převz</w:t>
      </w:r>
      <w:r>
        <w:rPr>
          <w:color w:val="000000"/>
          <w:sz w:val="22"/>
          <w:szCs w:val="22"/>
        </w:rPr>
        <w:t>etí od Zhotovitele, považujete se tato Obsahová strategie za schválenou Objednatelem. Vznese-li ve lhůtě uvedené v předešlé větě Objednatel k návrhu Obsahové strategie připomínky, a tyto budou řádně a úplně Zhotovitelem zapracovány, Objednatel takto uprave</w:t>
      </w:r>
      <w:r>
        <w:rPr>
          <w:color w:val="000000"/>
          <w:sz w:val="22"/>
          <w:szCs w:val="22"/>
        </w:rPr>
        <w:t xml:space="preserve">ný a finalizovaný návrh obsahové strategie bezodkladně schválí. Okamžikem schválení Obsahové strategie Objednatelem vzniká Zhotoviteli nárok na doplatek zbylé části ceny za vypracování Obsahové strategie dle čl. 4 odst. 1 písm. a) této smlouvy. 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>
        <w:rPr>
          <w:color w:val="000000"/>
          <w:sz w:val="22"/>
          <w:szCs w:val="22"/>
        </w:rPr>
        <w:t xml:space="preserve"> se zavazuje poskytnout Zhotoviteli potřebnou součinnost s poskytováním Služeb, zejména dodat Zhotoviteli: 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přehled zamýšleného obsahu YouTube Kanálu (Excel formát), 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kalendář výročí a významných dnů souvisejících s plánovaným obsahem (Excel formát) 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</w:t>
      </w:r>
      <w:r>
        <w:rPr>
          <w:color w:val="000000"/>
          <w:sz w:val="22"/>
          <w:szCs w:val="22"/>
        </w:rPr>
        <w:t xml:space="preserve">tnout údaje týkající se zásadních licenčních a jiných omezení či specifik majících vliv na možné načasování zveřejnění, geoblokaci nebo jiné podstatné skutečnosti, které mohou ovlivnit přípravu a realizaci obsahové strategie, 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zaslat grafické návrhy pro ná</w:t>
      </w:r>
      <w:r>
        <w:rPr>
          <w:color w:val="000000"/>
          <w:sz w:val="22"/>
          <w:szCs w:val="22"/>
        </w:rPr>
        <w:t xml:space="preserve">hledové obrázky, banner kanálu a další prvky grafiky používané v obsahu za účelem jejich zapracování do Obsahové strategie, to vše nejpozději do 15 dnů od uzavření této Smlouvy. 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se dohodly, že Supervize bude Zhotovitelem poskytována pravide</w:t>
      </w:r>
      <w:r>
        <w:rPr>
          <w:color w:val="000000"/>
          <w:sz w:val="22"/>
          <w:szCs w:val="22"/>
        </w:rPr>
        <w:t xml:space="preserve">lně na konci </w:t>
      </w:r>
      <w:r>
        <w:rPr>
          <w:color w:val="000000"/>
          <w:sz w:val="22"/>
          <w:szCs w:val="22"/>
        </w:rPr>
        <w:t>každého kalendářního měsíce, počínaje měsícem, v kterém došlo ke spuštění YouTube Kanálu, pokud nebude domluveno jinak.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Cena Služeb a platební podmínky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se zavazuje uhradit Zhotoviteli odměnu za poskytnutí Služeb </w:t>
      </w:r>
      <w:r w:rsidR="00F2395B">
        <w:rPr>
          <w:color w:val="000000"/>
          <w:sz w:val="22"/>
          <w:szCs w:val="22"/>
          <w:shd w:val="clear" w:color="auto" w:fill="FFF2CC"/>
        </w:rPr>
        <w:t>xxxxxxxxxxx</w:t>
      </w:r>
      <w:r>
        <w:rPr>
          <w:color w:val="000000"/>
          <w:sz w:val="22"/>
          <w:szCs w:val="22"/>
          <w:shd w:val="clear" w:color="auto" w:fill="FFF2CC"/>
        </w:rPr>
        <w:t>: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 xml:space="preserve">za </w:t>
      </w:r>
      <w:r w:rsidR="00F2395B">
        <w:rPr>
          <w:color w:val="000000"/>
          <w:sz w:val="22"/>
          <w:szCs w:val="22"/>
          <w:shd w:val="clear" w:color="auto" w:fill="FFF2CC"/>
        </w:rPr>
        <w:t>xxxxxxxx</w:t>
      </w:r>
      <w:r>
        <w:rPr>
          <w:color w:val="000000"/>
          <w:sz w:val="22"/>
          <w:szCs w:val="22"/>
          <w:shd w:val="clear" w:color="auto" w:fill="FFF2CC"/>
        </w:rPr>
        <w:t xml:space="preserve">jednorázová odměna ve výši </w:t>
      </w:r>
      <w:r>
        <w:rPr>
          <w:b/>
          <w:color w:val="000000"/>
          <w:sz w:val="22"/>
          <w:szCs w:val="22"/>
          <w:shd w:val="clear" w:color="auto" w:fill="FFF2CC"/>
        </w:rPr>
        <w:t>150.000 Kč</w:t>
      </w:r>
      <w:r>
        <w:rPr>
          <w:color w:val="000000"/>
          <w:sz w:val="22"/>
          <w:szCs w:val="22"/>
          <w:shd w:val="clear" w:color="auto" w:fill="FFF2CC"/>
        </w:rPr>
        <w:t xml:space="preserve"> (slovy: jedno sto padesát tisíc korun českých);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 xml:space="preserve">za </w:t>
      </w:r>
      <w:r w:rsidR="00F2395B">
        <w:rPr>
          <w:color w:val="000000"/>
          <w:sz w:val="22"/>
          <w:szCs w:val="22"/>
          <w:shd w:val="clear" w:color="auto" w:fill="FFF2CC"/>
        </w:rPr>
        <w:t>xxxxxxxxxxxx</w:t>
      </w:r>
      <w:r>
        <w:rPr>
          <w:color w:val="000000"/>
          <w:sz w:val="22"/>
          <w:szCs w:val="22"/>
          <w:shd w:val="clear" w:color="auto" w:fill="FFF2CC"/>
        </w:rPr>
        <w:t xml:space="preserve"> </w:t>
      </w:r>
      <w:r>
        <w:rPr>
          <w:color w:val="000000"/>
          <w:sz w:val="22"/>
          <w:szCs w:val="22"/>
          <w:shd w:val="clear" w:color="auto" w:fill="FFF2CC"/>
        </w:rPr>
        <w:t xml:space="preserve">jednorázová odměna ve výši </w:t>
      </w:r>
      <w:r>
        <w:rPr>
          <w:b/>
          <w:color w:val="000000"/>
          <w:sz w:val="22"/>
          <w:szCs w:val="22"/>
          <w:shd w:val="clear" w:color="auto" w:fill="FFF2CC"/>
        </w:rPr>
        <w:t>50.000 Kč</w:t>
      </w:r>
      <w:r>
        <w:rPr>
          <w:color w:val="000000"/>
          <w:sz w:val="22"/>
          <w:szCs w:val="22"/>
          <w:shd w:val="clear" w:color="auto" w:fill="FFF2CC"/>
        </w:rPr>
        <w:t xml:space="preserve"> (slovy: padesát tisíc korun českých);</w:t>
      </w:r>
    </w:p>
    <w:p w:rsidR="00C54CCF" w:rsidRDefault="00BC3C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 xml:space="preserve">za </w:t>
      </w:r>
      <w:r w:rsidR="00F2395B">
        <w:rPr>
          <w:color w:val="000000"/>
          <w:sz w:val="22"/>
          <w:szCs w:val="22"/>
          <w:shd w:val="clear" w:color="auto" w:fill="FFF2CC"/>
        </w:rPr>
        <w:t>xxxxxxxxxxxxxxx</w:t>
      </w:r>
      <w:r>
        <w:rPr>
          <w:color w:val="000000"/>
          <w:sz w:val="22"/>
          <w:szCs w:val="22"/>
          <w:shd w:val="clear" w:color="auto" w:fill="FFF2CC"/>
        </w:rPr>
        <w:t xml:space="preserve"> pravidelná odměna ve výši </w:t>
      </w:r>
      <w:r>
        <w:rPr>
          <w:b/>
          <w:color w:val="000000"/>
          <w:sz w:val="22"/>
          <w:szCs w:val="22"/>
          <w:shd w:val="clear" w:color="auto" w:fill="FFF2CC"/>
        </w:rPr>
        <w:t>10.000 Kč</w:t>
      </w:r>
      <w:r>
        <w:rPr>
          <w:color w:val="000000"/>
          <w:sz w:val="22"/>
          <w:szCs w:val="22"/>
          <w:shd w:val="clear" w:color="auto" w:fill="FFF2CC"/>
        </w:rPr>
        <w:t xml:space="preserve"> (slovy: deset tisíc korun českých) měsíčně </w:t>
      </w:r>
    </w:p>
    <w:p w:rsidR="00C54CCF" w:rsidRDefault="00BC3C00">
      <w:pPr>
        <w:pBdr>
          <w:top w:val="nil"/>
          <w:left w:val="nil"/>
          <w:bottom w:val="nil"/>
          <w:right w:val="nil"/>
          <w:between w:val="nil"/>
        </w:pBdr>
        <w:spacing w:after="60"/>
        <w:ind w:left="2007" w:firstLine="20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(společně dále jen „</w:t>
      </w:r>
      <w:r>
        <w:rPr>
          <w:b/>
          <w:color w:val="000000"/>
          <w:sz w:val="22"/>
          <w:szCs w:val="22"/>
        </w:rPr>
        <w:t>Cena Služeb</w:t>
      </w:r>
      <w:r>
        <w:rPr>
          <w:color w:val="000000"/>
          <w:sz w:val="22"/>
          <w:szCs w:val="22"/>
        </w:rPr>
        <w:t>“).</w:t>
      </w:r>
    </w:p>
    <w:p w:rsidR="00C54CCF" w:rsidRDefault="00C54CCF">
      <w:pPr>
        <w:pBdr>
          <w:top w:val="nil"/>
          <w:left w:val="nil"/>
          <w:bottom w:val="nil"/>
          <w:right w:val="nil"/>
          <w:between w:val="nil"/>
        </w:pBdr>
        <w:spacing w:after="60"/>
        <w:ind w:left="1143" w:firstLine="1647"/>
        <w:rPr>
          <w:color w:val="000000"/>
          <w:sz w:val="22"/>
          <w:szCs w:val="22"/>
        </w:rPr>
      </w:pP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Služeb je uvedena bez DPH. K Ceně Služeb je Zhotovitel povinen připočíst DPH v zákonné výši.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případě, že Supervize bude v kalendářním měsíci poskytována po dobu kratší než celý měsíc, náleží Zhotoviteli poměrná část Ceny Služeb uvedená v odst. 1 pís</w:t>
      </w:r>
      <w:r>
        <w:rPr>
          <w:color w:val="000000"/>
          <w:sz w:val="22"/>
          <w:szCs w:val="22"/>
        </w:rPr>
        <w:t>m. c) přepočtena podle dnů.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Cenu Služeb podle odst. 1 písm. a</w:t>
      </w:r>
      <w:r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2CC"/>
        </w:rPr>
        <w:t xml:space="preserve"> </w:t>
      </w:r>
      <w:r w:rsidR="00F2395B">
        <w:rPr>
          <w:color w:val="000000"/>
          <w:sz w:val="22"/>
          <w:szCs w:val="22"/>
          <w:shd w:val="clear" w:color="auto" w:fill="FFF2CC"/>
        </w:rPr>
        <w:t>xxxxxxxxxxxxxx</w:t>
      </w:r>
      <w:r>
        <w:rPr>
          <w:color w:val="000000"/>
          <w:sz w:val="22"/>
          <w:szCs w:val="22"/>
        </w:rPr>
        <w:t xml:space="preserve"> je Objednatel povinen uhradit</w:t>
      </w:r>
      <w:r>
        <w:rPr>
          <w:color w:val="000000"/>
          <w:sz w:val="22"/>
          <w:szCs w:val="22"/>
          <w:shd w:val="clear" w:color="auto" w:fill="FFF2CC"/>
        </w:rPr>
        <w:t xml:space="preserve"> </w:t>
      </w:r>
      <w:r w:rsidR="00F2395B">
        <w:rPr>
          <w:color w:val="000000"/>
          <w:sz w:val="22"/>
          <w:szCs w:val="22"/>
          <w:shd w:val="clear" w:color="auto" w:fill="FFF2CC"/>
        </w:rPr>
        <w:t>xxxxxxxxxxxxx</w:t>
      </w:r>
      <w:r>
        <w:rPr>
          <w:color w:val="000000"/>
          <w:sz w:val="22"/>
          <w:szCs w:val="22"/>
          <w:shd w:val="clear" w:color="auto" w:fill="FFF2CC"/>
        </w:rPr>
        <w:t xml:space="preserve"> </w:t>
      </w:r>
      <w:r>
        <w:rPr>
          <w:color w:val="000000"/>
          <w:sz w:val="22"/>
          <w:szCs w:val="22"/>
        </w:rPr>
        <w:t>nejpozději ve lhůtě do 14 dnů od podpisu této Sm</w:t>
      </w:r>
      <w:r>
        <w:rPr>
          <w:color w:val="000000"/>
          <w:sz w:val="22"/>
          <w:szCs w:val="22"/>
        </w:rPr>
        <w:t>louvy, která bude započtena na Cenu Služeb za vytvoření Obsahové strategie v okamžiku její splatnosti. Konečná Cena Služeb podle odst. 1 písm. a) bude doplacena na základě faktury vystavené Zhotovitelem ve lhůtě 15 dnů od schválení Obsahové strategie Objed</w:t>
      </w:r>
      <w:r>
        <w:rPr>
          <w:color w:val="000000"/>
          <w:sz w:val="22"/>
          <w:szCs w:val="22"/>
        </w:rPr>
        <w:t>natelem (viz čl. 3 odst. 2 této smlouvy).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Nestanoví-li tato Smlouva jinak, bude příslušná Cena Služeb podle odst. 1 Objednatelem uhrazena vždy na základě odpovídající faktury vystavené Zhotovitelem ve lhůtě 15 dnů ode dne řádného a úplného poskytnutí přísl</w:t>
      </w:r>
      <w:r>
        <w:rPr>
          <w:color w:val="000000"/>
          <w:sz w:val="22"/>
          <w:szCs w:val="22"/>
        </w:rPr>
        <w:t>ušné Služby, a to na bankovní účet Zhotovitele uvedený v záhlaví této Smlouvy nebo na příslušné faktuře.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úhradu Ceny Služeb, jejich částí či záloh na Cenu Služeb Zhotovitel vystaví vždy řádný daňový doklad – fakturu. Smluvní strany se dohodly, že faktur</w:t>
      </w:r>
      <w:r>
        <w:rPr>
          <w:color w:val="000000"/>
          <w:sz w:val="22"/>
          <w:szCs w:val="22"/>
        </w:rPr>
        <w:t>u Zhotovitel vystaví a předá Objednateli pouze elektronicky. Faktura musí obsahovat náležitosti stanovené příslušnými právními předpisy. V případě, že zaslaná faktura nebude mít náležitosti daňového dokladu nebo bude neúplná a nesprávná, je jí (nebo její k</w:t>
      </w:r>
      <w:r>
        <w:rPr>
          <w:color w:val="000000"/>
          <w:sz w:val="22"/>
          <w:szCs w:val="22"/>
        </w:rPr>
        <w:t xml:space="preserve">opii) Objednatel oprávněn vrátit ve lhůtě splatnosti Zhotoviteli k opravě či doplnění. V takovém případě se Objednatel nedostává do prodlení a platí, že nová lhůta splatnosti faktury běží až od okamžiku doručení opravené faktury Objednateli. 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Faktury Zhoto</w:t>
      </w:r>
      <w:r>
        <w:rPr>
          <w:color w:val="000000"/>
          <w:sz w:val="22"/>
          <w:szCs w:val="22"/>
        </w:rPr>
        <w:t>vitele budou splatné ve lhůtě 15 dnů od svého vystavení. Pokud však Zhotovitel příslušnou fakturu nedoručí Objednateli ani do 2 dnů od jejího vystavení, posouvá se splatnost dané faktury o příslušný počet dní, ve kterém bude Zhotovitel v prodlení s doručen</w:t>
      </w:r>
      <w:r>
        <w:rPr>
          <w:color w:val="000000"/>
          <w:sz w:val="22"/>
          <w:szCs w:val="22"/>
        </w:rPr>
        <w:t>ím faktury Objednateli (počítáno od uplynutí sjednané dvoudenní lhůty pro doručení faktury).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Služeb se považuje za uhrazenou dnem připsání úplné výše Ceny Služeb na bankovní účet Zhotovitele.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Další podmínky spolupráce 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věcnou správnost, přesnost a neexistenci právních vad podkladů poskytnutých ze strany Objednatele Zhotoviteli odpovídá výhradně Objednatel; pokud je však Zhotovitel v mezích své odbornosti s to rozpoznat v těchto podkladech jakékoliv věcné či právní vad</w:t>
      </w:r>
      <w:r>
        <w:rPr>
          <w:color w:val="000000"/>
          <w:sz w:val="22"/>
          <w:szCs w:val="22"/>
        </w:rPr>
        <w:t xml:space="preserve">y, je povinen na tyto vady Objednatele upozornit. Objednatel prohlašuje, že je oprávněn disponovat se všemi </w:t>
      </w:r>
      <w:r>
        <w:rPr>
          <w:color w:val="000000"/>
          <w:sz w:val="22"/>
          <w:szCs w:val="22"/>
        </w:rPr>
        <w:lastRenderedPageBreak/>
        <w:t>podklady poskytnutými Zhotoviteli za účelem plnění této Smlouvy, zejména je oprávněn k využití, úpravám, zveřejnění v souladu s touto Smlouvou na zá</w:t>
      </w:r>
      <w:r>
        <w:rPr>
          <w:color w:val="000000"/>
          <w:sz w:val="22"/>
          <w:szCs w:val="22"/>
        </w:rPr>
        <w:t>kladě odpovídajících licencí k textovým a grafickým podkladům tvořícím audiovizuální autorská díla a souhlasů příslušných autorů těchto děl. Zhotovitel nemá povinnost prověřovat faktickou správnost, úplnost či právní nezávadnost podkladů obdržených od Obje</w:t>
      </w:r>
      <w:r>
        <w:rPr>
          <w:color w:val="000000"/>
          <w:sz w:val="22"/>
          <w:szCs w:val="22"/>
        </w:rPr>
        <w:t>dnatele.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při poskytování Služeb postupovat s odbornou péčí a chránit oprávněné zájmy Objednatele, zejména nepoškozovat jeho dobré jméno, nezneužívat informace o Objednateli získané při poskytování Služeb pro svůj vlastní prospěch či p</w:t>
      </w:r>
      <w:r>
        <w:rPr>
          <w:color w:val="000000"/>
          <w:sz w:val="22"/>
          <w:szCs w:val="22"/>
        </w:rPr>
        <w:t>rospěch třetích osob.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případě, že Zhotovitel použije k provedení Služeb třetí osoby, odpovídá za jejich jednání ve stejném rozsahu, jako kdyby Služby poskytl osobně. Zhotovitel je povinen zajistit, aby byly všechny třetí osoby použité pro plnění Smlouvy </w:t>
      </w:r>
      <w:r>
        <w:rPr>
          <w:color w:val="000000"/>
          <w:sz w:val="22"/>
          <w:szCs w:val="22"/>
        </w:rPr>
        <w:t>vázány povinnostmi mlčenlivosti dle této Smlouvy.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Licenční ujednání</w:t>
      </w:r>
    </w:p>
    <w:p w:rsidR="00C54CCF" w:rsidRDefault="00F239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  <w:shd w:val="clear" w:color="auto" w:fill="FFF2CC"/>
        </w:rPr>
      </w:pPr>
      <w:r>
        <w:rPr>
          <w:color w:val="000000"/>
          <w:sz w:val="22"/>
          <w:szCs w:val="22"/>
          <w:shd w:val="clear" w:color="auto" w:fill="FFF2CC"/>
        </w:rPr>
        <w:t>xxxxxxxxxxxxxxxxxxxxxxxxxxxxxxxxx</w:t>
      </w:r>
      <w:r w:rsidR="00BC3C00">
        <w:rPr>
          <w:color w:val="000000"/>
          <w:sz w:val="22"/>
          <w:szCs w:val="22"/>
          <w:shd w:val="clear" w:color="auto" w:fill="FFF2CC"/>
        </w:rPr>
        <w:t>.</w:t>
      </w:r>
    </w:p>
    <w:p w:rsidR="00C54CCF" w:rsidRDefault="00BC3C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Odměna za poskytnutí Licence dle tohoto článku je již zahrnuta v odměně za poskytnutí Služeb.</w:t>
      </w:r>
    </w:p>
    <w:p w:rsidR="00C54CCF" w:rsidRDefault="00BC3C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</w:rPr>
      </w:pPr>
      <w:r>
        <w:rPr>
          <w:color w:val="000000"/>
          <w:sz w:val="22"/>
          <w:szCs w:val="22"/>
        </w:rPr>
        <w:t>V případě využití autorských děl Zhotovitele nebo třetích osob v Obsahové strategii Zhotovitel prohlašuje, že disponuje veškerými souhlasy autor</w:t>
      </w:r>
      <w:r>
        <w:rPr>
          <w:color w:val="000000"/>
          <w:sz w:val="22"/>
          <w:szCs w:val="22"/>
        </w:rPr>
        <w:t>ů takových děl k dispozicím uvedeným v tomto článku smlouvy.</w:t>
      </w:r>
    </w:p>
    <w:p w:rsidR="00C54CCF" w:rsidRDefault="00BC3C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Ujednání podle tohoto článku smlouvy přetrvá zánik této smlouvy bez ohledu na důvod jejího ukončení a Zhotovitel není oprávněn ujednání o licenci vypovědět ani od něj odstoupit.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bookmarkStart w:id="1" w:name="_heading=h.gjdgxs" w:colFirst="0" w:colLast="0"/>
      <w:bookmarkEnd w:id="1"/>
      <w:r>
        <w:rPr>
          <w:b/>
          <w:color w:val="000000"/>
          <w:sz w:val="22"/>
          <w:szCs w:val="22"/>
          <w:u w:val="single"/>
        </w:rPr>
        <w:t>Doba trvání smlou</w:t>
      </w:r>
      <w:r>
        <w:rPr>
          <w:b/>
          <w:color w:val="000000"/>
          <w:sz w:val="22"/>
          <w:szCs w:val="22"/>
          <w:u w:val="single"/>
        </w:rPr>
        <w:t>vy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se uzavírá na dobu neurčitou. Každá ze smluvních stran je oprávněná tuto smlouvu písemně vypovědět, a to pouze z důvodů uvedených v této smlouvě. Aplikaci zákonných ustanovení o vypovězení či odstoupení od smlouvy smluvní strany vylučují.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je oprávněn vypovědět tuto Smlouvu bez uvedení důvodu až po předání Obsahové strategie a splnění Podpory implementace s dvouměsíční výpovědní lhůtou. Výpovědní lhůta počíná běžet prvním dnem kalendářního měsíce následujícího po měsíci, v kterém </w:t>
      </w:r>
      <w:r>
        <w:rPr>
          <w:color w:val="000000"/>
          <w:sz w:val="22"/>
          <w:szCs w:val="22"/>
        </w:rPr>
        <w:t>byla výpověď doručena Objednateli.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oprávněn vypovědět tuto Smlouvu bez uvedení důvodu až po předání Obsahové strategie s jednoměsíční výpovědní lhůtou. Výpovědní lhůta počíná běžet prvním dnem kalendářního měsíce následujícího po měsíci, v kt</w:t>
      </w:r>
      <w:r>
        <w:rPr>
          <w:color w:val="000000"/>
          <w:sz w:val="22"/>
          <w:szCs w:val="22"/>
        </w:rPr>
        <w:t>erém byla výpověď doručena Zhotoviteli.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oprávněn tuto smlouvu vypovědět s okamžitou účinností, pokud se Objednatel dostane do prodlení s úhradou s Cenou Služeb (nebo její částí) po dobu delší 10 dnů, a toto porušení neodstraní ani v dodatečné</w:t>
      </w:r>
      <w:r>
        <w:rPr>
          <w:color w:val="000000"/>
          <w:sz w:val="22"/>
          <w:szCs w:val="22"/>
        </w:rPr>
        <w:t xml:space="preserve"> sedmidenní lhůtě od doručení písemné výzvy Objednateli.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oprávněn tuto smlouvu vypovědět s okamžitou účinností, pokud Zhotovitel podstatně nebo opakovaně (nejméně 2x) porušuje některé ze svých povinností dle této Smlouvy a toto porušení neods</w:t>
      </w:r>
      <w:r>
        <w:rPr>
          <w:color w:val="000000"/>
          <w:sz w:val="22"/>
          <w:szCs w:val="22"/>
        </w:rPr>
        <w:t>traní ani v dodatečné sedmidenní lhůtě od doručení písemné výzvy od Objednatele.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Komunikace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účely této smlouvy smluvní strany uznávají autenticitu elektronické komunikace (emailu) z emailových adres smluvních stran, případně interní komunikační systém Objednatele. Pro zadání a akceptaci objednávek Služeb postačí i ústní forma.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Mlčenlivost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</w:t>
      </w:r>
      <w:r>
        <w:rPr>
          <w:color w:val="000000"/>
          <w:sz w:val="22"/>
          <w:szCs w:val="22"/>
        </w:rPr>
        <w:t xml:space="preserve">uvní strany vzájemně prohlašují, že veškeré údaje, které se dozví v rámci plnění této Smlouvy, a které nejsou veřejně dostupné, tvoří ve smyslu § 504 zákona č. 89/2012 Sb., </w:t>
      </w:r>
      <w:r>
        <w:rPr>
          <w:color w:val="000000"/>
          <w:sz w:val="22"/>
          <w:szCs w:val="22"/>
        </w:rPr>
        <w:lastRenderedPageBreak/>
        <w:t>občanského zákoníku v platném znění předmět obchodního tajemství druhé Smluvní stra</w:t>
      </w:r>
      <w:r>
        <w:rPr>
          <w:color w:val="000000"/>
          <w:sz w:val="22"/>
          <w:szCs w:val="22"/>
        </w:rPr>
        <w:t xml:space="preserve">ny. Za informace, tvořící obchodní tajemství, se například považují: </w:t>
      </w:r>
    </w:p>
    <w:p w:rsidR="00C54CCF" w:rsidRDefault="00BC3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informace týkající se současné pozice Objednatele na trhu a vnitřního uspořádání Objednatele; </w:t>
      </w:r>
    </w:p>
    <w:p w:rsidR="00C54CCF" w:rsidRDefault="00BC3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informace o edičním plánu, marketingových plánech a připravovaných kampaních Objednatele;</w:t>
      </w:r>
    </w:p>
    <w:p w:rsidR="00C54CCF" w:rsidRDefault="00BC3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informace o nových produktech a službách Objednatele;</w:t>
      </w:r>
    </w:p>
    <w:p w:rsidR="00C54CCF" w:rsidRDefault="00BC3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informace o strategiích a doporučeních Zhotovitele, které jsou předmětem Služeb a know-how Zhotovitele;</w:t>
      </w:r>
    </w:p>
    <w:p w:rsidR="00C54CCF" w:rsidRDefault="00BC3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obsah dokumentu Obsahová strategie;</w:t>
      </w:r>
    </w:p>
    <w:p w:rsidR="00C54CCF" w:rsidRDefault="00BC3C00">
      <w:pPr>
        <w:ind w:firstLine="567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Důvěrné informace</w:t>
      </w:r>
      <w:r>
        <w:rPr>
          <w:sz w:val="22"/>
          <w:szCs w:val="22"/>
        </w:rPr>
        <w:t>“).</w:t>
      </w:r>
    </w:p>
    <w:p w:rsidR="00C54CCF" w:rsidRDefault="00C54CCF">
      <w:pPr>
        <w:ind w:firstLine="567"/>
        <w:rPr>
          <w:sz w:val="22"/>
          <w:szCs w:val="22"/>
        </w:rPr>
      </w:pP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Každá ze Smluvních stran je p</w:t>
      </w:r>
      <w:r>
        <w:rPr>
          <w:color w:val="000000"/>
          <w:sz w:val="22"/>
          <w:szCs w:val="22"/>
        </w:rPr>
        <w:t>ovinna zachovávat mlčenlivost o obsahu Důvěrných informací, chránit Důvěrné informace před ztrátou, zneužitím, zpřístupněním neoprávněné třetí osobě, Důvěrné informace bez písemného souhlasu druhé Smluvní strany nerozšiřovat, nesdělit nebo nezpřístupnit tř</w:t>
      </w:r>
      <w:r>
        <w:rPr>
          <w:color w:val="000000"/>
          <w:sz w:val="22"/>
          <w:szCs w:val="22"/>
        </w:rPr>
        <w:t xml:space="preserve">etím osobám, ať už úmyslně či z nedbalosti, pokud takové zpřístupnění výslovně nevyplývá z ujednání mezi Smluvními stranami anebo je zjevně předpokládané v rámci plnění práv a povinností Smluvní strany v rámci poskytnutých Služeb. 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Každá ze Smluvních stran</w:t>
      </w:r>
      <w:r>
        <w:rPr>
          <w:color w:val="000000"/>
          <w:sz w:val="22"/>
          <w:szCs w:val="22"/>
        </w:rPr>
        <w:t xml:space="preserve"> se zavazuje Důvěrné informace nezneužít ve svůj prospěch či prospěch třetí osoby, přímo i nepřímo.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</w:rPr>
      </w:pPr>
      <w:r>
        <w:rPr>
          <w:color w:val="000000"/>
          <w:sz w:val="22"/>
          <w:szCs w:val="22"/>
        </w:rPr>
        <w:t>Povinnosti mlčenlivosti a ochrany Důvěrných informací dle tohoto článku Smlouvy trvají bez omezení i po zániku této Smlouvy.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Zvláštní ujednání o zveřejnění v registru smluv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osobou, na níž se vztahují povinnosti vyplývající ze zákona č. 340/2015 Sb., o registru smluv (dále jen „</w:t>
      </w:r>
      <w:r>
        <w:rPr>
          <w:b/>
          <w:color w:val="000000"/>
          <w:sz w:val="22"/>
          <w:szCs w:val="22"/>
        </w:rPr>
        <w:t>ZoRS</w:t>
      </w:r>
      <w:r>
        <w:rPr>
          <w:color w:val="000000"/>
          <w:sz w:val="22"/>
          <w:szCs w:val="22"/>
        </w:rPr>
        <w:t>“). Tato Smlouva podléhá povinnosti uveřejnění v registru smluv podle ZoRS a nabývá ú</w:t>
      </w:r>
      <w:r>
        <w:rPr>
          <w:color w:val="000000"/>
          <w:sz w:val="22"/>
          <w:szCs w:val="22"/>
        </w:rPr>
        <w:t>činnosti dnem uveřejnění v tomto registru. Zhotovitel si je vědom následků této skutečnosti.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 uveřejnění této Smlouvy v souladu s ust. § 5 ZoRS se zavazuje Objednatel. Pouze v případě, že by tuto svoji povinnost Objednatel nesplnil ani do 30 dnů od uzavření této Smlouvy, je k uveřejnění Smlouvy v registru smluv oprávněn Zhotovitel, který je však </w:t>
      </w:r>
      <w:r>
        <w:rPr>
          <w:color w:val="000000"/>
          <w:sz w:val="22"/>
          <w:szCs w:val="22"/>
        </w:rPr>
        <w:t>v takovém případě povinen respektovat zejména ujednání dle následující odst. 3 tohoto článku Smlouvy.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konstatují, že skutečnosti uvedené v následujících ustanoveních jsou obchodním tajemstvím ve smyslu ust. § 504 zákona č. 89/2012 Sb., občan</w:t>
      </w:r>
      <w:r>
        <w:rPr>
          <w:color w:val="000000"/>
          <w:sz w:val="22"/>
          <w:szCs w:val="22"/>
        </w:rPr>
        <w:t>ského zákoníku popř. chráněnými osobními údaji dle Nařízení Evropského parlamentu a Rady č. 2016/679, o ochraně fyzických osob v souvislosti se zpracováním osobních údajů a o volném pohybu těchto údajů a o zrušení směrnice 95/46/ES (obecné nařízení o ochra</w:t>
      </w:r>
      <w:r>
        <w:rPr>
          <w:color w:val="000000"/>
          <w:sz w:val="22"/>
          <w:szCs w:val="22"/>
        </w:rPr>
        <w:t xml:space="preserve">ně osobních údajů, tzv. GDPR) a tato ustanovení budou proto na základě ust. § 3 odst. 1 ZoRS, ve spojení s ust. § 8a a § 9 odst. 1 zákona č. 106/1999 Sb., o svobodném přístupu k informacím, zveřejňující smluvní stranou učiněna nečitelnými v rámci registru </w:t>
      </w:r>
      <w:r>
        <w:rPr>
          <w:color w:val="000000"/>
          <w:sz w:val="22"/>
          <w:szCs w:val="22"/>
        </w:rPr>
        <w:t>smluv:</w:t>
      </w:r>
    </w:p>
    <w:p w:rsidR="00C54CCF" w:rsidRDefault="00BC3C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určení rozsahu poskytovaných Služeb v čl. 3 odst. 1 této Smlouvy;</w:t>
      </w:r>
    </w:p>
    <w:p w:rsidR="00C54CCF" w:rsidRDefault="00BC3C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licenční ujednání v čl. 6 odst. 1 této Smlouvy.</w:t>
      </w:r>
    </w:p>
    <w:p w:rsidR="00C54CCF" w:rsidRDefault="00BC3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Závěrečná ustanovení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nabývá platnosti a účinnosti dnem jejího uzavření.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by se v důsledku změny právních předpisů neb</w:t>
      </w:r>
      <w:r>
        <w:rPr>
          <w:color w:val="000000"/>
          <w:sz w:val="22"/>
          <w:szCs w:val="22"/>
        </w:rPr>
        <w:t>o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</w:t>
      </w:r>
      <w:r>
        <w:rPr>
          <w:color w:val="000000"/>
          <w:sz w:val="22"/>
          <w:szCs w:val="22"/>
        </w:rPr>
        <w:t>-li se o ustanovení, která oddělit nelze. Ukáže-li se některé z ustanovení této Smlouvy zdánlivým (nicotným), posoudí se vliv této vady na ostatní ustanovení smlouvy obdobně podle § 576 občanského zákoníku.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Ostatní práva a povinnosti vyplývající z této sml</w:t>
      </w:r>
      <w:r>
        <w:rPr>
          <w:color w:val="000000"/>
          <w:sz w:val="22"/>
          <w:szCs w:val="22"/>
        </w:rPr>
        <w:t>ouvy, pokud v ní nejsou výslovně uvedeny, se řídí zákonem č. 89/2012, občanský zákoník, a zákonem č. 121/2000 Sb., autorským zákonem, v platném znění, a dalšími obecně závaznými právními předpisy platnými na území České republiky.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výslovně vylučují aplikaci obchodních podmínek Zhotovitele na jejich smluvní vztah, včetně všech vztahů budoucích. Změny tohoto ujednání nelze provést konkludentně (např. učiněním a plněním objednávky), ani jiným ujednáním, vyjma výslovného </w:t>
      </w:r>
      <w:r>
        <w:rPr>
          <w:color w:val="000000"/>
          <w:sz w:val="22"/>
          <w:szCs w:val="22"/>
        </w:rPr>
        <w:t>ujednání v dodatku této smlouvy.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případě, že některé ustanovení této smlouvy je nebo se stane neúčinné, zůstávají ostatní ustanovení této smlouvy účinná. Smluvní strany se zavazují nahradit neúčinné ustanovení této smlouvy ustanovením jiným, účinným, kte</w:t>
      </w:r>
      <w:r>
        <w:rPr>
          <w:color w:val="000000"/>
          <w:sz w:val="22"/>
          <w:szCs w:val="22"/>
        </w:rPr>
        <w:t>ré svým obsahem a smyslem odpovídá nejlépe obsahu a smyslu ustanovení původního, neúčinného, a úmyslu stran této smlouvy v den jejího uzavření.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této smlouvy budou řešeny písemnými dodatky k této smlouvě podepsanými oběma smluvními stranami.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ato smlouva je vyhotovena ve dvou stejnopisech, z nichž každá ze smluvních stran dostane po jednom.</w:t>
      </w:r>
    </w:p>
    <w:p w:rsidR="00C54CCF" w:rsidRDefault="00BC3C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576" w:hanging="5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se seznámily s obsahem této smlouvy a že vyjadřuje jejich pravou a svobodnou vůli, na důkaz čehož připojují své vlastnoruční p</w:t>
      </w:r>
      <w:r>
        <w:rPr>
          <w:color w:val="000000"/>
          <w:sz w:val="22"/>
          <w:szCs w:val="22"/>
        </w:rPr>
        <w:t>odpisy.</w:t>
      </w:r>
    </w:p>
    <w:p w:rsidR="00C54CCF" w:rsidRDefault="00C54CCF">
      <w:pPr>
        <w:ind w:firstLine="567"/>
        <w:rPr>
          <w:sz w:val="22"/>
          <w:szCs w:val="22"/>
        </w:rPr>
      </w:pPr>
    </w:p>
    <w:p w:rsidR="00C54CCF" w:rsidRDefault="00C54CCF">
      <w:pPr>
        <w:pBdr>
          <w:top w:val="nil"/>
          <w:left w:val="nil"/>
          <w:bottom w:val="nil"/>
          <w:right w:val="nil"/>
          <w:between w:val="nil"/>
        </w:pBdr>
        <w:ind w:left="2007" w:firstLine="2007"/>
        <w:rPr>
          <w:color w:val="000000"/>
          <w:sz w:val="22"/>
          <w:szCs w:val="22"/>
        </w:rPr>
      </w:pPr>
    </w:p>
    <w:p w:rsidR="00C54CCF" w:rsidRDefault="00BC3C00">
      <w:pPr>
        <w:tabs>
          <w:tab w:val="center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V Praze dne </w:t>
      </w:r>
      <w:r w:rsidR="00F2395B">
        <w:rPr>
          <w:sz w:val="22"/>
          <w:szCs w:val="22"/>
        </w:rPr>
        <w:t>18. 3. 2024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Praze dne </w:t>
      </w:r>
      <w:r w:rsidR="00F2395B">
        <w:rPr>
          <w:sz w:val="22"/>
          <w:szCs w:val="22"/>
        </w:rPr>
        <w:t>18. 3. 2024</w:t>
      </w:r>
    </w:p>
    <w:p w:rsidR="00C54CCF" w:rsidRDefault="00C54CCF">
      <w:pPr>
        <w:ind w:left="0"/>
        <w:rPr>
          <w:sz w:val="22"/>
          <w:szCs w:val="22"/>
        </w:rPr>
      </w:pPr>
    </w:p>
    <w:p w:rsidR="00C54CCF" w:rsidRDefault="00C54CCF">
      <w:pPr>
        <w:ind w:left="0"/>
        <w:rPr>
          <w:sz w:val="22"/>
          <w:szCs w:val="22"/>
        </w:rPr>
      </w:pPr>
    </w:p>
    <w:p w:rsidR="00C54CCF" w:rsidRDefault="00C54CCF">
      <w:pPr>
        <w:ind w:left="0"/>
        <w:rPr>
          <w:sz w:val="22"/>
          <w:szCs w:val="22"/>
        </w:rPr>
      </w:pPr>
    </w:p>
    <w:p w:rsidR="00C54CCF" w:rsidRDefault="00C54CCF">
      <w:pPr>
        <w:ind w:left="0"/>
        <w:rPr>
          <w:sz w:val="22"/>
          <w:szCs w:val="22"/>
        </w:rPr>
      </w:pPr>
    </w:p>
    <w:p w:rsidR="00C54CCF" w:rsidRDefault="00C54CCF">
      <w:pPr>
        <w:ind w:left="0"/>
        <w:rPr>
          <w:sz w:val="22"/>
          <w:szCs w:val="22"/>
        </w:rPr>
      </w:pPr>
    </w:p>
    <w:tbl>
      <w:tblPr>
        <w:tblStyle w:val="a1"/>
        <w:tblW w:w="9072" w:type="dxa"/>
        <w:tblInd w:w="0" w:type="dxa"/>
        <w:tblLayout w:type="fixed"/>
        <w:tblLook w:val="0000"/>
      </w:tblPr>
      <w:tblGrid>
        <w:gridCol w:w="4536"/>
        <w:gridCol w:w="4536"/>
      </w:tblGrid>
      <w:tr w:rsidR="00C54CCF">
        <w:trPr>
          <w:cantSplit/>
          <w:trHeight w:val="222"/>
          <w:tblHeader/>
        </w:trPr>
        <w:tc>
          <w:tcPr>
            <w:tcW w:w="4536" w:type="dxa"/>
          </w:tcPr>
          <w:p w:rsidR="00C54CCF" w:rsidRDefault="00BC3C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536" w:type="dxa"/>
          </w:tcPr>
          <w:p w:rsidR="00C54CCF" w:rsidRDefault="00BC3C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C54CCF">
        <w:trPr>
          <w:cantSplit/>
          <w:trHeight w:val="877"/>
          <w:tblHeader/>
        </w:trPr>
        <w:tc>
          <w:tcPr>
            <w:tcW w:w="4536" w:type="dxa"/>
          </w:tcPr>
          <w:p w:rsidR="00C54CCF" w:rsidRDefault="00BC3C00">
            <w:pPr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Národní filmový archiv, příspěvková organizace</w:t>
            </w:r>
          </w:p>
          <w:p w:rsidR="00C54CCF" w:rsidRDefault="00BC3C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Michal Bregant, generální ředitele</w:t>
            </w:r>
          </w:p>
          <w:p w:rsidR="00C54CCF" w:rsidRDefault="00BC3C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4536" w:type="dxa"/>
          </w:tcPr>
          <w:p w:rsidR="00C54CCF" w:rsidRDefault="00BC3C00">
            <w:pPr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TUBRR s.r.o.</w:t>
            </w:r>
          </w:p>
          <w:p w:rsidR="00C54CCF" w:rsidRDefault="00F2395B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</w:t>
            </w:r>
          </w:p>
          <w:p w:rsidR="00C54CCF" w:rsidRDefault="00BC3C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Zhotovitel</w:t>
            </w:r>
          </w:p>
          <w:p w:rsidR="00C54CCF" w:rsidRDefault="00C54CCF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C54CCF" w:rsidRDefault="00C54CCF">
      <w:pPr>
        <w:ind w:left="0"/>
        <w:rPr>
          <w:sz w:val="22"/>
          <w:szCs w:val="22"/>
        </w:rPr>
      </w:pPr>
    </w:p>
    <w:sectPr w:rsidR="00C54CCF" w:rsidSect="00C54C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00" w:rsidRDefault="00BC3C00" w:rsidP="00C54CCF">
      <w:r>
        <w:separator/>
      </w:r>
    </w:p>
  </w:endnote>
  <w:endnote w:type="continuationSeparator" w:id="1">
    <w:p w:rsidR="00BC3C00" w:rsidRDefault="00BC3C00" w:rsidP="00C5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F" w:rsidRDefault="00C54C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567"/>
      <w:jc w:val="right"/>
      <w:rPr>
        <w:color w:val="000000"/>
      </w:rPr>
    </w:pPr>
    <w:r>
      <w:fldChar w:fldCharType="begin"/>
    </w:r>
    <w:r w:rsidR="00BC3C00">
      <w:instrText>PAGE</w:instrText>
    </w:r>
    <w:r w:rsidR="003B5BF6">
      <w:fldChar w:fldCharType="separate"/>
    </w:r>
    <w:r w:rsidR="00F2395B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F" w:rsidRDefault="00C54CCF">
    <w:pPr>
      <w:ind w:firstLine="567"/>
      <w:jc w:val="right"/>
    </w:pPr>
    <w:r>
      <w:fldChar w:fldCharType="begin"/>
    </w:r>
    <w:r w:rsidR="00BC3C00">
      <w:instrText>PAGE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00" w:rsidRDefault="00BC3C00" w:rsidP="00C54CCF">
      <w:r>
        <w:separator/>
      </w:r>
    </w:p>
  </w:footnote>
  <w:footnote w:type="continuationSeparator" w:id="1">
    <w:p w:rsidR="00BC3C00" w:rsidRDefault="00BC3C00" w:rsidP="00C54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F" w:rsidRDefault="00BC3C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567"/>
      <w:jc w:val="right"/>
      <w:rPr>
        <w:color w:val="000000"/>
        <w:sz w:val="22"/>
        <w:szCs w:val="22"/>
      </w:rPr>
    </w:pPr>
    <w:r>
      <w:rPr>
        <w:sz w:val="22"/>
        <w:szCs w:val="22"/>
      </w:rPr>
      <w:t>ZAV01346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F" w:rsidRDefault="00C54CCF">
    <w:pPr>
      <w:ind w:firstLine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87B"/>
    <w:multiLevelType w:val="multilevel"/>
    <w:tmpl w:val="A3C2BBBE"/>
    <w:lvl w:ilvl="0">
      <w:start w:val="1"/>
      <w:numFmt w:val="upperRoman"/>
      <w:lvlText w:val="%1."/>
      <w:lvlJc w:val="left"/>
      <w:pPr>
        <w:ind w:left="128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D95829"/>
    <w:multiLevelType w:val="multilevel"/>
    <w:tmpl w:val="AC36481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684E66"/>
    <w:multiLevelType w:val="multilevel"/>
    <w:tmpl w:val="D11249B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E5531B"/>
    <w:multiLevelType w:val="multilevel"/>
    <w:tmpl w:val="E5C2E11A"/>
    <w:lvl w:ilvl="0">
      <w:start w:val="1"/>
      <w:numFmt w:val="decimal"/>
      <w:lvlText w:val="%1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907" w:hanging="340"/>
      </w:pPr>
    </w:lvl>
    <w:lvl w:ilvl="3">
      <w:start w:val="1"/>
      <w:numFmt w:val="decimal"/>
      <w:lvlText w:val="%1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7FB374B"/>
    <w:multiLevelType w:val="multilevel"/>
    <w:tmpl w:val="E592BDC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2873FC0"/>
    <w:multiLevelType w:val="multilevel"/>
    <w:tmpl w:val="1FEADA3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2AF5698"/>
    <w:multiLevelType w:val="multilevel"/>
    <w:tmpl w:val="8E5E161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3C40720"/>
    <w:multiLevelType w:val="multilevel"/>
    <w:tmpl w:val="0172D350"/>
    <w:lvl w:ilvl="0">
      <w:start w:val="1"/>
      <w:numFmt w:val="decimal"/>
      <w:lvlText w:val="%1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134" w:hanging="567"/>
      </w:pPr>
    </w:lvl>
    <w:lvl w:ilvl="2">
      <w:start w:val="1"/>
      <w:numFmt w:val="lowerLetter"/>
      <w:lvlText w:val="%3)"/>
      <w:lvlJc w:val="left"/>
      <w:pPr>
        <w:ind w:left="907" w:hanging="340"/>
      </w:pPr>
    </w:lvl>
    <w:lvl w:ilvl="3">
      <w:start w:val="1"/>
      <w:numFmt w:val="decimal"/>
      <w:lvlText w:val="%1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CCF"/>
    <w:rsid w:val="003B5BF6"/>
    <w:rsid w:val="00BC3C00"/>
    <w:rsid w:val="00C54CCF"/>
    <w:rsid w:val="00F2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0FF"/>
  </w:style>
  <w:style w:type="paragraph" w:styleId="Nadpis1">
    <w:name w:val="heading 1"/>
    <w:basedOn w:val="Normln"/>
    <w:next w:val="Normln"/>
    <w:uiPriority w:val="9"/>
    <w:qFormat/>
    <w:rsid w:val="0082130F"/>
    <w:pPr>
      <w:keepNext/>
      <w:keepLines/>
      <w:spacing w:before="240" w:after="60"/>
      <w:ind w:left="1287" w:hanging="360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0FF"/>
    <w:pPr>
      <w:keepLines/>
      <w:spacing w:after="60"/>
      <w:ind w:left="2007" w:hanging="360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rsid w:val="007630FF"/>
    <w:pPr>
      <w:keepLines/>
      <w:ind w:left="2727" w:hanging="360"/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rsid w:val="007630FF"/>
    <w:pPr>
      <w:keepNext/>
      <w:spacing w:before="240" w:after="60"/>
      <w:ind w:left="3447" w:hanging="3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7630FF"/>
    <w:pPr>
      <w:spacing w:before="240" w:after="60"/>
      <w:ind w:left="4167" w:hanging="360"/>
      <w:outlineLvl w:val="4"/>
    </w:pPr>
    <w:rPr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7630FF"/>
    <w:pPr>
      <w:spacing w:before="240" w:after="60"/>
      <w:ind w:left="4887" w:hanging="3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7630FF"/>
    <w:pPr>
      <w:spacing w:before="240" w:after="60"/>
      <w:ind w:left="5607" w:hanging="3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630FF"/>
    <w:pPr>
      <w:spacing w:before="240" w:after="60"/>
      <w:ind w:left="6327" w:hanging="3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630FF"/>
    <w:pPr>
      <w:spacing w:before="240" w:after="60"/>
      <w:ind w:left="7047" w:hanging="3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C54CCF"/>
  </w:style>
  <w:style w:type="table" w:customStyle="1" w:styleId="TableNormal">
    <w:name w:val="Table Normal"/>
    <w:rsid w:val="00C54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7630FF"/>
    <w:pPr>
      <w:widowControl w:val="0"/>
      <w:jc w:val="center"/>
    </w:pPr>
    <w:rPr>
      <w:b/>
      <w:snapToGrid w:val="0"/>
      <w:sz w:val="36"/>
    </w:rPr>
  </w:style>
  <w:style w:type="paragraph" w:customStyle="1" w:styleId="normal0">
    <w:name w:val="normal"/>
    <w:rsid w:val="00C54CCF"/>
  </w:style>
  <w:style w:type="table" w:customStyle="1" w:styleId="TableNormal0">
    <w:name w:val="Table Normal"/>
    <w:rsid w:val="00C54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C54CCF"/>
  </w:style>
  <w:style w:type="table" w:customStyle="1" w:styleId="TableNormal1">
    <w:name w:val="Table Normal"/>
    <w:rsid w:val="00C54C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54C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54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semiHidden/>
    <w:rsid w:val="007630FF"/>
    <w:rPr>
      <w:snapToGrid w:val="0"/>
    </w:rPr>
  </w:style>
  <w:style w:type="paragraph" w:styleId="Zkladntext2">
    <w:name w:val="Body Text 2"/>
    <w:basedOn w:val="Normln"/>
    <w:semiHidden/>
    <w:rsid w:val="007630FF"/>
    <w:pPr>
      <w:jc w:val="center"/>
    </w:pPr>
    <w:rPr>
      <w:snapToGrid w:val="0"/>
    </w:rPr>
  </w:style>
  <w:style w:type="paragraph" w:styleId="Zhlav">
    <w:name w:val="header"/>
    <w:basedOn w:val="Normln"/>
    <w:semiHidden/>
    <w:rsid w:val="00763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30F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630FF"/>
  </w:style>
  <w:style w:type="paragraph" w:styleId="Zkladntextodsazen">
    <w:name w:val="Body Text Indent"/>
    <w:basedOn w:val="Normln"/>
    <w:semiHidden/>
    <w:rsid w:val="007630FF"/>
    <w:pPr>
      <w:ind w:left="0"/>
      <w:jc w:val="left"/>
    </w:pPr>
    <w:rPr>
      <w:b/>
      <w:sz w:val="48"/>
    </w:rPr>
  </w:style>
  <w:style w:type="paragraph" w:customStyle="1" w:styleId="Text11">
    <w:name w:val="Text 1.1."/>
    <w:basedOn w:val="Zkladntextodsazen"/>
    <w:rsid w:val="007630FF"/>
    <w:pPr>
      <w:tabs>
        <w:tab w:val="left" w:pos="993"/>
      </w:tabs>
      <w:spacing w:after="120"/>
      <w:ind w:left="993" w:hanging="709"/>
      <w:jc w:val="both"/>
    </w:pPr>
    <w:rPr>
      <w:rFonts w:ascii="Arial" w:hAnsi="Arial"/>
      <w:b w:val="0"/>
      <w:sz w:val="24"/>
    </w:rPr>
  </w:style>
  <w:style w:type="paragraph" w:styleId="Zkladntextodsazen2">
    <w:name w:val="Body Text Indent 2"/>
    <w:basedOn w:val="Normln"/>
    <w:semiHidden/>
    <w:rsid w:val="007630FF"/>
    <w:pPr>
      <w:spacing w:after="120"/>
      <w:ind w:left="1713"/>
    </w:pPr>
    <w:rPr>
      <w:rFonts w:ascii="Arial" w:hAnsi="Arial"/>
      <w:i/>
      <w:snapToGrid w:val="0"/>
      <w:kern w:val="28"/>
    </w:rPr>
  </w:style>
  <w:style w:type="paragraph" w:styleId="Zkladntextodsazen3">
    <w:name w:val="Body Text Indent 3"/>
    <w:basedOn w:val="Normln"/>
    <w:semiHidden/>
    <w:rsid w:val="007630FF"/>
    <w:pPr>
      <w:spacing w:after="120"/>
      <w:ind w:left="993"/>
    </w:pPr>
    <w:rPr>
      <w:rFonts w:ascii="Arial" w:hAnsi="Arial"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A0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704A4"/>
  </w:style>
  <w:style w:type="table" w:styleId="Mkatabulky">
    <w:name w:val="Table Grid"/>
    <w:basedOn w:val="Normlntabulka"/>
    <w:uiPriority w:val="59"/>
    <w:rsid w:val="00823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5615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81312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131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1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1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12E"/>
    <w:rPr>
      <w:b/>
      <w:bCs/>
    </w:rPr>
  </w:style>
  <w:style w:type="paragraph" w:customStyle="1" w:styleId="Prvniuroven">
    <w:name w:val="Prvni_uroven"/>
    <w:basedOn w:val="slovanseznam"/>
    <w:next w:val="Druhauroven"/>
    <w:rsid w:val="00964C9E"/>
    <w:pPr>
      <w:keepNext/>
      <w:keepLines/>
      <w:widowControl w:val="0"/>
      <w:tabs>
        <w:tab w:val="num" w:pos="567"/>
      </w:tabs>
      <w:spacing w:before="480" w:after="240" w:line="280" w:lineRule="exact"/>
      <w:ind w:left="567" w:hanging="567"/>
      <w:contextualSpacing w:val="0"/>
      <w:outlineLvl w:val="0"/>
    </w:pPr>
    <w:rPr>
      <w:rFonts w:ascii="Garamond" w:hAnsi="Garamond"/>
      <w:b/>
      <w:caps/>
    </w:rPr>
  </w:style>
  <w:style w:type="paragraph" w:customStyle="1" w:styleId="Druhauroven">
    <w:name w:val="Druha_uroven"/>
    <w:basedOn w:val="Normln"/>
    <w:rsid w:val="00964C9E"/>
    <w:pPr>
      <w:widowControl w:val="0"/>
      <w:spacing w:before="240" w:after="240" w:line="300" w:lineRule="atLeast"/>
      <w:ind w:left="0"/>
      <w:outlineLvl w:val="1"/>
    </w:pPr>
    <w:rPr>
      <w:rFonts w:ascii="Garamond" w:hAnsi="Garamond"/>
    </w:rPr>
  </w:style>
  <w:style w:type="paragraph" w:styleId="slovanseznam">
    <w:name w:val="List Number"/>
    <w:basedOn w:val="Normln"/>
    <w:uiPriority w:val="99"/>
    <w:semiHidden/>
    <w:unhideWhenUsed/>
    <w:rsid w:val="00964C9E"/>
    <w:pPr>
      <w:tabs>
        <w:tab w:val="num" w:pos="397"/>
      </w:tabs>
      <w:ind w:left="397" w:hanging="397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662735"/>
    <w:rPr>
      <w:sz w:val="24"/>
    </w:rPr>
  </w:style>
  <w:style w:type="paragraph" w:styleId="Podtitul">
    <w:name w:val="Subtitle"/>
    <w:basedOn w:val="normal1"/>
    <w:next w:val="normal1"/>
    <w:rsid w:val="00C54CC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567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rsid w:val="00C54CC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xmsonormal">
    <w:name w:val="x_msonormal"/>
    <w:basedOn w:val="Normln"/>
    <w:rsid w:val="00D254C9"/>
    <w:pPr>
      <w:spacing w:before="100" w:beforeAutospacing="1" w:after="100" w:afterAutospacing="1"/>
      <w:ind w:left="0"/>
      <w:jc w:val="left"/>
    </w:pPr>
  </w:style>
  <w:style w:type="table" w:customStyle="1" w:styleId="1">
    <w:name w:val="1"/>
    <w:basedOn w:val="TableNormal10"/>
    <w:rsid w:val="00C54CC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ze">
    <w:name w:val="Revision"/>
    <w:hidden/>
    <w:uiPriority w:val="99"/>
    <w:semiHidden/>
    <w:rsid w:val="00A61A9F"/>
    <w:pPr>
      <w:ind w:left="0"/>
      <w:jc w:val="left"/>
    </w:pPr>
  </w:style>
  <w:style w:type="table" w:customStyle="1" w:styleId="a">
    <w:basedOn w:val="TableNormal2"/>
    <w:rsid w:val="00C54CC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C54CC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C54CC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KMLxd05CTMUOa4OUeRoQT020w==">CgMxLjAyCWguMzBqMHpsbDIIaC5namRneHM4AHIhMXBvbjQzMWVpLThHX1RDbjRlZHV6VlpoX0xNRlBseFdK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2312</Words>
  <Characters>13642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Hana Soudková</cp:lastModifiedBy>
  <cp:revision>2</cp:revision>
  <dcterms:created xsi:type="dcterms:W3CDTF">2019-02-27T15:05:00Z</dcterms:created>
  <dcterms:modified xsi:type="dcterms:W3CDTF">2024-03-25T11:48:00Z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0x010100E6B1BB88A4CA6345B2825A44B1E7E936</vt:lpwstr>
  </property>
  <property fmtid="{D5CDD505-2E9C-101B-9397-08002B2CF9AE}" pid="3" name="Order">
    <vt:r8>14954600</vt:r8>
  </property>
</Properties>
</file>