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7221200122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ČEZ,</w:t>
      </w:r>
      <w:r>
        <w:rPr>
          <w:spacing w:val="-5"/>
        </w:rPr>
        <w:t> </w:t>
      </w:r>
      <w:r>
        <w:rPr/>
        <w:t>a.</w:t>
      </w:r>
      <w:r>
        <w:rPr>
          <w:spacing w:val="-4"/>
        </w:rPr>
        <w:t> </w:t>
      </w:r>
      <w:r>
        <w:rPr>
          <w:spacing w:val="-5"/>
        </w:rPr>
        <w:t>s.</w:t>
      </w:r>
    </w:p>
    <w:p>
      <w:pPr>
        <w:pStyle w:val="BodyText"/>
        <w:ind w:left="102" w:right="1254"/>
      </w:pPr>
      <w:r>
        <w:rPr/>
        <w:t>obchodní</w:t>
      </w:r>
      <w:r>
        <w:rPr>
          <w:spacing w:val="-5"/>
        </w:rPr>
        <w:t> </w:t>
      </w:r>
      <w:r>
        <w:rPr/>
        <w:t>společnost</w:t>
      </w:r>
      <w:r>
        <w:rPr>
          <w:spacing w:val="-5"/>
        </w:rPr>
        <w:t> </w:t>
      </w:r>
      <w:r>
        <w:rPr/>
        <w:t>zapsaná</w:t>
      </w:r>
      <w:r>
        <w:rPr>
          <w:spacing w:val="-5"/>
        </w:rPr>
        <w:t> </w:t>
      </w:r>
      <w:r>
        <w:rPr/>
        <w:t>v</w:t>
      </w:r>
      <w:r>
        <w:rPr>
          <w:spacing w:val="-4"/>
        </w:rPr>
        <w:t> </w:t>
      </w:r>
      <w:r>
        <w:rPr/>
        <w:t>obchodním</w:t>
      </w:r>
      <w:r>
        <w:rPr>
          <w:spacing w:val="-6"/>
        </w:rPr>
        <w:t> </w:t>
      </w:r>
      <w:r>
        <w:rPr/>
        <w:t>rejstříku</w:t>
      </w:r>
      <w:r>
        <w:rPr>
          <w:spacing w:val="-4"/>
        </w:rPr>
        <w:t> </w:t>
      </w:r>
      <w:r>
        <w:rPr/>
        <w:t>vedeném</w:t>
      </w:r>
      <w:r>
        <w:rPr>
          <w:spacing w:val="-6"/>
        </w:rPr>
        <w:t> </w:t>
      </w:r>
      <w:r>
        <w:rPr/>
        <w:t>Městským</w:t>
      </w:r>
      <w:r>
        <w:rPr>
          <w:spacing w:val="-6"/>
        </w:rPr>
        <w:t> </w:t>
      </w:r>
      <w:r>
        <w:rPr/>
        <w:t>soudem</w:t>
      </w:r>
      <w:r>
        <w:rPr>
          <w:spacing w:val="-6"/>
        </w:rPr>
        <w:t> </w:t>
      </w:r>
      <w:r>
        <w:rPr/>
        <w:t>v</w:t>
      </w:r>
      <w:r>
        <w:rPr>
          <w:spacing w:val="-4"/>
        </w:rPr>
        <w:t> </w:t>
      </w:r>
      <w:r>
        <w:rPr/>
        <w:t>Praze, oddíl B, vložka 1581</w:t>
      </w:r>
    </w:p>
    <w:p>
      <w:pPr>
        <w:pStyle w:val="BodyText"/>
        <w:tabs>
          <w:tab w:pos="2982" w:val="left" w:leader="none"/>
        </w:tabs>
        <w:spacing w:line="265" w:lineRule="exact"/>
        <w:ind w:left="102"/>
      </w:pPr>
      <w:r>
        <w:rPr/>
        <w:t>se</w:t>
      </w:r>
      <w:r>
        <w:rPr>
          <w:spacing w:val="-5"/>
        </w:rPr>
        <w:t> </w:t>
      </w:r>
      <w:r>
        <w:rPr>
          <w:spacing w:val="-2"/>
        </w:rPr>
        <w:t>sídlem:</w:t>
      </w:r>
      <w:r>
        <w:rPr/>
        <w:tab/>
        <w:t>Praha</w:t>
      </w:r>
      <w:r>
        <w:rPr>
          <w:spacing w:val="-6"/>
        </w:rPr>
        <w:t> </w:t>
      </w:r>
      <w:r>
        <w:rPr/>
        <w:t>4,</w:t>
      </w:r>
      <w:r>
        <w:rPr>
          <w:spacing w:val="-6"/>
        </w:rPr>
        <w:t> </w:t>
      </w:r>
      <w:r>
        <w:rPr/>
        <w:t>Duhová</w:t>
      </w:r>
      <w:r>
        <w:rPr>
          <w:spacing w:val="-6"/>
        </w:rPr>
        <w:t> </w:t>
      </w:r>
      <w:r>
        <w:rPr/>
        <w:t>2/1444,</w:t>
      </w:r>
      <w:r>
        <w:rPr>
          <w:spacing w:val="-6"/>
        </w:rPr>
        <w:t> </w:t>
      </w:r>
      <w:r>
        <w:rPr/>
        <w:t>140</w:t>
      </w:r>
      <w:r>
        <w:rPr>
          <w:spacing w:val="-5"/>
        </w:rPr>
        <w:t> </w:t>
      </w:r>
      <w:r>
        <w:rPr/>
        <w:t>53</w:t>
      </w:r>
      <w:r>
        <w:rPr>
          <w:spacing w:val="-5"/>
        </w:rPr>
        <w:t> </w:t>
      </w:r>
      <w:r>
        <w:rPr/>
        <w:t>Praha</w:t>
      </w:r>
      <w:r>
        <w:rPr>
          <w:spacing w:val="-6"/>
        </w:rPr>
        <w:t> </w:t>
      </w:r>
      <w:r>
        <w:rPr>
          <w:spacing w:val="-10"/>
        </w:rPr>
        <w:t>4</w:t>
      </w:r>
    </w:p>
    <w:p>
      <w:pPr>
        <w:pStyle w:val="BodyText"/>
        <w:tabs>
          <w:tab w:pos="2982" w:val="left" w:leader="none"/>
        </w:tabs>
        <w:spacing w:before="1"/>
        <w:ind w:left="102"/>
      </w:pPr>
      <w:r>
        <w:rPr>
          <w:spacing w:val="-4"/>
        </w:rPr>
        <w:t>IČO:</w:t>
      </w:r>
      <w:r>
        <w:rPr>
          <w:rFonts w:ascii="Times New Roman" w:hAnsi="Times New Roman"/>
        </w:rPr>
        <w:tab/>
      </w:r>
      <w:r>
        <w:rPr/>
        <w:t>452</w:t>
      </w:r>
      <w:r>
        <w:rPr>
          <w:spacing w:val="-2"/>
        </w:rPr>
        <w:t> </w:t>
      </w:r>
      <w:r>
        <w:rPr/>
        <w:t>74</w:t>
      </w:r>
      <w:r>
        <w:rPr>
          <w:spacing w:val="-2"/>
        </w:rPr>
        <w:t> </w:t>
      </w:r>
      <w:r>
        <w:rPr>
          <w:spacing w:val="-5"/>
        </w:rPr>
        <w:t>649</w:t>
      </w:r>
    </w:p>
    <w:p>
      <w:pPr>
        <w:pStyle w:val="BodyText"/>
        <w:tabs>
          <w:tab w:pos="2982" w:val="left" w:leader="none"/>
        </w:tabs>
        <w:ind w:left="102"/>
      </w:pPr>
      <w:r>
        <w:rPr>
          <w:spacing w:val="-2"/>
        </w:rPr>
        <w:t>zastoupená:</w:t>
      </w:r>
      <w:r>
        <w:rPr/>
        <w:tab/>
        <w:t>na</w:t>
      </w:r>
      <w:r>
        <w:rPr>
          <w:spacing w:val="-11"/>
        </w:rPr>
        <w:t> </w:t>
      </w:r>
      <w:r>
        <w:rPr/>
        <w:t>základě</w:t>
      </w:r>
      <w:r>
        <w:rPr>
          <w:spacing w:val="-10"/>
        </w:rPr>
        <w:t> </w:t>
      </w:r>
      <w:r>
        <w:rPr/>
        <w:t>plné</w:t>
      </w:r>
      <w:r>
        <w:rPr>
          <w:spacing w:val="-11"/>
        </w:rPr>
        <w:t> </w:t>
      </w:r>
      <w:r>
        <w:rPr/>
        <w:t>moci</w:t>
      </w:r>
      <w:r>
        <w:rPr>
          <w:spacing w:val="-10"/>
        </w:rPr>
        <w:t> </w:t>
      </w:r>
      <w:r>
        <w:rPr/>
        <w:t>JUDr.</w:t>
      </w:r>
      <w:r>
        <w:rPr>
          <w:spacing w:val="-8"/>
        </w:rPr>
        <w:t> </w:t>
      </w:r>
      <w:r>
        <w:rPr/>
        <w:t>Zuzanou</w:t>
      </w:r>
      <w:r>
        <w:rPr>
          <w:spacing w:val="-9"/>
        </w:rPr>
        <w:t> </w:t>
      </w:r>
      <w:r>
        <w:rPr/>
        <w:t>K</w:t>
      </w:r>
      <w:r>
        <w:rPr>
          <w:spacing w:val="-4"/>
        </w:rPr>
        <w:t> </w:t>
      </w:r>
      <w:r>
        <w:rPr/>
        <w:t>r</w:t>
      </w:r>
      <w:r>
        <w:rPr>
          <w:spacing w:val="-10"/>
        </w:rPr>
        <w:t> </w:t>
      </w:r>
      <w:r>
        <w:rPr/>
        <w:t>e</w:t>
      </w:r>
      <w:r>
        <w:rPr>
          <w:spacing w:val="-10"/>
        </w:rPr>
        <w:t> </w:t>
      </w:r>
      <w:r>
        <w:rPr/>
        <w:t>j</w:t>
      </w:r>
      <w:r>
        <w:rPr>
          <w:spacing w:val="-11"/>
        </w:rPr>
        <w:t> </w:t>
      </w:r>
      <w:r>
        <w:rPr/>
        <w:t>č</w:t>
      </w:r>
      <w:r>
        <w:rPr>
          <w:spacing w:val="-10"/>
        </w:rPr>
        <w:t> </w:t>
      </w:r>
      <w:r>
        <w:rPr/>
        <w:t>i</w:t>
      </w:r>
      <w:r>
        <w:rPr>
          <w:spacing w:val="-11"/>
        </w:rPr>
        <w:t> </w:t>
      </w:r>
      <w:r>
        <w:rPr/>
        <w:t>ř</w:t>
      </w:r>
      <w:r>
        <w:rPr>
          <w:spacing w:val="-9"/>
        </w:rPr>
        <w:t> </w:t>
      </w:r>
      <w:r>
        <w:rPr/>
        <w:t>í</w:t>
      </w:r>
      <w:r>
        <w:rPr>
          <w:spacing w:val="-11"/>
        </w:rPr>
        <w:t> </w:t>
      </w:r>
      <w:r>
        <w:rPr/>
        <w:t>k</w:t>
      </w:r>
      <w:r>
        <w:rPr>
          <w:spacing w:val="-3"/>
        </w:rPr>
        <w:t> </w:t>
      </w:r>
      <w:r>
        <w:rPr/>
        <w:t>o</w:t>
      </w:r>
      <w:r>
        <w:rPr>
          <w:spacing w:val="-10"/>
        </w:rPr>
        <w:t> </w:t>
      </w:r>
      <w:r>
        <w:rPr/>
        <w:t>v</w:t>
      </w:r>
      <w:r>
        <w:rPr>
          <w:spacing w:val="-2"/>
        </w:rPr>
        <w:t> </w:t>
      </w:r>
      <w:r>
        <w:rPr/>
        <w:t>o</w:t>
      </w:r>
      <w:r>
        <w:rPr>
          <w:spacing w:val="-9"/>
        </w:rPr>
        <w:t> </w:t>
      </w:r>
      <w:r>
        <w:rPr/>
        <w:t>u,</w:t>
      </w:r>
      <w:r>
        <w:rPr>
          <w:spacing w:val="-10"/>
        </w:rPr>
        <w:t> </w:t>
      </w:r>
      <w:r>
        <w:rPr/>
        <w:t>ředitelkou</w:t>
      </w:r>
      <w:r>
        <w:rPr>
          <w:spacing w:val="-9"/>
        </w:rPr>
        <w:t> </w:t>
      </w:r>
      <w:r>
        <w:rPr>
          <w:spacing w:val="-2"/>
        </w:rPr>
        <w:t>útvaru</w:t>
      </w:r>
    </w:p>
    <w:p>
      <w:pPr>
        <w:pStyle w:val="BodyText"/>
        <w:ind w:left="2982"/>
      </w:pPr>
      <w:r>
        <w:rPr/>
        <w:t>public</w:t>
      </w:r>
      <w:r>
        <w:rPr>
          <w:spacing w:val="-8"/>
        </w:rPr>
        <w:t> </w:t>
      </w:r>
      <w:r>
        <w:rPr/>
        <w:t>affairs</w:t>
      </w:r>
      <w:r>
        <w:rPr>
          <w:spacing w:val="-7"/>
        </w:rPr>
        <w:t> </w:t>
      </w:r>
      <w:r>
        <w:rPr/>
        <w:t>Skupiny</w:t>
      </w:r>
      <w:r>
        <w:rPr>
          <w:spacing w:val="-6"/>
        </w:rPr>
        <w:t> </w:t>
      </w:r>
      <w:r>
        <w:rPr>
          <w:spacing w:val="-5"/>
        </w:rPr>
        <w:t>ČEZ</w:t>
      </w:r>
    </w:p>
    <w:p>
      <w:pPr>
        <w:pStyle w:val="BodyText"/>
        <w:tabs>
          <w:tab w:pos="2982" w:val="left" w:leader="none"/>
        </w:tabs>
        <w:spacing w:before="1"/>
        <w:ind w:left="102"/>
      </w:pPr>
      <w:r>
        <w:rPr/>
        <w:t>bankovní</w:t>
      </w:r>
      <w:r>
        <w:rPr>
          <w:spacing w:val="-11"/>
        </w:rPr>
        <w:t> </w:t>
      </w:r>
      <w:r>
        <w:rPr>
          <w:spacing w:val="-2"/>
        </w:rPr>
        <w:t>spojení:</w:t>
      </w:r>
      <w:r>
        <w:rPr/>
        <w:tab/>
        <w:t>Komerční</w:t>
      </w:r>
      <w:r>
        <w:rPr>
          <w:spacing w:val="-8"/>
        </w:rPr>
        <w:t> </w:t>
      </w:r>
      <w:r>
        <w:rPr/>
        <w:t>banka,</w:t>
      </w:r>
      <w:r>
        <w:rPr>
          <w:spacing w:val="-8"/>
        </w:rPr>
        <w:t> </w:t>
      </w:r>
      <w:r>
        <w:rPr>
          <w:spacing w:val="-4"/>
        </w:rPr>
        <w:t>a.s.</w:t>
      </w:r>
    </w:p>
    <w:p>
      <w:pPr>
        <w:pStyle w:val="BodyText"/>
        <w:tabs>
          <w:tab w:pos="2982" w:val="left" w:leader="none"/>
        </w:tabs>
        <w:ind w:left="102" w:right="5262"/>
      </w:pPr>
      <w:r>
        <w:rPr/>
        <w:t>číslo účtu:</w:t>
        <w:tab/>
      </w:r>
      <w:r>
        <w:rPr>
          <w:spacing w:val="-2"/>
        </w:rPr>
        <w:t>71504011/0100 </w:t>
      </w:r>
      <w:r>
        <w:rPr/>
        <w:t>(dále jen „příjemce podpory“)</w:t>
      </w:r>
    </w:p>
    <w:p>
      <w:pPr>
        <w:pStyle w:val="BodyText"/>
        <w:spacing w:before="12"/>
        <w:rPr>
          <w:sz w:val="19"/>
        </w:rPr>
      </w:pPr>
    </w:p>
    <w:p>
      <w:pPr>
        <w:pStyle w:val="BodyText"/>
        <w:ind w:left="102"/>
      </w:pPr>
      <w:r>
        <w:rPr/>
        <w:t>se</w:t>
      </w:r>
      <w:r>
        <w:rPr>
          <w:spacing w:val="-7"/>
        </w:rPr>
        <w:t> </w:t>
      </w:r>
      <w:r>
        <w:rPr/>
        <w:t>dohodly</w:t>
      </w:r>
      <w:r>
        <w:rPr>
          <w:spacing w:val="-6"/>
        </w:rPr>
        <w:t> </w:t>
      </w:r>
      <w:r>
        <w:rPr>
          <w:spacing w:val="-2"/>
        </w:rPr>
        <w:t>takto:</w:t>
      </w:r>
    </w:p>
    <w:p>
      <w:pPr>
        <w:pStyle w:val="BodyText"/>
        <w:spacing w:before="1"/>
      </w:pPr>
    </w:p>
    <w:p>
      <w:pPr>
        <w:pStyle w:val="Heading1"/>
        <w:ind w:left="4731" w:right="4740"/>
      </w:pPr>
      <w:r>
        <w:rPr>
          <w:spacing w:val="-5"/>
        </w:rPr>
        <w:t>I.</w:t>
      </w:r>
    </w:p>
    <w:p>
      <w:pPr>
        <w:pStyle w:val="Heading2"/>
        <w:ind w:left="3135" w:right="3148"/>
      </w:pPr>
      <w:r>
        <w:rPr/>
        <w:t>Předmět</w:t>
      </w:r>
      <w:r>
        <w:rPr>
          <w:spacing w:val="-12"/>
        </w:rPr>
        <w:t> </w:t>
      </w:r>
      <w:r>
        <w:rPr>
          <w:spacing w:val="-2"/>
        </w:rPr>
        <w:t>smlouvy</w:t>
      </w:r>
    </w:p>
    <w:p>
      <w:pPr>
        <w:pStyle w:val="BodyText"/>
        <w:spacing w:before="12"/>
        <w:rPr>
          <w:b/>
          <w:sz w:val="19"/>
        </w:rPr>
      </w:pPr>
    </w:p>
    <w:p>
      <w:pPr>
        <w:pStyle w:val="ListParagraph"/>
        <w:numPr>
          <w:ilvl w:val="0"/>
          <w:numId w:val="1"/>
        </w:numPr>
        <w:tabs>
          <w:tab w:pos="386" w:val="left" w:leader="none"/>
        </w:tabs>
        <w:spacing w:line="240" w:lineRule="auto" w:before="1"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7221200122 o poskytnutí finančních prostředků ze Státního fondu životního prostředí ČR ze dne 11. 4. 2023 v</w:t>
      </w:r>
      <w:r>
        <w:rPr>
          <w:spacing w:val="-1"/>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1"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2/2022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spacing w:after="0"/>
        <w:rPr>
          <w:sz w:val="9"/>
        </w:rPr>
        <w:sectPr>
          <w:pgSz w:w="12240" w:h="15840"/>
          <w:pgMar w:header="708" w:footer="771" w:top="2040" w:bottom="960" w:left="1600" w:right="1020"/>
        </w:sectPr>
      </w:pPr>
    </w:p>
    <w:p>
      <w:pPr>
        <w:pStyle w:val="ListParagraph"/>
        <w:numPr>
          <w:ilvl w:val="0"/>
          <w:numId w:val="1"/>
        </w:numPr>
        <w:tabs>
          <w:tab w:pos="386" w:val="left" w:leader="none"/>
        </w:tabs>
        <w:spacing w:line="240" w:lineRule="auto" w:before="99"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BodyText"/>
        <w:spacing w:before="12"/>
        <w:rPr>
          <w:sz w:val="37"/>
        </w:rPr>
      </w:pPr>
    </w:p>
    <w:p>
      <w:pPr>
        <w:pStyle w:val="BodyText"/>
        <w:ind w:left="385"/>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line="240" w:lineRule="auto" w:before="6"/>
        <w:rPr>
          <w:sz w:val="36"/>
        </w:rPr>
      </w:pPr>
      <w:r>
        <w:rPr/>
        <w:br w:type="column"/>
      </w:r>
      <w:r>
        <w:rPr>
          <w:sz w:val="36"/>
        </w:rPr>
      </w:r>
    </w:p>
    <w:p>
      <w:pPr>
        <w:pStyle w:val="Heading2"/>
        <w:spacing w:before="1"/>
        <w:jc w:val="left"/>
      </w:pPr>
      <w:r>
        <w:rPr/>
        <w:t>„FVE</w:t>
      </w:r>
      <w:r>
        <w:rPr>
          <w:spacing w:val="-8"/>
        </w:rPr>
        <w:t> </w:t>
      </w:r>
      <w:r>
        <w:rPr/>
        <w:t>Tušimice</w:t>
      </w:r>
      <w:r>
        <w:rPr>
          <w:spacing w:val="-7"/>
        </w:rPr>
        <w:t> </w:t>
      </w:r>
      <w:r>
        <w:rPr>
          <w:spacing w:val="-5"/>
        </w:rPr>
        <w:t>II“</w:t>
      </w:r>
    </w:p>
    <w:p>
      <w:pPr>
        <w:spacing w:after="0"/>
        <w:jc w:val="left"/>
        <w:sectPr>
          <w:type w:val="continuous"/>
          <w:pgSz w:w="12240" w:h="15840"/>
          <w:pgMar w:header="708" w:footer="771" w:top="2040" w:bottom="960" w:left="1600" w:right="1020"/>
          <w:cols w:num="2" w:equalWidth="0">
            <w:col w:w="3609" w:space="292"/>
            <w:col w:w="5719"/>
          </w:cols>
        </w:sectPr>
      </w:pPr>
    </w:p>
    <w:p>
      <w:pPr>
        <w:pStyle w:val="ListParagraph"/>
        <w:numPr>
          <w:ilvl w:val="0"/>
          <w:numId w:val="1"/>
        </w:numPr>
        <w:tabs>
          <w:tab w:pos="386" w:val="left" w:leader="none"/>
        </w:tabs>
        <w:spacing w:line="240" w:lineRule="auto" w:before="121" w:after="0"/>
        <w:ind w:left="385" w:right="114"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2"/>
          <w:sz w:val="20"/>
        </w:rPr>
        <w:t> </w:t>
      </w:r>
      <w:r>
        <w:rPr>
          <w:sz w:val="20"/>
        </w:rPr>
        <w:t>(obecné</w:t>
      </w:r>
      <w:r>
        <w:rPr>
          <w:spacing w:val="-11"/>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2"/>
          <w:sz w:val="20"/>
        </w:rPr>
        <w:t> </w:t>
      </w:r>
      <w:r>
        <w:rPr>
          <w:sz w:val="20"/>
        </w:rPr>
        <w:t>v</w:t>
      </w:r>
      <w:r>
        <w:rPr>
          <w:spacing w:val="-11"/>
          <w:sz w:val="20"/>
        </w:rPr>
        <w:t> </w:t>
      </w:r>
      <w:r>
        <w:rPr>
          <w:sz w:val="20"/>
        </w:rPr>
        <w:t>Úředním</w:t>
      </w:r>
      <w:r>
        <w:rPr>
          <w:spacing w:val="-12"/>
          <w:sz w:val="20"/>
        </w:rPr>
        <w:t> </w:t>
      </w:r>
      <w:r>
        <w:rPr>
          <w:sz w:val="20"/>
        </w:rPr>
        <w:t>věstníku</w:t>
      </w:r>
      <w:r>
        <w:rPr>
          <w:spacing w:val="-11"/>
          <w:sz w:val="20"/>
        </w:rPr>
        <w:t> </w:t>
      </w:r>
      <w:r>
        <w:rPr>
          <w:sz w:val="20"/>
        </w:rPr>
        <w:t>EU</w:t>
      </w:r>
      <w:r>
        <w:rPr>
          <w:spacing w:val="-11"/>
          <w:sz w:val="20"/>
        </w:rPr>
        <w:t> </w:t>
      </w:r>
      <w:r>
        <w:rPr>
          <w:sz w:val="20"/>
        </w:rPr>
        <w:t>dne</w:t>
      </w:r>
      <w:r>
        <w:rPr>
          <w:spacing w:val="-11"/>
          <w:sz w:val="20"/>
        </w:rPr>
        <w:t> </w:t>
      </w:r>
      <w:r>
        <w:rPr>
          <w:sz w:val="20"/>
        </w:rPr>
        <w:t>26.</w:t>
      </w:r>
      <w:r>
        <w:rPr>
          <w:spacing w:val="-11"/>
          <w:sz w:val="20"/>
        </w:rPr>
        <w:t> </w:t>
      </w:r>
      <w:r>
        <w:rPr>
          <w:sz w:val="20"/>
        </w:rPr>
        <w:t>června</w:t>
      </w:r>
      <w:r>
        <w:rPr>
          <w:spacing w:val="-11"/>
          <w:sz w:val="20"/>
        </w:rPr>
        <w:t> </w:t>
      </w:r>
      <w:r>
        <w:rPr>
          <w:sz w:val="20"/>
        </w:rPr>
        <w:t>2014 a jejím oznámením SA.63670.</w:t>
      </w:r>
    </w:p>
    <w:p>
      <w:pPr>
        <w:pStyle w:val="BodyText"/>
        <w:spacing w:before="12"/>
        <w:rPr>
          <w:sz w:val="19"/>
        </w:rPr>
      </w:pPr>
    </w:p>
    <w:p>
      <w:pPr>
        <w:pStyle w:val="Heading1"/>
        <w:ind w:left="3143" w:right="2799"/>
      </w:pPr>
      <w:r>
        <w:rPr>
          <w:spacing w:val="-5"/>
        </w:rPr>
        <w:t>II.</w:t>
      </w:r>
    </w:p>
    <w:p>
      <w:pPr>
        <w:pStyle w:val="Heading2"/>
        <w:spacing w:before="1"/>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1"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7"/>
          <w:sz w:val="20"/>
        </w:rPr>
        <w:t> </w:t>
      </w:r>
      <w:r>
        <w:rPr>
          <w:sz w:val="20"/>
        </w:rPr>
        <w:t>dotace</w:t>
      </w:r>
      <w:r>
        <w:rPr>
          <w:spacing w:val="-8"/>
          <w:sz w:val="20"/>
        </w:rPr>
        <w:t> </w:t>
      </w:r>
      <w:r>
        <w:rPr>
          <w:sz w:val="20"/>
        </w:rPr>
        <w:t>ve</w:t>
      </w:r>
      <w:r>
        <w:rPr>
          <w:spacing w:val="-8"/>
          <w:sz w:val="20"/>
        </w:rPr>
        <w:t> </w:t>
      </w:r>
      <w:r>
        <w:rPr>
          <w:sz w:val="20"/>
        </w:rPr>
        <w:t>výši</w:t>
      </w:r>
      <w:r>
        <w:rPr>
          <w:spacing w:val="-7"/>
          <w:sz w:val="20"/>
        </w:rPr>
        <w:t> </w:t>
      </w:r>
      <w:r>
        <w:rPr>
          <w:b/>
          <w:sz w:val="20"/>
        </w:rPr>
        <w:t>542 501</w:t>
      </w:r>
      <w:r>
        <w:rPr>
          <w:b/>
          <w:spacing w:val="-2"/>
          <w:sz w:val="20"/>
        </w:rPr>
        <w:t> </w:t>
      </w:r>
      <w:r>
        <w:rPr>
          <w:b/>
          <w:sz w:val="20"/>
        </w:rPr>
        <w:t>995,20</w:t>
      </w:r>
      <w:r>
        <w:rPr>
          <w:b/>
          <w:spacing w:val="-6"/>
          <w:sz w:val="20"/>
        </w:rPr>
        <w:t> </w:t>
      </w:r>
      <w:r>
        <w:rPr>
          <w:b/>
          <w:sz w:val="20"/>
        </w:rPr>
        <w:t>Kč</w:t>
      </w:r>
      <w:r>
        <w:rPr>
          <w:b/>
          <w:spacing w:val="-7"/>
          <w:sz w:val="20"/>
        </w:rPr>
        <w:t> </w:t>
      </w:r>
      <w:r>
        <w:rPr>
          <w:sz w:val="20"/>
        </w:rPr>
        <w:t>(slovy:</w:t>
      </w:r>
      <w:r>
        <w:rPr>
          <w:spacing w:val="-6"/>
          <w:sz w:val="20"/>
        </w:rPr>
        <w:t> </w:t>
      </w:r>
      <w:r>
        <w:rPr>
          <w:sz w:val="20"/>
        </w:rPr>
        <w:t>pět</w:t>
      </w:r>
      <w:r>
        <w:rPr>
          <w:spacing w:val="-7"/>
          <w:sz w:val="20"/>
        </w:rPr>
        <w:t> </w:t>
      </w:r>
      <w:r>
        <w:rPr>
          <w:sz w:val="20"/>
        </w:rPr>
        <w:t>set</w:t>
      </w:r>
      <w:r>
        <w:rPr>
          <w:spacing w:val="-7"/>
          <w:sz w:val="20"/>
        </w:rPr>
        <w:t> </w:t>
      </w:r>
      <w:r>
        <w:rPr>
          <w:sz w:val="20"/>
        </w:rPr>
        <w:t>čtyřicet</w:t>
      </w:r>
      <w:r>
        <w:rPr>
          <w:spacing w:val="-7"/>
          <w:sz w:val="20"/>
        </w:rPr>
        <w:t> </w:t>
      </w:r>
      <w:r>
        <w:rPr>
          <w:sz w:val="20"/>
        </w:rPr>
        <w:t>dva</w:t>
      </w:r>
      <w:r>
        <w:rPr>
          <w:spacing w:val="-7"/>
          <w:sz w:val="20"/>
        </w:rPr>
        <w:t> </w:t>
      </w:r>
      <w:r>
        <w:rPr>
          <w:sz w:val="20"/>
        </w:rPr>
        <w:t>milionů</w:t>
      </w:r>
      <w:r>
        <w:rPr>
          <w:spacing w:val="-7"/>
          <w:sz w:val="20"/>
        </w:rPr>
        <w:t> </w:t>
      </w:r>
      <w:r>
        <w:rPr>
          <w:sz w:val="20"/>
        </w:rPr>
        <w:t>pět</w:t>
      </w:r>
      <w:r>
        <w:rPr>
          <w:spacing w:val="-7"/>
          <w:sz w:val="20"/>
        </w:rPr>
        <w:t> </w:t>
      </w:r>
      <w:r>
        <w:rPr>
          <w:sz w:val="20"/>
        </w:rPr>
        <w:t>set</w:t>
      </w:r>
      <w:r>
        <w:rPr>
          <w:spacing w:val="-7"/>
          <w:sz w:val="20"/>
        </w:rPr>
        <w:t> </w:t>
      </w:r>
      <w:r>
        <w:rPr>
          <w:sz w:val="20"/>
        </w:rPr>
        <w:t>jedna</w:t>
      </w:r>
      <w:r>
        <w:rPr>
          <w:spacing w:val="-7"/>
          <w:sz w:val="20"/>
        </w:rPr>
        <w:t> </w:t>
      </w:r>
      <w:r>
        <w:rPr>
          <w:sz w:val="20"/>
        </w:rPr>
        <w:t>tisíc</w:t>
      </w:r>
      <w:r>
        <w:rPr>
          <w:spacing w:val="-8"/>
          <w:sz w:val="20"/>
        </w:rPr>
        <w:t> </w:t>
      </w:r>
      <w:r>
        <w:rPr>
          <w:sz w:val="20"/>
        </w:rPr>
        <w:t>devět</w:t>
      </w:r>
      <w:r>
        <w:rPr>
          <w:spacing w:val="-7"/>
          <w:sz w:val="20"/>
        </w:rPr>
        <w:t> </w:t>
      </w:r>
      <w:r>
        <w:rPr>
          <w:sz w:val="20"/>
        </w:rPr>
        <w:t>set devadesát pět korun českých a dvacet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2 282 526 979,00 Kč.</w:t>
      </w:r>
    </w:p>
    <w:p>
      <w:pPr>
        <w:pStyle w:val="ListParagraph"/>
        <w:numPr>
          <w:ilvl w:val="0"/>
          <w:numId w:val="2"/>
        </w:numPr>
        <w:tabs>
          <w:tab w:pos="386" w:val="left" w:leader="none"/>
        </w:tabs>
        <w:spacing w:line="240" w:lineRule="auto" w:before="121" w:after="0"/>
        <w:ind w:left="385" w:right="0" w:hanging="280"/>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pPr>
      <w:r>
        <w:rPr>
          <w:spacing w:val="-4"/>
        </w:rPr>
        <w:t>III.</w:t>
      </w:r>
    </w:p>
    <w:p>
      <w:pPr>
        <w:pStyle w:val="Heading2"/>
        <w:spacing w:before="1"/>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2"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type w:val="continuous"/>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2"/>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6"/>
        <w:ind w:left="3140"/>
      </w:pPr>
      <w:r>
        <w:rPr>
          <w:spacing w:val="-5"/>
        </w:rPr>
        <w:t>IV.</w:t>
      </w:r>
    </w:p>
    <w:p>
      <w:pPr>
        <w:pStyle w:val="Heading2"/>
        <w:ind w:left="1047" w:right="105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6"/>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18" w:after="0"/>
        <w:ind w:left="745" w:right="110" w:hanging="360"/>
        <w:jc w:val="left"/>
        <w:rPr>
          <w:sz w:val="20"/>
        </w:rPr>
      </w:pPr>
      <w:r>
        <w:rPr>
          <w:sz w:val="20"/>
        </w:rPr>
        <w:t>splní</w:t>
      </w:r>
      <w:r>
        <w:rPr>
          <w:spacing w:val="-8"/>
          <w:sz w:val="20"/>
        </w:rPr>
        <w:t> </w:t>
      </w:r>
      <w:r>
        <w:rPr>
          <w:sz w:val="20"/>
        </w:rPr>
        <w:t>účel</w:t>
      </w:r>
      <w:r>
        <w:rPr>
          <w:spacing w:val="-8"/>
          <w:sz w:val="20"/>
        </w:rPr>
        <w:t> </w:t>
      </w:r>
      <w:r>
        <w:rPr>
          <w:sz w:val="20"/>
        </w:rPr>
        <w:t>akce</w:t>
      </w:r>
      <w:r>
        <w:rPr>
          <w:spacing w:val="-9"/>
          <w:sz w:val="20"/>
        </w:rPr>
        <w:t> </w:t>
      </w:r>
      <w:r>
        <w:rPr>
          <w:sz w:val="20"/>
        </w:rPr>
        <w:t>„FVE</w:t>
      </w:r>
      <w:r>
        <w:rPr>
          <w:spacing w:val="-8"/>
          <w:sz w:val="20"/>
        </w:rPr>
        <w:t> </w:t>
      </w:r>
      <w:r>
        <w:rPr>
          <w:sz w:val="20"/>
        </w:rPr>
        <w:t>Tušimice</w:t>
      </w:r>
      <w:r>
        <w:rPr>
          <w:spacing w:val="-9"/>
          <w:sz w:val="20"/>
        </w:rPr>
        <w:t> </w:t>
      </w:r>
      <w:r>
        <w:rPr>
          <w:sz w:val="20"/>
        </w:rPr>
        <w:t>II“</w:t>
      </w:r>
      <w:r>
        <w:rPr>
          <w:spacing w:val="-9"/>
          <w:sz w:val="20"/>
        </w:rPr>
        <w:t> </w:t>
      </w:r>
      <w:r>
        <w:rPr>
          <w:sz w:val="20"/>
        </w:rPr>
        <w:t>tím,</w:t>
      </w:r>
      <w:r>
        <w:rPr>
          <w:spacing w:val="-8"/>
          <w:sz w:val="20"/>
        </w:rPr>
        <w:t> </w:t>
      </w:r>
      <w:r>
        <w:rPr>
          <w:sz w:val="20"/>
        </w:rPr>
        <w:t>že</w:t>
      </w:r>
      <w:r>
        <w:rPr>
          <w:spacing w:val="-9"/>
          <w:sz w:val="20"/>
        </w:rPr>
        <w:t> </w:t>
      </w:r>
      <w:r>
        <w:rPr>
          <w:sz w:val="20"/>
        </w:rPr>
        <w:t>akce</w:t>
      </w:r>
      <w:r>
        <w:rPr>
          <w:spacing w:val="-9"/>
          <w:sz w:val="20"/>
        </w:rPr>
        <w:t> </w:t>
      </w:r>
      <w:r>
        <w:rPr>
          <w:sz w:val="20"/>
        </w:rPr>
        <w:t>bude</w:t>
      </w:r>
      <w:r>
        <w:rPr>
          <w:spacing w:val="-9"/>
          <w:sz w:val="20"/>
        </w:rPr>
        <w:t> </w:t>
      </w:r>
      <w:r>
        <w:rPr>
          <w:sz w:val="20"/>
        </w:rPr>
        <w:t>provedena</w:t>
      </w:r>
      <w:r>
        <w:rPr>
          <w:spacing w:val="-8"/>
          <w:sz w:val="20"/>
        </w:rPr>
        <w:t> </w:t>
      </w:r>
      <w:r>
        <w:rPr>
          <w:sz w:val="20"/>
        </w:rPr>
        <w:t>v souladu</w:t>
      </w:r>
      <w:r>
        <w:rPr>
          <w:spacing w:val="-8"/>
          <w:sz w:val="20"/>
        </w:rPr>
        <w:t> </w:t>
      </w:r>
      <w:r>
        <w:rPr>
          <w:sz w:val="20"/>
        </w:rPr>
        <w:t>s</w:t>
      </w:r>
      <w:r>
        <w:rPr>
          <w:spacing w:val="-3"/>
          <w:sz w:val="20"/>
        </w:rPr>
        <w:t> </w:t>
      </w:r>
      <w:r>
        <w:rPr>
          <w:sz w:val="20"/>
        </w:rPr>
        <w:t>Výzvou,</w:t>
      </w:r>
      <w:r>
        <w:rPr>
          <w:spacing w:val="-8"/>
          <w:sz w:val="20"/>
        </w:rPr>
        <w:t> </w:t>
      </w:r>
      <w:r>
        <w:rPr>
          <w:sz w:val="20"/>
        </w:rPr>
        <w:t>žádostí</w:t>
      </w:r>
      <w:r>
        <w:rPr>
          <w:spacing w:val="-8"/>
          <w:sz w:val="20"/>
        </w:rPr>
        <w:t> </w:t>
      </w:r>
      <w:r>
        <w:rPr>
          <w:sz w:val="20"/>
        </w:rPr>
        <w:t>o</w:t>
      </w:r>
      <w:r>
        <w:rPr>
          <w:spacing w:val="-7"/>
          <w:sz w:val="20"/>
        </w:rPr>
        <w:t> </w:t>
      </w:r>
      <w:r>
        <w:rPr>
          <w:sz w:val="20"/>
        </w:rPr>
        <w:t>podporu a jejími přílohami a touto Smlouvou,</w:t>
      </w:r>
    </w:p>
    <w:p>
      <w:pPr>
        <w:pStyle w:val="ListParagraph"/>
        <w:numPr>
          <w:ilvl w:val="1"/>
          <w:numId w:val="4"/>
        </w:numPr>
        <w:tabs>
          <w:tab w:pos="746" w:val="left" w:leader="none"/>
        </w:tabs>
        <w:spacing w:line="240" w:lineRule="auto" w:before="1" w:after="0"/>
        <w:ind w:left="745" w:right="113" w:hanging="360"/>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 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w:t>
      </w:r>
      <w:r>
        <w:rPr>
          <w:spacing w:val="80"/>
          <w:w w:val="150"/>
          <w:sz w:val="20"/>
        </w:rPr>
        <w:t> </w:t>
      </w:r>
      <w:r>
        <w:rPr>
          <w:sz w:val="20"/>
        </w:rPr>
        <w:t>pozemní</w:t>
      </w:r>
      <w:r>
        <w:rPr>
          <w:spacing w:val="80"/>
          <w:w w:val="150"/>
          <w:sz w:val="20"/>
        </w:rPr>
        <w:t> </w:t>
      </w:r>
      <w:r>
        <w:rPr>
          <w:sz w:val="20"/>
        </w:rPr>
        <w:t>instalací</w:t>
      </w:r>
      <w:r>
        <w:rPr>
          <w:spacing w:val="80"/>
          <w:w w:val="150"/>
          <w:sz w:val="20"/>
        </w:rPr>
        <w:t> </w:t>
      </w:r>
      <w:r>
        <w:rPr>
          <w:sz w:val="20"/>
        </w:rPr>
        <w:t>s předpokládaným výkonem 126 693,60 kWp,</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9"/>
        <w:gridCol w:w="1685"/>
        <w:gridCol w:w="1712"/>
        <w:gridCol w:w="1683"/>
      </w:tblGrid>
      <w:tr>
        <w:trPr>
          <w:trHeight w:val="772" w:hRule="atLeast"/>
        </w:trPr>
        <w:tc>
          <w:tcPr>
            <w:tcW w:w="3749" w:type="dxa"/>
          </w:tcPr>
          <w:p>
            <w:pPr>
              <w:pStyle w:val="TableParagraph"/>
              <w:spacing w:before="120"/>
              <w:ind w:left="105"/>
              <w:rPr>
                <w:b/>
                <w:sz w:val="20"/>
              </w:rPr>
            </w:pPr>
            <w:r>
              <w:rPr>
                <w:b/>
                <w:spacing w:val="-2"/>
                <w:sz w:val="20"/>
              </w:rPr>
              <w:t>Indikátor</w:t>
            </w:r>
          </w:p>
        </w:tc>
        <w:tc>
          <w:tcPr>
            <w:tcW w:w="1685" w:type="dxa"/>
          </w:tcPr>
          <w:p>
            <w:pPr>
              <w:pStyle w:val="TableParagraph"/>
              <w:spacing w:before="120"/>
              <w:ind w:left="108"/>
              <w:rPr>
                <w:b/>
                <w:sz w:val="20"/>
              </w:rPr>
            </w:pPr>
            <w:r>
              <w:rPr>
                <w:b/>
                <w:spacing w:val="-2"/>
                <w:sz w:val="20"/>
              </w:rPr>
              <w:t>Jednotka</w:t>
            </w:r>
          </w:p>
        </w:tc>
        <w:tc>
          <w:tcPr>
            <w:tcW w:w="1712" w:type="dxa"/>
          </w:tcPr>
          <w:p>
            <w:pPr>
              <w:pStyle w:val="TableParagraph"/>
              <w:spacing w:before="120"/>
              <w:ind w:left="106" w:right="794"/>
              <w:rPr>
                <w:b/>
                <w:sz w:val="20"/>
              </w:rPr>
            </w:pPr>
            <w:r>
              <w:rPr>
                <w:b/>
                <w:spacing w:val="-2"/>
                <w:sz w:val="20"/>
              </w:rPr>
              <w:t>Výchozí hodnota</w:t>
            </w:r>
          </w:p>
        </w:tc>
        <w:tc>
          <w:tcPr>
            <w:tcW w:w="1683" w:type="dxa"/>
          </w:tcPr>
          <w:p>
            <w:pPr>
              <w:pStyle w:val="TableParagraph"/>
              <w:spacing w:before="120"/>
              <w:ind w:left="97" w:right="127"/>
              <w:jc w:val="center"/>
              <w:rPr>
                <w:b/>
                <w:sz w:val="20"/>
              </w:rPr>
            </w:pPr>
            <w:r>
              <w:rPr>
                <w:b/>
                <w:sz w:val="20"/>
              </w:rPr>
              <w:t>Cílová</w:t>
            </w:r>
            <w:r>
              <w:rPr>
                <w:b/>
                <w:spacing w:val="-5"/>
                <w:sz w:val="20"/>
              </w:rPr>
              <w:t> </w:t>
            </w:r>
            <w:r>
              <w:rPr>
                <w:b/>
                <w:spacing w:val="-2"/>
                <w:sz w:val="20"/>
              </w:rPr>
              <w:t>hodnota</w:t>
            </w:r>
          </w:p>
        </w:tc>
      </w:tr>
      <w:tr>
        <w:trPr>
          <w:trHeight w:val="505" w:hRule="atLeast"/>
        </w:trPr>
        <w:tc>
          <w:tcPr>
            <w:tcW w:w="3749" w:type="dxa"/>
          </w:tcPr>
          <w:p>
            <w:pPr>
              <w:pStyle w:val="TableParagraph"/>
              <w:spacing w:before="0"/>
              <w:ind w:left="388"/>
              <w:rPr>
                <w:sz w:val="20"/>
              </w:rPr>
            </w:pPr>
            <w:r>
              <w:rPr>
                <w:sz w:val="20"/>
              </w:rPr>
              <w:t>Nově</w:t>
            </w:r>
            <w:r>
              <w:rPr>
                <w:spacing w:val="-7"/>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5" w:type="dxa"/>
          </w:tcPr>
          <w:p>
            <w:pPr>
              <w:pStyle w:val="TableParagraph"/>
              <w:spacing w:before="120"/>
              <w:ind w:left="391"/>
              <w:rPr>
                <w:sz w:val="20"/>
              </w:rPr>
            </w:pPr>
            <w:r>
              <w:rPr>
                <w:spacing w:val="-5"/>
                <w:sz w:val="20"/>
              </w:rPr>
              <w:t>kWp</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97" w:right="27"/>
              <w:jc w:val="center"/>
              <w:rPr>
                <w:sz w:val="20"/>
              </w:rPr>
            </w:pPr>
            <w:r>
              <w:rPr>
                <w:sz w:val="20"/>
              </w:rPr>
              <w:t>126</w:t>
            </w:r>
            <w:r>
              <w:rPr>
                <w:spacing w:val="-3"/>
                <w:sz w:val="20"/>
              </w:rPr>
              <w:t> </w:t>
            </w:r>
            <w:r>
              <w:rPr>
                <w:spacing w:val="-2"/>
                <w:sz w:val="20"/>
              </w:rPr>
              <w:t>693.60</w:t>
            </w:r>
          </w:p>
        </w:tc>
      </w:tr>
      <w:tr>
        <w:trPr>
          <w:trHeight w:val="506" w:hRule="atLeast"/>
        </w:trPr>
        <w:tc>
          <w:tcPr>
            <w:tcW w:w="3749"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5" w:type="dxa"/>
          </w:tcPr>
          <w:p>
            <w:pPr>
              <w:pStyle w:val="TableParagraph"/>
              <w:spacing w:before="120"/>
              <w:ind w:left="0" w:right="414"/>
              <w:jc w:val="right"/>
              <w:rPr>
                <w:sz w:val="20"/>
              </w:rPr>
            </w:pPr>
            <w:r>
              <w:rPr>
                <w:sz w:val="20"/>
              </w:rPr>
              <w:t>t</w:t>
            </w:r>
            <w:r>
              <w:rPr>
                <w:spacing w:val="-2"/>
                <w:sz w:val="20"/>
              </w:rPr>
              <w:t> CO2/rok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92" w:right="127"/>
              <w:jc w:val="center"/>
              <w:rPr>
                <w:sz w:val="20"/>
              </w:rPr>
            </w:pPr>
            <w:r>
              <w:rPr>
                <w:sz w:val="20"/>
              </w:rPr>
              <w:t>98</w:t>
            </w:r>
            <w:r>
              <w:rPr>
                <w:spacing w:val="-2"/>
                <w:sz w:val="20"/>
              </w:rPr>
              <w:t> 871.31</w:t>
            </w:r>
          </w:p>
        </w:tc>
      </w:tr>
      <w:tr>
        <w:trPr>
          <w:trHeight w:val="532" w:hRule="atLeast"/>
        </w:trPr>
        <w:tc>
          <w:tcPr>
            <w:tcW w:w="3749" w:type="dxa"/>
          </w:tcPr>
          <w:p>
            <w:pPr>
              <w:pStyle w:val="TableParagraph"/>
              <w:spacing w:line="266" w:lineRule="exact" w:before="0"/>
              <w:ind w:left="388"/>
              <w:rPr>
                <w:sz w:val="20"/>
              </w:rPr>
            </w:pPr>
            <w:r>
              <w:rPr>
                <w:sz w:val="20"/>
              </w:rPr>
              <w:t>Snížení</w:t>
            </w:r>
            <w:r>
              <w:rPr>
                <w:spacing w:val="-10"/>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97" w:right="27"/>
              <w:jc w:val="center"/>
              <w:rPr>
                <w:sz w:val="20"/>
              </w:rPr>
            </w:pPr>
            <w:r>
              <w:rPr>
                <w:sz w:val="20"/>
              </w:rPr>
              <w:t>297</w:t>
            </w:r>
            <w:r>
              <w:rPr>
                <w:spacing w:val="-3"/>
                <w:sz w:val="20"/>
              </w:rPr>
              <w:t> </w:t>
            </w:r>
            <w:r>
              <w:rPr>
                <w:spacing w:val="-2"/>
                <w:sz w:val="20"/>
              </w:rPr>
              <w:t>938.78</w:t>
            </w:r>
          </w:p>
        </w:tc>
      </w:tr>
      <w:tr>
        <w:trPr>
          <w:trHeight w:val="505" w:hRule="atLeast"/>
        </w:trPr>
        <w:tc>
          <w:tcPr>
            <w:tcW w:w="3749"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97" w:right="27"/>
              <w:jc w:val="center"/>
              <w:rPr>
                <w:sz w:val="20"/>
              </w:rPr>
            </w:pPr>
            <w:r>
              <w:rPr>
                <w:sz w:val="20"/>
              </w:rPr>
              <w:t>115</w:t>
            </w:r>
            <w:r>
              <w:rPr>
                <w:spacing w:val="-3"/>
                <w:sz w:val="20"/>
              </w:rPr>
              <w:t> </w:t>
            </w:r>
            <w:r>
              <w:rPr>
                <w:spacing w:val="-2"/>
                <w:sz w:val="20"/>
              </w:rPr>
              <w:t>283.54</w:t>
            </w:r>
          </w:p>
        </w:tc>
      </w:tr>
    </w:tbl>
    <w:p>
      <w:pPr>
        <w:pStyle w:val="BodyText"/>
        <w:spacing w:before="1"/>
        <w:rPr>
          <w:sz w:val="38"/>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5</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w:t>
      </w:r>
      <w:r>
        <w:rPr>
          <w:spacing w:val="28"/>
          <w:sz w:val="20"/>
        </w:rPr>
        <w:t> </w:t>
      </w:r>
      <w:r>
        <w:rPr>
          <w:sz w:val="20"/>
        </w:rPr>
        <w:t>termín</w:t>
      </w:r>
      <w:r>
        <w:rPr>
          <w:spacing w:val="28"/>
          <w:sz w:val="20"/>
        </w:rPr>
        <w:t> </w:t>
      </w:r>
      <w:r>
        <w:rPr>
          <w:sz w:val="20"/>
        </w:rPr>
        <w:t>ukončení</w:t>
      </w:r>
      <w:r>
        <w:rPr>
          <w:spacing w:val="28"/>
          <w:sz w:val="20"/>
        </w:rPr>
        <w:t> </w:t>
      </w:r>
      <w:r>
        <w:rPr>
          <w:sz w:val="20"/>
        </w:rPr>
        <w:t>akce</w:t>
      </w:r>
      <w:r>
        <w:rPr>
          <w:spacing w:val="27"/>
          <w:sz w:val="20"/>
        </w:rPr>
        <w:t> </w:t>
      </w:r>
      <w:r>
        <w:rPr>
          <w:sz w:val="20"/>
        </w:rPr>
        <w:t>se</w:t>
      </w:r>
      <w:r>
        <w:rPr>
          <w:spacing w:val="27"/>
          <w:sz w:val="20"/>
        </w:rPr>
        <w:t> </w:t>
      </w:r>
      <w:r>
        <w:rPr>
          <w:sz w:val="20"/>
        </w:rPr>
        <w:t>považuje</w:t>
      </w:r>
      <w:r>
        <w:rPr>
          <w:spacing w:val="27"/>
          <w:sz w:val="20"/>
        </w:rPr>
        <w:t> </w:t>
      </w:r>
      <w:r>
        <w:rPr>
          <w:sz w:val="20"/>
        </w:rPr>
        <w:t>datum</w:t>
      </w:r>
      <w:r>
        <w:rPr>
          <w:spacing w:val="27"/>
          <w:sz w:val="20"/>
        </w:rPr>
        <w:t> </w:t>
      </w:r>
      <w:r>
        <w:rPr>
          <w:sz w:val="20"/>
        </w:rPr>
        <w:t>vydání</w:t>
      </w:r>
      <w:r>
        <w:rPr>
          <w:spacing w:val="30"/>
          <w:sz w:val="20"/>
        </w:rPr>
        <w:t> </w:t>
      </w:r>
      <w:r>
        <w:rPr>
          <w:sz w:val="20"/>
        </w:rPr>
        <w:t>Kolaudačního</w:t>
      </w:r>
      <w:r>
        <w:rPr>
          <w:spacing w:val="31"/>
          <w:sz w:val="20"/>
        </w:rPr>
        <w:t> </w:t>
      </w:r>
      <w:r>
        <w:rPr>
          <w:sz w:val="20"/>
        </w:rPr>
        <w:t>souhlasu,</w:t>
      </w:r>
      <w:r>
        <w:rPr>
          <w:spacing w:val="28"/>
          <w:sz w:val="20"/>
        </w:rPr>
        <w:t> </w:t>
      </w:r>
      <w:r>
        <w:rPr>
          <w:sz w:val="20"/>
        </w:rPr>
        <w:t>oznámení</w:t>
      </w:r>
      <w:r>
        <w:rPr>
          <w:spacing w:val="28"/>
          <w:sz w:val="20"/>
        </w:rPr>
        <w:t> </w:t>
      </w:r>
      <w:r>
        <w:rPr>
          <w:sz w:val="20"/>
        </w:rPr>
        <w:t>o</w:t>
      </w:r>
      <w:r>
        <w:rPr>
          <w:spacing w:val="29"/>
          <w:sz w:val="20"/>
        </w:rPr>
        <w:t> </w:t>
      </w:r>
      <w:r>
        <w:rPr>
          <w:sz w:val="20"/>
        </w:rPr>
        <w:t>užívání</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2"/>
        <w:jc w:val="both"/>
      </w:pPr>
      <w:r>
        <w:rPr/>
        <w:t>podle příslušných ustanovení zákona č. 183/2006 Sb.,o</w:t>
      </w:r>
      <w:r>
        <w:rPr>
          <w:spacing w:val="-1"/>
        </w:rPr>
        <w:t> </w:t>
      </w:r>
      <w:r>
        <w:rPr/>
        <w:t>územním plánování a stavebním řádu (stavební</w:t>
      </w:r>
      <w:r>
        <w:rPr>
          <w:spacing w:val="-11"/>
        </w:rPr>
        <w:t> </w:t>
      </w:r>
      <w:r>
        <w:rPr/>
        <w:t>zákon),</w:t>
      </w:r>
      <w:r>
        <w:rPr>
          <w:spacing w:val="-11"/>
        </w:rPr>
        <w:t> </w:t>
      </w:r>
      <w:r>
        <w:rPr/>
        <w:t>ve</w:t>
      </w:r>
      <w:r>
        <w:rPr>
          <w:spacing w:val="-11"/>
        </w:rPr>
        <w:t> </w:t>
      </w:r>
      <w:r>
        <w:rPr/>
        <w:t>znění</w:t>
      </w:r>
      <w:r>
        <w:rPr>
          <w:spacing w:val="-10"/>
        </w:rPr>
        <w:t> </w:t>
      </w:r>
      <w:r>
        <w:rPr/>
        <w:t>pozdějších</w:t>
      </w:r>
      <w:r>
        <w:rPr>
          <w:spacing w:val="-11"/>
        </w:rPr>
        <w:t> </w:t>
      </w:r>
      <w:r>
        <w:rPr/>
        <w:t>předpisů,</w:t>
      </w:r>
      <w:r>
        <w:rPr>
          <w:spacing w:val="-9"/>
        </w:rPr>
        <w:t> </w:t>
      </w:r>
      <w:r>
        <w:rPr/>
        <w:t>nebo</w:t>
      </w:r>
      <w:r>
        <w:rPr>
          <w:spacing w:val="-10"/>
        </w:rPr>
        <w:t> </w:t>
      </w:r>
      <w:r>
        <w:rPr/>
        <w:t>termín</w:t>
      </w:r>
      <w:r>
        <w:rPr>
          <w:spacing w:val="-9"/>
        </w:rPr>
        <w:t> </w:t>
      </w:r>
      <w:r>
        <w:rPr/>
        <w:t>schválení</w:t>
      </w:r>
      <w:r>
        <w:rPr>
          <w:spacing w:val="-11"/>
        </w:rPr>
        <w:t> </w:t>
      </w:r>
      <w:r>
        <w:rPr/>
        <w:t>protokolu</w:t>
      </w:r>
      <w:r>
        <w:rPr>
          <w:spacing w:val="-9"/>
        </w:rPr>
        <w:t> </w:t>
      </w:r>
      <w:r>
        <w:rPr/>
        <w:t>o</w:t>
      </w:r>
      <w:r>
        <w:rPr>
          <w:spacing w:val="-8"/>
        </w:rPr>
        <w:t> </w:t>
      </w:r>
      <w:r>
        <w:rPr/>
        <w:t>předání</w:t>
      </w:r>
      <w:r>
        <w:rPr>
          <w:spacing w:val="-9"/>
        </w:rPr>
        <w:t> </w:t>
      </w:r>
      <w:r>
        <w:rPr/>
        <w:t>a</w:t>
      </w:r>
      <w:r>
        <w:rPr>
          <w:spacing w:val="-11"/>
        </w:rPr>
        <w:t> </w:t>
      </w:r>
      <w:r>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1"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0"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1"/>
        </w:rPr>
        <w:t> </w:t>
      </w:r>
      <w:r>
        <w:rPr/>
        <w:t>stavění</w:t>
      </w:r>
      <w:r>
        <w:rPr>
          <w:spacing w:val="22"/>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40" w:lineRule="auto" w:before="106"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2"/>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1"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7"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7"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13"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4"/>
          <w:sz w:val="20"/>
        </w:rPr>
        <w:t> </w:t>
      </w:r>
      <w:r>
        <w:rPr>
          <w:sz w:val="20"/>
        </w:rPr>
        <w:t>této</w:t>
      </w:r>
      <w:r>
        <w:rPr>
          <w:spacing w:val="-12"/>
          <w:sz w:val="20"/>
        </w:rPr>
        <w:t> </w:t>
      </w:r>
      <w:r>
        <w:rPr>
          <w:sz w:val="20"/>
        </w:rPr>
        <w:t>souvislosti</w:t>
      </w:r>
      <w:r>
        <w:rPr>
          <w:spacing w:val="-14"/>
          <w:sz w:val="20"/>
        </w:rPr>
        <w:t> </w:t>
      </w:r>
      <w:r>
        <w:rPr>
          <w:sz w:val="20"/>
        </w:rPr>
        <w:t>příjemce</w:t>
      </w:r>
      <w:r>
        <w:rPr>
          <w:spacing w:val="-14"/>
          <w:sz w:val="20"/>
        </w:rPr>
        <w:t> </w:t>
      </w:r>
      <w:r>
        <w:rPr>
          <w:sz w:val="20"/>
        </w:rPr>
        <w:t>podpory</w:t>
      </w:r>
      <w:r>
        <w:rPr>
          <w:spacing w:val="-11"/>
          <w:sz w:val="20"/>
        </w:rPr>
        <w:t> </w:t>
      </w:r>
      <w:r>
        <w:rPr>
          <w:sz w:val="20"/>
        </w:rPr>
        <w:t>prohlašuje,</w:t>
      </w:r>
      <w:r>
        <w:rPr>
          <w:spacing w:val="-11"/>
          <w:sz w:val="20"/>
        </w:rPr>
        <w:t> </w:t>
      </w:r>
      <w:r>
        <w:rPr>
          <w:sz w:val="20"/>
        </w:rPr>
        <w:t>že</w:t>
      </w:r>
      <w:r>
        <w:rPr>
          <w:spacing w:val="-14"/>
          <w:sz w:val="20"/>
        </w:rPr>
        <w:t> </w:t>
      </w:r>
      <w:r>
        <w:rPr>
          <w:sz w:val="20"/>
        </w:rPr>
        <w:t>rovněž</w:t>
      </w:r>
      <w:r>
        <w:rPr>
          <w:spacing w:val="-13"/>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4"/>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7"/>
          <w:sz w:val="20"/>
        </w:rPr>
        <w:t> </w:t>
      </w:r>
      <w:r>
        <w:rPr>
          <w:sz w:val="20"/>
        </w:rPr>
        <w:t>zadávání</w:t>
      </w:r>
      <w:r>
        <w:rPr>
          <w:spacing w:val="-6"/>
          <w:sz w:val="20"/>
        </w:rPr>
        <w:t> </w:t>
      </w:r>
      <w:r>
        <w:rPr>
          <w:sz w:val="20"/>
        </w:rPr>
        <w:t>veřejných</w:t>
      </w:r>
      <w:r>
        <w:rPr>
          <w:spacing w:val="-6"/>
          <w:sz w:val="20"/>
        </w:rPr>
        <w:t> </w:t>
      </w:r>
      <w:r>
        <w:rPr>
          <w:sz w:val="20"/>
        </w:rPr>
        <w:t>zakázek</w:t>
      </w:r>
      <w:r>
        <w:rPr>
          <w:spacing w:val="-7"/>
          <w:sz w:val="20"/>
        </w:rPr>
        <w:t> </w:t>
      </w:r>
      <w:r>
        <w:rPr>
          <w:sz w:val="20"/>
        </w:rPr>
        <w:t>postupovat</w:t>
      </w:r>
      <w:r>
        <w:rPr>
          <w:spacing w:val="-6"/>
          <w:sz w:val="20"/>
        </w:rPr>
        <w:t> </w:t>
      </w:r>
      <w:r>
        <w:rPr>
          <w:sz w:val="20"/>
        </w:rPr>
        <w:t>v</w:t>
      </w:r>
      <w:r>
        <w:rPr>
          <w:spacing w:val="-6"/>
          <w:sz w:val="20"/>
        </w:rPr>
        <w:t> </w:t>
      </w:r>
      <w:r>
        <w:rPr>
          <w:sz w:val="20"/>
        </w:rPr>
        <w:t>souladu</w:t>
      </w:r>
      <w:r>
        <w:rPr>
          <w:spacing w:val="-5"/>
          <w:sz w:val="20"/>
        </w:rPr>
        <w:t> </w:t>
      </w:r>
      <w:r>
        <w:rPr>
          <w:sz w:val="20"/>
        </w:rPr>
        <w:t>s</w:t>
      </w:r>
      <w:r>
        <w:rPr>
          <w:spacing w:val="-4"/>
          <w:sz w:val="20"/>
        </w:rPr>
        <w:t> </w:t>
      </w:r>
      <w:r>
        <w:rPr>
          <w:sz w:val="20"/>
        </w:rPr>
        <w:t>povinnostmi</w:t>
      </w:r>
      <w:r>
        <w:rPr>
          <w:spacing w:val="-7"/>
          <w:sz w:val="20"/>
        </w:rPr>
        <w:t> </w:t>
      </w:r>
      <w:r>
        <w:rPr>
          <w:sz w:val="20"/>
        </w:rPr>
        <w:t>uvedenými</w:t>
      </w:r>
      <w:r>
        <w:rPr>
          <w:spacing w:val="-6"/>
          <w:sz w:val="20"/>
        </w:rPr>
        <w:t> </w:t>
      </w:r>
      <w:r>
        <w:rPr>
          <w:sz w:val="20"/>
        </w:rPr>
        <w:t>v</w:t>
      </w:r>
      <w:r>
        <w:rPr>
          <w:spacing w:val="-4"/>
          <w:sz w:val="20"/>
        </w:rPr>
        <w:t> </w:t>
      </w:r>
      <w:r>
        <w:rPr>
          <w:sz w:val="20"/>
        </w:rPr>
        <w:t>článku</w:t>
      </w:r>
      <w:r>
        <w:rPr>
          <w:spacing w:val="-5"/>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3"/>
          <w:sz w:val="20"/>
        </w:rPr>
        <w:t> </w:t>
      </w:r>
      <w:r>
        <w:rPr>
          <w:sz w:val="20"/>
        </w:rPr>
        <w:t>vnitřním</w:t>
      </w:r>
      <w:r>
        <w:rPr>
          <w:spacing w:val="-14"/>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0" w:after="0"/>
        <w:ind w:left="385" w:right="113" w:hanging="284"/>
        <w:jc w:val="both"/>
        <w:rPr>
          <w:sz w:val="20"/>
        </w:rPr>
      </w:pPr>
      <w:r>
        <w:rPr>
          <w:sz w:val="20"/>
        </w:rPr>
        <w:t>Jestliže příjemce podpory nesplní některý ze závazků stanovených touto Smlouvou, bude Fond postupovat</w:t>
      </w:r>
      <w:r>
        <w:rPr>
          <w:spacing w:val="37"/>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37"/>
          <w:sz w:val="20"/>
        </w:rPr>
        <w:t> </w:t>
      </w:r>
      <w:r>
        <w:rPr>
          <w:sz w:val="20"/>
        </w:rPr>
        <w:t>Sb.,</w:t>
      </w:r>
      <w:r>
        <w:rPr>
          <w:spacing w:val="40"/>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2"/>
        <w:ind w:left="385"/>
        <w:jc w:val="both"/>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2"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both"/>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4"/>
          <w:sz w:val="20"/>
        </w:rPr>
        <w:t> </w:t>
      </w:r>
      <w:r>
        <w:rPr>
          <w:sz w:val="20"/>
        </w:rPr>
        <w:t>%</w:t>
      </w:r>
      <w:r>
        <w:rPr>
          <w:spacing w:val="-3"/>
          <w:sz w:val="20"/>
        </w:rPr>
        <w:t> </w:t>
      </w:r>
      <w:r>
        <w:rPr>
          <w:sz w:val="20"/>
        </w:rPr>
        <w:t>do</w:t>
      </w:r>
      <w:r>
        <w:rPr>
          <w:spacing w:val="-3"/>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1"/>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9"/>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5"/>
          <w:sz w:val="20"/>
        </w:rPr>
        <w:t> </w:t>
      </w:r>
      <w:r>
        <w:rPr>
          <w:sz w:val="20"/>
        </w:rPr>
        <w:t>ve</w:t>
      </w:r>
      <w:r>
        <w:rPr>
          <w:spacing w:val="35"/>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18"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2"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19" w:after="0"/>
        <w:ind w:left="385" w:right="111" w:hanging="284"/>
        <w:jc w:val="both"/>
        <w:rPr>
          <w:sz w:val="20"/>
        </w:rPr>
      </w:pPr>
      <w:r>
        <w:rPr>
          <w:sz w:val="20"/>
        </w:rPr>
        <w:t>V</w:t>
      </w:r>
      <w:r>
        <w:rPr>
          <w:spacing w:val="-1"/>
          <w:sz w:val="20"/>
        </w:rPr>
        <w:t> </w:t>
      </w:r>
      <w:r>
        <w:rPr>
          <w:sz w:val="20"/>
        </w:rPr>
        <w:t>případě, že dojde k</w:t>
      </w:r>
      <w:r>
        <w:rPr>
          <w:spacing w:val="-1"/>
          <w:sz w:val="20"/>
        </w:rPr>
        <w:t> </w:t>
      </w:r>
      <w:r>
        <w:rPr>
          <w:sz w:val="20"/>
        </w:rPr>
        <w:t>porušení povinností uvedených v článku IV bodu 2 písm. g), bude stanovena finanční oprava podle přílohy č. 1 této Smlouvy.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 ostatních povinností podle této Smlouvy bude postiženo odvodem ve výši 0,1 % z poskytnuté </w:t>
      </w:r>
      <w:r>
        <w:rPr>
          <w:spacing w:val="-2"/>
          <w:sz w:val="20"/>
        </w:rPr>
        <w:t>podpory.</w:t>
      </w:r>
    </w:p>
    <w:p>
      <w:pPr>
        <w:pStyle w:val="BodyText"/>
      </w:pPr>
    </w:p>
    <w:p>
      <w:pPr>
        <w:pStyle w:val="Heading1"/>
        <w:spacing w:line="265" w:lineRule="exact" w:before="1"/>
        <w:ind w:left="3140"/>
      </w:pPr>
      <w:r>
        <w:rPr>
          <w:spacing w:val="-5"/>
        </w:rPr>
        <w:t>VI.</w:t>
      </w:r>
    </w:p>
    <w:p>
      <w:pPr>
        <w:pStyle w:val="Heading2"/>
        <w:spacing w:line="265" w:lineRule="exact"/>
        <w:ind w:left="3137" w:right="3148"/>
      </w:pPr>
      <w:r>
        <w:rPr/>
        <w:t>Závěrečná</w:t>
      </w:r>
      <w:r>
        <w:rPr>
          <w:spacing w:val="-9"/>
        </w:rPr>
        <w:t> </w:t>
      </w:r>
      <w:r>
        <w:rPr>
          <w:spacing w:val="-2"/>
        </w:rPr>
        <w:t>ustanovení</w:t>
      </w:r>
    </w:p>
    <w:p>
      <w:pPr>
        <w:pStyle w:val="BodyText"/>
        <w:spacing w:before="1"/>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37" w:lineRule="auto" w:before="124"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120"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40" w:lineRule="auto" w:before="119"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0"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5"/>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9"/>
          <w:sz w:val="20"/>
        </w:rPr>
        <w:t> </w:t>
      </w:r>
      <w:r>
        <w:rPr>
          <w:sz w:val="20"/>
        </w:rPr>
        <w:t>jako</w:t>
      </w:r>
      <w:r>
        <w:rPr>
          <w:spacing w:val="-6"/>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3"/>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ind w:left="385" w:right="114"/>
        <w:jc w:val="both"/>
      </w:pPr>
      <w:r>
        <w:rPr/>
        <w:t>o</w:t>
      </w:r>
      <w:r>
        <w:rPr>
          <w:spacing w:val="-2"/>
        </w:rPr>
        <w:t> </w:t>
      </w:r>
      <w:r>
        <w:rPr/>
        <w:t>registru smluv (zákon o registru smluv), ve znění pozdějších předpisů, pokud zveřejnění této Smlouvy tento zákon ukládá.</w:t>
      </w:r>
    </w:p>
    <w:p>
      <w:pPr>
        <w:pStyle w:val="ListParagraph"/>
        <w:numPr>
          <w:ilvl w:val="0"/>
          <w:numId w:val="6"/>
        </w:numPr>
        <w:tabs>
          <w:tab w:pos="386" w:val="left" w:leader="none"/>
        </w:tabs>
        <w:spacing w:line="240" w:lineRule="auto" w:before="119" w:after="0"/>
        <w:ind w:left="385" w:right="115"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spacing w:before="1"/>
        <w:rPr>
          <w:sz w:val="23"/>
        </w:rPr>
      </w:pPr>
    </w:p>
    <w:p>
      <w:pPr>
        <w:pStyle w:val="BodyText"/>
        <w:ind w:left="102"/>
      </w:pPr>
      <w:r>
        <w:rPr>
          <w:spacing w:val="-5"/>
        </w:rPr>
        <w:t>V:</w:t>
      </w:r>
    </w:p>
    <w:p>
      <w:pPr>
        <w:pStyle w:val="BodyText"/>
      </w:pPr>
    </w:p>
    <w:p>
      <w:pPr>
        <w:pStyle w:val="BodyText"/>
        <w:tabs>
          <w:tab w:pos="6582" w:val="left" w:leader="none"/>
        </w:tabs>
        <w:spacing w:before="1"/>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2"/>
        <w:rPr>
          <w:sz w:val="27"/>
        </w:rPr>
      </w:pPr>
    </w:p>
    <w:p>
      <w:pPr>
        <w:tabs>
          <w:tab w:pos="6582" w:val="left" w:leader="none"/>
        </w:tabs>
        <w:spacing w:before="1"/>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2"/>
        <w:rPr>
          <w:sz w:val="28"/>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7" w:val="left" w:leader="none"/>
          <w:tab w:pos="8200" w:val="left" w:leader="none"/>
          <w:tab w:pos="8675" w:val="left" w:leader="none"/>
        </w:tabs>
        <w:spacing w:line="261" w:lineRule="auto" w:before="1"/>
        <w:ind w:right="115"/>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7"/>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9"/>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2"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7"/>
          <w:sz w:val="20"/>
        </w:rPr>
        <w:t> </w:t>
      </w:r>
      <w:r>
        <w:rPr>
          <w:sz w:val="20"/>
        </w:rPr>
        <w:t>typ</w:t>
      </w:r>
      <w:r>
        <w:rPr>
          <w:spacing w:val="-8"/>
          <w:sz w:val="20"/>
        </w:rPr>
        <w:t> </w:t>
      </w:r>
      <w:r>
        <w:rPr>
          <w:sz w:val="20"/>
        </w:rPr>
        <w:t>porušení</w:t>
      </w:r>
      <w:r>
        <w:rPr>
          <w:spacing w:val="-11"/>
          <w:sz w:val="20"/>
        </w:rPr>
        <w:t> </w:t>
      </w:r>
      <w:r>
        <w:rPr>
          <w:sz w:val="20"/>
        </w:rPr>
        <w:t>uvedený v 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0"/>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6"/>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9"/>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59"/>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5"/>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 neodeslal nebo nepředal ve stanovené lhůtě a současně</w:t>
            </w:r>
          </w:p>
          <w:p>
            <w:pPr>
              <w:pStyle w:val="TableParagraph"/>
              <w:spacing w:before="0"/>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0336"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5632">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2024-03-25T12:36:10Z</dcterms:created>
  <dcterms:modified xsi:type="dcterms:W3CDTF">2024-03-25T12:36:10Z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2024-03-08T00:00:00Z</vt:filetime>
  </property>
  <property fmtid="{D5CDD505-2E9C-101B-9397-08002B2CF9AE}" pid="3" name="Creator">
    <vt:lpwstr>Microsoft® Word 2016</vt:lpwstr>
  </property>
  <property fmtid="{D5CDD505-2E9C-101B-9397-08002B2CF9AE}" pid="4" name="LastSaved">
    <vt:filetime>2024-03-25T00:00:00Z</vt:filetime>
  </property>
</Properties>
</file>