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019C5" w14:textId="77777777" w:rsidR="00096BF1" w:rsidRDefault="00000000">
      <w:pPr>
        <w:spacing w:after="0" w:line="259" w:lineRule="auto"/>
        <w:ind w:left="0" w:right="62" w:firstLine="0"/>
        <w:jc w:val="center"/>
      </w:pPr>
      <w:r>
        <w:rPr>
          <w:sz w:val="38"/>
        </w:rPr>
        <w:t>RÁMCOVÁ SMLOUVA O POSKYTOVÁNÍ</w:t>
      </w:r>
    </w:p>
    <w:p w14:paraId="1599534A" w14:textId="77777777" w:rsidR="00096BF1" w:rsidRDefault="00000000">
      <w:pPr>
        <w:pStyle w:val="Nadpis1"/>
      </w:pPr>
      <w:r>
        <w:t>PRÁVNÍCH SLUŽEB SOUVISEJÍCÍCH SE ZADÁVÁNÍM VEŘEJNÝCH ZAKÁZEK</w:t>
      </w:r>
    </w:p>
    <w:p w14:paraId="5BA61F50" w14:textId="77777777" w:rsidR="00C16D65" w:rsidRDefault="00000000">
      <w:pPr>
        <w:spacing w:after="217"/>
        <w:ind w:left="0" w:firstLine="5"/>
      </w:pPr>
      <w:r w:rsidRPr="00C16D65">
        <w:rPr>
          <w:sz w:val="28"/>
          <w:szCs w:val="28"/>
        </w:rPr>
        <w:t>Dům seniorů Františkov, Liberec, příspěvková organizace</w:t>
      </w:r>
      <w:r>
        <w:t xml:space="preserve"> </w:t>
      </w:r>
    </w:p>
    <w:p w14:paraId="361D049E" w14:textId="1286E259" w:rsidR="00096BF1" w:rsidRDefault="00000000">
      <w:pPr>
        <w:spacing w:after="217"/>
        <w:ind w:left="0" w:firstLine="5"/>
      </w:pPr>
      <w:r>
        <w:t xml:space="preserve">se sídlem: Domažlická 880/8, Liberec III-Jeřáb, 460 07 Liberec IČO: 10808108 zapsaná v obchodním rejstříku vedeném Krajským soudem v </w:t>
      </w:r>
      <w:r w:rsidR="000E1C98">
        <w:t>Ú</w:t>
      </w:r>
      <w:r>
        <w:t xml:space="preserve">stí nad Labem v oddíle </w:t>
      </w:r>
      <w:proofErr w:type="spellStart"/>
      <w:r>
        <w:t>Pr</w:t>
      </w:r>
      <w:proofErr w:type="spellEnd"/>
      <w:r>
        <w:t>, vložce č. 1175 za níž jedná Bc. Jan Gabriel, MBA, ředitel kontaktní e-mailová adresa: jgabriel@dsfrantiskov.cz, isalanska@dsfrantiskov.cz jako příkazce (dále jen „klien</w:t>
      </w:r>
      <w:r w:rsidR="000E1C98">
        <w:t>t“)</w:t>
      </w:r>
    </w:p>
    <w:p w14:paraId="1246E6DC" w14:textId="77777777" w:rsidR="00096BF1" w:rsidRDefault="00000000">
      <w:pPr>
        <w:spacing w:after="220"/>
        <w:ind w:left="10" w:right="4" w:firstLine="0"/>
      </w:pPr>
      <w:r>
        <w:t>a</w:t>
      </w:r>
    </w:p>
    <w:p w14:paraId="45134802" w14:textId="77777777" w:rsidR="00096BF1" w:rsidRDefault="00000000">
      <w:pPr>
        <w:spacing w:after="0" w:line="264" w:lineRule="auto"/>
        <w:ind w:left="28" w:right="1291" w:hanging="5"/>
      </w:pPr>
      <w:r>
        <w:rPr>
          <w:sz w:val="24"/>
        </w:rPr>
        <w:t>OTIDEA LEGAL s.r.o.</w:t>
      </w:r>
    </w:p>
    <w:p w14:paraId="0FBE5683" w14:textId="77777777" w:rsidR="00096BF1" w:rsidRDefault="00000000">
      <w:pPr>
        <w:ind w:left="10" w:right="2338" w:firstLine="10"/>
      </w:pPr>
      <w:r>
        <w:t>se sídlem: Táboritská 1000/23, Žižkov, 130 00 Praha 3 IČO: 11671351 zapsaná v obchodním rejstříku vedeném Městským soudem v Praze v oddíle C, vložce č. 352648 za níž jedná JUDr. Pavel Zuska, jednatel kontaktní e-mailová adresa: pavel.zuska@otidea.cz; miroslav.knob@otidea.cz jako příkazník</w:t>
      </w:r>
    </w:p>
    <w:p w14:paraId="140994A4" w14:textId="7DA3C22E" w:rsidR="00096BF1" w:rsidRDefault="00000000">
      <w:pPr>
        <w:spacing w:after="203" w:line="259" w:lineRule="auto"/>
        <w:ind w:left="29" w:right="0" w:firstLine="0"/>
        <w:jc w:val="left"/>
      </w:pPr>
      <w:r>
        <w:rPr>
          <w:sz w:val="20"/>
        </w:rPr>
        <w:t>(dále jen „advoká</w:t>
      </w:r>
      <w:r w:rsidR="000E1C98">
        <w:rPr>
          <w:sz w:val="20"/>
        </w:rPr>
        <w:t>t“</w:t>
      </w:r>
      <w:r>
        <w:rPr>
          <w:sz w:val="20"/>
        </w:rPr>
        <w:t>)</w:t>
      </w:r>
    </w:p>
    <w:p w14:paraId="4E982222" w14:textId="77777777" w:rsidR="00096BF1" w:rsidRDefault="00000000">
      <w:pPr>
        <w:spacing w:after="494"/>
        <w:ind w:left="34" w:right="4" w:firstLine="0"/>
      </w:pPr>
      <w:r>
        <w:t>(dále také společně jen „smluvní strany”)</w:t>
      </w:r>
    </w:p>
    <w:p w14:paraId="3D6241ED" w14:textId="77777777" w:rsidR="00096BF1" w:rsidRDefault="00000000">
      <w:pPr>
        <w:ind w:left="19" w:right="4" w:firstLine="0"/>
      </w:pPr>
      <w:r>
        <w:t>uzavřeli níže uvedeného dne, měsíce a roku ve smyslu ustanovení S 2430 a následujících zákona Č.</w:t>
      </w:r>
    </w:p>
    <w:p w14:paraId="7D87F730" w14:textId="77777777" w:rsidR="00096BF1" w:rsidRDefault="00000000">
      <w:pPr>
        <w:spacing w:after="763"/>
        <w:ind w:left="29" w:right="4" w:firstLine="0"/>
      </w:pPr>
      <w:r>
        <w:t>89/2012 Sb., občanský zákoník, tuto</w:t>
      </w:r>
    </w:p>
    <w:p w14:paraId="6422E153" w14:textId="77777777" w:rsidR="00096BF1" w:rsidRDefault="00000000">
      <w:pPr>
        <w:spacing w:after="888" w:line="265" w:lineRule="auto"/>
        <w:ind w:left="63" w:right="62" w:hanging="10"/>
        <w:jc w:val="center"/>
      </w:pPr>
      <w:r>
        <w:rPr>
          <w:sz w:val="24"/>
        </w:rPr>
        <w:t>rámcovou příkazní smlouvu o poskytování právních služeb</w:t>
      </w:r>
    </w:p>
    <w:p w14:paraId="292B14C8" w14:textId="77777777" w:rsidR="00096BF1" w:rsidRDefault="00000000">
      <w:pPr>
        <w:spacing w:after="0" w:line="265" w:lineRule="auto"/>
        <w:ind w:left="63" w:right="58" w:hanging="10"/>
        <w:jc w:val="center"/>
      </w:pPr>
      <w:r>
        <w:rPr>
          <w:sz w:val="24"/>
        </w:rPr>
        <w:t>čl. 1.</w:t>
      </w:r>
    </w:p>
    <w:p w14:paraId="74C8F825" w14:textId="77777777" w:rsidR="00096BF1" w:rsidRDefault="00000000">
      <w:pPr>
        <w:spacing w:after="212" w:line="265" w:lineRule="auto"/>
        <w:ind w:left="63" w:right="48" w:hanging="10"/>
        <w:jc w:val="center"/>
      </w:pPr>
      <w:r>
        <w:rPr>
          <w:sz w:val="24"/>
        </w:rPr>
        <w:t>Předmět smlouvy</w:t>
      </w:r>
    </w:p>
    <w:p w14:paraId="5CE4AC2F" w14:textId="717D4F21" w:rsidR="00096BF1" w:rsidRDefault="00000000">
      <w:pPr>
        <w:numPr>
          <w:ilvl w:val="0"/>
          <w:numId w:val="1"/>
        </w:numPr>
        <w:ind w:right="4"/>
      </w:pPr>
      <w:r>
        <w:t>Předmětem této smlouvy je vymezení podmínek, na jejichž základě budou mezi smluvními stranam</w:t>
      </w:r>
      <w:r w:rsidR="000E1C98">
        <w:t>i</w:t>
      </w:r>
      <w:r>
        <w:t xml:space="preserve"> uzavírány dílčí smlouvy o poskytování právních služeb (dále </w:t>
      </w:r>
      <w:proofErr w:type="gramStart"/>
      <w:r>
        <w:t>jen ,Dílčí</w:t>
      </w:r>
      <w:proofErr w:type="gramEnd"/>
      <w:r>
        <w:t xml:space="preserve"> smlouva”)</w:t>
      </w:r>
      <w:r>
        <w:rPr>
          <w:noProof/>
        </w:rPr>
        <w:drawing>
          <wp:inline distT="0" distB="0" distL="0" distR="0" wp14:anchorId="24408BA8" wp14:editId="5B3A6DF8">
            <wp:extent cx="15241" cy="18290"/>
            <wp:effectExtent l="0" t="0" r="0" b="0"/>
            <wp:docPr id="1281" name="Picture 1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" name="Picture 12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E73F2" w14:textId="2807B3E6" w:rsidR="00096BF1" w:rsidRDefault="00000000">
      <w:pPr>
        <w:numPr>
          <w:ilvl w:val="0"/>
          <w:numId w:val="1"/>
        </w:numPr>
        <w:spacing w:after="390"/>
        <w:ind w:right="4"/>
      </w:pPr>
      <w:r>
        <w:t>Předmětem Dílčích smluv bude obstarání záležitostí klienta spočívajících v poskytování právní pomoci, tj. zejména poskytování právních rad, konzultací, vysvětlení, odpovědí na dotazy a zpracování a revize podkladů a právních dokumentů podle požadavků a potřeby klienta, případně jeho zastupování před soudy nebo před jinými orgány na základě zvlášť udělené plné moci ve věcech adm</w:t>
      </w:r>
      <w:r w:rsidR="000E1C98">
        <w:t>i</w:t>
      </w:r>
      <w:r>
        <w:t>nistrace a dalšího poskytování právních služeb v oblasti veřejných zakázek.</w:t>
      </w:r>
    </w:p>
    <w:p w14:paraId="7EA2E1D4" w14:textId="77777777" w:rsidR="00096BF1" w:rsidRDefault="00000000">
      <w:pPr>
        <w:spacing w:after="269" w:line="259" w:lineRule="auto"/>
        <w:ind w:left="48" w:right="29" w:hanging="10"/>
        <w:jc w:val="center"/>
      </w:pPr>
      <w:r>
        <w:rPr>
          <w:sz w:val="20"/>
        </w:rPr>
        <w:t>-1-</w:t>
      </w:r>
    </w:p>
    <w:p w14:paraId="49BE76D4" w14:textId="393AA08E" w:rsidR="00096BF1" w:rsidRDefault="00000000">
      <w:pPr>
        <w:numPr>
          <w:ilvl w:val="0"/>
          <w:numId w:val="2"/>
        </w:numPr>
        <w:ind w:right="4" w:hanging="322"/>
      </w:pPr>
      <w:r>
        <w:lastRenderedPageBreak/>
        <w:t>Náhrada dle odst. 4. tohoto článku bude klientovi vy</w:t>
      </w:r>
      <w:r w:rsidR="000E1C98">
        <w:t>úč</w:t>
      </w:r>
      <w:r>
        <w:t>tována vždy 1x za každý kalendářní měsíc, v němž budou předmětné služby poskytovány, přičemž advokát v rámci tohoto vy</w:t>
      </w:r>
      <w:r w:rsidR="000E1C98">
        <w:t>úč</w:t>
      </w:r>
      <w:r>
        <w:t>tován</w:t>
      </w:r>
      <w:r w:rsidR="000E1C98">
        <w:t>í</w:t>
      </w:r>
      <w:r>
        <w:t xml:space="preserve"> zašle klientovi přehled provedených úkonů a odpracovaného času.</w:t>
      </w:r>
    </w:p>
    <w:p w14:paraId="2AE183C0" w14:textId="77777777" w:rsidR="00096BF1" w:rsidRDefault="00000000">
      <w:pPr>
        <w:numPr>
          <w:ilvl w:val="0"/>
          <w:numId w:val="2"/>
        </w:numPr>
        <w:ind w:right="4" w:hanging="322"/>
      </w:pPr>
      <w:r>
        <w:t>Smluvní strany se v rámci určitého případu mohou dohodnout i na jiném způsobu či jiné výši odměny advokáta.</w:t>
      </w:r>
    </w:p>
    <w:p w14:paraId="28882356" w14:textId="570F1DFD" w:rsidR="00096BF1" w:rsidRDefault="00000000">
      <w:pPr>
        <w:numPr>
          <w:ilvl w:val="0"/>
          <w:numId w:val="2"/>
        </w:numPr>
        <w:ind w:right="4" w:hanging="322"/>
      </w:pPr>
      <w:r>
        <w:t>Odměna advokáta nezahrnuje advokátem vynaložené hotové výdaje (zejm. soudní či správní poplatky, zálohy na náklady důkazů, cestovně, poštovné, znale</w:t>
      </w:r>
      <w:r w:rsidR="000E1C98">
        <w:t>č</w:t>
      </w:r>
      <w:r>
        <w:t>né, svědečné, výdaje za získané dokumenty vzdálených placených registrů — např. dálkový přístup do katastru nemovitostí či Centrální evidence exekucí apod.). V případě, že tyto výdaje budou advokátem vynaloženy, budou klientovi pře</w:t>
      </w:r>
      <w:r w:rsidR="000E1C98">
        <w:t>úč</w:t>
      </w:r>
      <w:r>
        <w:t>továny.</w:t>
      </w:r>
    </w:p>
    <w:p w14:paraId="09C051C5" w14:textId="77777777" w:rsidR="00096BF1" w:rsidRDefault="00000000">
      <w:pPr>
        <w:numPr>
          <w:ilvl w:val="0"/>
          <w:numId w:val="2"/>
        </w:numPr>
        <w:spacing w:after="241"/>
        <w:ind w:right="4" w:hanging="322"/>
      </w:pPr>
      <w:r>
        <w:t>Zálohy na odměnu, náhradu za promeškaný čas a náhradu hotových výdajů nebudou poskytovány.</w:t>
      </w:r>
    </w:p>
    <w:p w14:paraId="320D9688" w14:textId="77777777" w:rsidR="00096BF1" w:rsidRDefault="00000000">
      <w:pPr>
        <w:spacing w:after="0" w:line="265" w:lineRule="auto"/>
        <w:ind w:left="63" w:right="77" w:hanging="10"/>
        <w:jc w:val="center"/>
      </w:pPr>
      <w:r>
        <w:rPr>
          <w:sz w:val="24"/>
        </w:rPr>
        <w:t>čl. IV.</w:t>
      </w:r>
    </w:p>
    <w:p w14:paraId="4E54C070" w14:textId="77777777" w:rsidR="00096BF1" w:rsidRDefault="00000000">
      <w:pPr>
        <w:spacing w:after="209" w:line="265" w:lineRule="auto"/>
        <w:ind w:left="63" w:right="82" w:hanging="10"/>
        <w:jc w:val="center"/>
      </w:pPr>
      <w:r>
        <w:rPr>
          <w:sz w:val="24"/>
        </w:rPr>
        <w:t>Způsob poskytování právních služeb</w:t>
      </w:r>
    </w:p>
    <w:p w14:paraId="24676B25" w14:textId="77777777" w:rsidR="00096BF1" w:rsidRDefault="00000000">
      <w:pPr>
        <w:numPr>
          <w:ilvl w:val="0"/>
          <w:numId w:val="3"/>
        </w:numPr>
        <w:ind w:right="4"/>
      </w:pPr>
      <w:r>
        <w:t>Služby dle Dílčí smlouvy poskytuje advokát osobně nebo prostřednictvím svého koncipienta či jiného zaměstnance nebo jiného advokáta pověřeného zajišťováním spolupráce s klientem, a to včetně elektronické komunikace na dohodnutých e-mailových adresách.</w:t>
      </w:r>
    </w:p>
    <w:p w14:paraId="2E8637D8" w14:textId="16A034F5" w:rsidR="00096BF1" w:rsidRDefault="00000000">
      <w:pPr>
        <w:numPr>
          <w:ilvl w:val="0"/>
          <w:numId w:val="3"/>
        </w:numPr>
        <w:ind w:right="4"/>
      </w:pPr>
      <w:r>
        <w:t xml:space="preserve">Klient se zavazuje předat advokátovi potřebné informace, podklady a doklady k požadované právní pomoci, resp. k plnění předmětu Dílčí smlouvy, přičemž odpovídá za jejich správnost a úplnost. V této souvislosti byl klient poučen o </w:t>
      </w:r>
      <w:proofErr w:type="spellStart"/>
      <w:r>
        <w:t>ust</w:t>
      </w:r>
      <w:proofErr w:type="spellEnd"/>
      <w:r>
        <w:t xml:space="preserve">. S 347a zákona Č. 40/2009 Sb., trestního zákoníku, které zní: „Kdo pro </w:t>
      </w:r>
      <w:r w:rsidR="000E1C98">
        <w:t>účely</w:t>
      </w:r>
      <w:r>
        <w:t xml:space="preserve"> zahájení řízení</w:t>
      </w:r>
      <w:r w:rsidR="000E1C98">
        <w:t xml:space="preserve"> </w:t>
      </w:r>
      <w:r>
        <w:t>před soudem, před me</w:t>
      </w:r>
      <w:r w:rsidR="000E1C98">
        <w:t>zi</w:t>
      </w:r>
      <w:r>
        <w:t xml:space="preserve">národním soudním orgánem nebo trestního řízení anebo v takovém </w:t>
      </w:r>
      <w:r w:rsidR="000E1C98">
        <w:t>řízení</w:t>
      </w:r>
      <w:r>
        <w:t xml:space="preserve"> předloží věcný nebo listinný d</w:t>
      </w:r>
      <w:r w:rsidR="000E1C98">
        <w:t>ů</w:t>
      </w:r>
      <w:r>
        <w:t>kazní</w:t>
      </w:r>
      <w:r w:rsidR="000E1C98">
        <w:t xml:space="preserve"> </w:t>
      </w:r>
      <w:r>
        <w:t>prostředek, kte</w:t>
      </w:r>
      <w:r w:rsidR="000E1C98">
        <w:t>rý</w:t>
      </w:r>
      <w:r>
        <w:t xml:space="preserve"> má podstatný</w:t>
      </w:r>
      <w:r w:rsidR="000E1C98">
        <w:t xml:space="preserve"> význam</w:t>
      </w:r>
      <w:r>
        <w:t xml:space="preserve"> pro rozhodnutí, o kterém ví, </w:t>
      </w:r>
      <w:r w:rsidR="000E1C98">
        <w:t xml:space="preserve">že je </w:t>
      </w:r>
      <w:proofErr w:type="spellStart"/>
      <w:r w:rsidR="000E1C98">
        <w:t>padělný</w:t>
      </w:r>
      <w:proofErr w:type="spellEnd"/>
      <w:r>
        <w:t xml:space="preserve"> nebo </w:t>
      </w:r>
      <w:r w:rsidR="000E1C98">
        <w:t>p</w:t>
      </w:r>
      <w:r>
        <w:t xml:space="preserve">ozměněný, v </w:t>
      </w:r>
      <w:r w:rsidR="000E1C98">
        <w:t>úmyslu</w:t>
      </w:r>
      <w:r>
        <w:t xml:space="preserve">, aby </w:t>
      </w:r>
      <w:proofErr w:type="gramStart"/>
      <w:r>
        <w:t>by</w:t>
      </w:r>
      <w:r w:rsidR="000E1C98">
        <w:t xml:space="preserve">l </w:t>
      </w:r>
      <w:r>
        <w:t xml:space="preserve"> použi</w:t>
      </w:r>
      <w:r w:rsidR="000E1C98">
        <w:t>t</w:t>
      </w:r>
      <w:proofErr w:type="gramEnd"/>
      <w:r w:rsidR="000E1C98">
        <w:t xml:space="preserve"> </w:t>
      </w:r>
      <w:r>
        <w:t>jako pravý, anebo padělá nebo Pozmění takový důkazní</w:t>
      </w:r>
      <w:r w:rsidR="000E1C98">
        <w:t xml:space="preserve"> p</w:t>
      </w:r>
      <w:r>
        <w:t xml:space="preserve">rostředek v </w:t>
      </w:r>
      <w:r w:rsidR="000E1C98">
        <w:t>úmyslu</w:t>
      </w:r>
      <w:r>
        <w:t>, aby by</w:t>
      </w:r>
      <w:r w:rsidR="000E1C98">
        <w:t xml:space="preserve">l </w:t>
      </w:r>
      <w:r>
        <w:t>použit</w:t>
      </w:r>
      <w:r w:rsidR="000E1C98">
        <w:t xml:space="preserve"> </w:t>
      </w:r>
      <w:r>
        <w:t xml:space="preserve">jako pravý, bude Potrestán odnětím svobody až na dvě /éta”. Klient byl dále poučen ohledně </w:t>
      </w:r>
      <w:proofErr w:type="spellStart"/>
      <w:r>
        <w:t>ust</w:t>
      </w:r>
      <w:proofErr w:type="spellEnd"/>
      <w:r>
        <w:t>. Čl. 6 odst. 3 Usnesení představenstva České advokátní komory Č. 1/1997 Věstníku, stanovujícího pravidla profesionální etiky a pravidla soutě</w:t>
      </w:r>
      <w:r w:rsidR="000E1C98">
        <w:t>ž</w:t>
      </w:r>
      <w:r>
        <w:t xml:space="preserve">e advokátů </w:t>
      </w:r>
      <w:r w:rsidR="000E1C98">
        <w:t>Č</w:t>
      </w:r>
      <w:r>
        <w:t>eské republiky. Podle těchto pravidel není advokát oprávněn bez souhlasu klienta ověřovat pravdivost nebo úplnost skutkových informací poskytnutých klientem.</w:t>
      </w:r>
    </w:p>
    <w:p w14:paraId="6E19254B" w14:textId="77777777" w:rsidR="00096BF1" w:rsidRDefault="00000000">
      <w:pPr>
        <w:numPr>
          <w:ilvl w:val="0"/>
          <w:numId w:val="3"/>
        </w:numPr>
        <w:ind w:right="4"/>
      </w:pPr>
      <w:r>
        <w:t>Klient podpisem této smlouvy mj. potvrzuje, že byl poučen o nutnosti sdělit advokátovi veškeré klientovi známé informace o možnosti, že by vůči předloženým důkazům mohlo být namítnuto, Že jsou padělané anebo pozměněné. Pro takový případ se klient zavazuje projednat s advokátem vhodný postup. Bez upozornění klienta advokát neodpovídá za věcnou správnost a autentičnost důkazů, které budou soudu na pokyn klienta předloženy.</w:t>
      </w:r>
    </w:p>
    <w:p w14:paraId="55B8A78E" w14:textId="77777777" w:rsidR="00096BF1" w:rsidRDefault="00000000">
      <w:pPr>
        <w:numPr>
          <w:ilvl w:val="0"/>
          <w:numId w:val="3"/>
        </w:numPr>
        <w:ind w:right="4"/>
      </w:pPr>
      <w:r>
        <w:t>Při poskytování právních služeb vychází advokát z předpokladu, Že veškeré informace, které mu klient sdělí či předá, jsou pravdivé a úplné. Klient bere na vědomí, že advokát není oprávněn bez klientova souhlasu ověřovat pravdivost nebo úplnost klientem poskytnutých skutkových informací.</w:t>
      </w:r>
    </w:p>
    <w:p w14:paraId="2800CF6D" w14:textId="650D9F77" w:rsidR="00096BF1" w:rsidRDefault="00000000">
      <w:pPr>
        <w:numPr>
          <w:ilvl w:val="0"/>
          <w:numId w:val="3"/>
        </w:numPr>
        <w:ind w:right="4"/>
      </w:pPr>
      <w:r>
        <w:t>Klient bere na vědomí, že advokát je v zákonem stanovených případech tzv. povinnou osobou dle zákona Č. 253/2008 Sb., o některých opatřeních proti legalizaci výnosů z trestné Činnosti a financování terorismu, a jako takový má v zákonem stanovených případech povinnost identifikace klienta, příp. kontroly klienta. Za tímto účelem je pov</w:t>
      </w:r>
      <w:r w:rsidR="000E1C98">
        <w:t>inen</w:t>
      </w:r>
      <w:r>
        <w:t xml:space="preserve"> shromažďovat a uchovávat osobní údaje klienta a pořizovat kopie dokladů, z nichž tyto údaje ověřil. Klient se zavazuje za tím účelem poskytnout advokátovi nezbytnou součinnost. Klient prohlašuje, Že byl advokátem poučen o povinnostech vyplývajících z právní úpravy proti legalizaci výnosů z trestné Činnosti a financování teror</w:t>
      </w:r>
      <w:r w:rsidR="000E1C98">
        <w:t>i</w:t>
      </w:r>
      <w:r>
        <w:t>smu.</w:t>
      </w:r>
    </w:p>
    <w:p w14:paraId="42223E19" w14:textId="78AC3AFE" w:rsidR="00096BF1" w:rsidRDefault="00000000">
      <w:pPr>
        <w:numPr>
          <w:ilvl w:val="0"/>
          <w:numId w:val="3"/>
        </w:numPr>
        <w:spacing w:after="543"/>
        <w:ind w:right="4"/>
      </w:pPr>
      <w:r>
        <w:t xml:space="preserve">Klient se zavazuje </w:t>
      </w:r>
      <w:r w:rsidR="000E1C98">
        <w:t>úč</w:t>
      </w:r>
      <w:r>
        <w:t>astnit se potřebných jednání na výzvu advokáta, případně je na jeho výzvu svolat a zajistit, obdobně se zavazuje advokát. Klient se zavazuje poskytnout advokátovi sou</w:t>
      </w:r>
      <w:r w:rsidR="000E1C98">
        <w:t>č</w:t>
      </w:r>
      <w:r>
        <w:t>innost nezbytnou k řádnému poskytnutí právních služeb.</w:t>
      </w:r>
    </w:p>
    <w:p w14:paraId="36B51315" w14:textId="77777777" w:rsidR="00096BF1" w:rsidRDefault="00000000">
      <w:pPr>
        <w:spacing w:after="269" w:line="259" w:lineRule="auto"/>
        <w:ind w:left="48" w:right="0" w:hanging="10"/>
        <w:jc w:val="center"/>
      </w:pPr>
      <w:r>
        <w:rPr>
          <w:sz w:val="20"/>
        </w:rPr>
        <w:lastRenderedPageBreak/>
        <w:t>-3-</w:t>
      </w:r>
    </w:p>
    <w:p w14:paraId="5BA9E9D7" w14:textId="27129F94" w:rsidR="00096BF1" w:rsidRDefault="00000000">
      <w:pPr>
        <w:numPr>
          <w:ilvl w:val="2"/>
          <w:numId w:val="4"/>
        </w:numPr>
        <w:spacing w:after="61"/>
        <w:ind w:right="4" w:hanging="331"/>
      </w:pPr>
      <w:r>
        <w:t>Podání učiněná advokátem a ve</w:t>
      </w:r>
      <w:r w:rsidR="000E1C98">
        <w:t>š</w:t>
      </w:r>
      <w:r>
        <w:t>keré jeho přípisy si advokát ponechá v originálech a jejich kopie předá klientovi.</w:t>
      </w:r>
    </w:p>
    <w:p w14:paraId="207CB573" w14:textId="77777777" w:rsidR="00096BF1" w:rsidRDefault="00000000">
      <w:pPr>
        <w:numPr>
          <w:ilvl w:val="2"/>
          <w:numId w:val="4"/>
        </w:numPr>
        <w:spacing w:after="269"/>
        <w:ind w:right="4" w:hanging="331"/>
      </w:pPr>
      <w:r>
        <w:t>K předání dokumentace (zejména předaných originálů listin) dochází v sídle advokáta. Pokud se klient i přes písemnou výzvu advokáta nedostaví k převzetí spisu, je advokát oprávněn spisy zaslat na náklady klienta na adresu sídla klienta.</w:t>
      </w:r>
    </w:p>
    <w:p w14:paraId="6B49B62C" w14:textId="77777777" w:rsidR="00096BF1" w:rsidRDefault="00000000">
      <w:pPr>
        <w:spacing w:after="0" w:line="265" w:lineRule="auto"/>
        <w:ind w:left="63" w:right="10" w:hanging="10"/>
        <w:jc w:val="center"/>
      </w:pPr>
      <w:r>
        <w:rPr>
          <w:sz w:val="24"/>
        </w:rPr>
        <w:t>čl. VII.</w:t>
      </w:r>
    </w:p>
    <w:p w14:paraId="05DE9512" w14:textId="77777777" w:rsidR="00096BF1" w:rsidRDefault="00000000">
      <w:pPr>
        <w:spacing w:after="189" w:line="265" w:lineRule="auto"/>
        <w:ind w:left="63" w:right="0" w:hanging="10"/>
        <w:jc w:val="center"/>
      </w:pPr>
      <w:r>
        <w:rPr>
          <w:sz w:val="24"/>
        </w:rPr>
        <w:t>Závěrečná ustanovení</w:t>
      </w:r>
    </w:p>
    <w:p w14:paraId="47099A59" w14:textId="77777777" w:rsidR="00096BF1" w:rsidRDefault="00000000">
      <w:pPr>
        <w:numPr>
          <w:ilvl w:val="1"/>
          <w:numId w:val="3"/>
        </w:numPr>
        <w:spacing w:after="26"/>
        <w:ind w:right="4" w:hanging="322"/>
      </w:pPr>
      <w:r>
        <w:t>Změny a doplňky této smlouvy musí mít písemnou formu.</w:t>
      </w:r>
    </w:p>
    <w:p w14:paraId="567314C2" w14:textId="77777777" w:rsidR="00096BF1" w:rsidRDefault="00000000">
      <w:pPr>
        <w:numPr>
          <w:ilvl w:val="1"/>
          <w:numId w:val="3"/>
        </w:numPr>
        <w:spacing w:after="263"/>
        <w:ind w:right="4" w:hanging="322"/>
      </w:pPr>
      <w:r>
        <w:t>Tato smlouva se vyhotovuje ve dvou stejnopisech, po jednom pro každou smluvní stranu.</w:t>
      </w:r>
    </w:p>
    <w:p w14:paraId="2243F5FC" w14:textId="77777777" w:rsidR="00096BF1" w:rsidRDefault="00000000">
      <w:pPr>
        <w:spacing w:after="0" w:line="259" w:lineRule="auto"/>
        <w:ind w:left="0" w:right="67" w:firstLine="0"/>
        <w:jc w:val="center"/>
      </w:pPr>
      <w:r>
        <w:rPr>
          <w:sz w:val="16"/>
        </w:rPr>
        <w:t>-5_</w:t>
      </w:r>
    </w:p>
    <w:sectPr w:rsidR="00096BF1">
      <w:pgSz w:w="11900" w:h="16840"/>
      <w:pgMar w:top="1452" w:right="1474" w:bottom="1615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B44"/>
    <w:multiLevelType w:val="hybridMultilevel"/>
    <w:tmpl w:val="A698B4E6"/>
    <w:lvl w:ilvl="0" w:tplc="6038A9FE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0CA6E6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D48740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2B612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F0803A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CA09E8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6E7E4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1A3308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C6DDE4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1A71C0"/>
    <w:multiLevelType w:val="hybridMultilevel"/>
    <w:tmpl w:val="36DC095A"/>
    <w:lvl w:ilvl="0" w:tplc="0B82DED4">
      <w:start w:val="5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42DD0C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8C4F1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A6F9F6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CE021E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2F790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46AB9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00BDB6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E2282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EB18A6"/>
    <w:multiLevelType w:val="hybridMultilevel"/>
    <w:tmpl w:val="79AE8B50"/>
    <w:lvl w:ilvl="0" w:tplc="E51AA7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767494">
      <w:start w:val="1"/>
      <w:numFmt w:val="lowerLetter"/>
      <w:lvlText w:val="%2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92A524">
      <w:start w:val="3"/>
      <w:numFmt w:val="lowerLetter"/>
      <w:lvlRestart w:val="0"/>
      <w:lvlText w:val="%3.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E4716">
      <w:start w:val="1"/>
      <w:numFmt w:val="decimal"/>
      <w:lvlText w:val="%4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46277C">
      <w:start w:val="1"/>
      <w:numFmt w:val="lowerLetter"/>
      <w:lvlText w:val="%5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CDF42">
      <w:start w:val="1"/>
      <w:numFmt w:val="lowerRoman"/>
      <w:lvlText w:val="%6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425A9E">
      <w:start w:val="1"/>
      <w:numFmt w:val="decimal"/>
      <w:lvlText w:val="%7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4EFB60">
      <w:start w:val="1"/>
      <w:numFmt w:val="lowerLetter"/>
      <w:lvlText w:val="%8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CE82A0">
      <w:start w:val="1"/>
      <w:numFmt w:val="lowerRoman"/>
      <w:lvlText w:val="%9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5E3E6A"/>
    <w:multiLevelType w:val="hybridMultilevel"/>
    <w:tmpl w:val="51D4839C"/>
    <w:lvl w:ilvl="0" w:tplc="74D21E1C">
      <w:start w:val="7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5CC158">
      <w:start w:val="1"/>
      <w:numFmt w:val="decimal"/>
      <w:lvlText w:val="%2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6211D2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AC1CF8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8CBABA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E6BAC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D0439C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F24D5E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3030CA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4775477">
    <w:abstractNumId w:val="0"/>
  </w:num>
  <w:num w:numId="2" w16cid:durableId="861280884">
    <w:abstractNumId w:val="1"/>
  </w:num>
  <w:num w:numId="3" w16cid:durableId="1524515442">
    <w:abstractNumId w:val="3"/>
  </w:num>
  <w:num w:numId="4" w16cid:durableId="803933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F1"/>
    <w:rsid w:val="00096BF1"/>
    <w:rsid w:val="000E1C98"/>
    <w:rsid w:val="00454B36"/>
    <w:rsid w:val="00C1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541D"/>
  <w15:docId w15:val="{CF67F294-B894-4A39-927E-00176F73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332" w:right="2107" w:hanging="332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02" w:line="228" w:lineRule="auto"/>
      <w:ind w:left="1200" w:hanging="259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879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cp:lastModifiedBy>Salanská Iveta</cp:lastModifiedBy>
  <cp:revision>6</cp:revision>
  <dcterms:created xsi:type="dcterms:W3CDTF">2024-03-18T10:08:00Z</dcterms:created>
  <dcterms:modified xsi:type="dcterms:W3CDTF">2024-03-25T11:40:00Z</dcterms:modified>
</cp:coreProperties>
</file>