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777E3" w14:textId="77777777" w:rsidR="00253857" w:rsidRDefault="00253857" w:rsidP="00253857">
      <w:pPr>
        <w:pStyle w:val="Odstavec"/>
        <w:ind w:firstLine="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Smluvní strany</w:t>
      </w:r>
    </w:p>
    <w:p w14:paraId="54DF17A8" w14:textId="1D896BD8" w:rsidR="00253857" w:rsidRDefault="00253857" w:rsidP="00253857">
      <w:pPr>
        <w:pStyle w:val="Odstavec"/>
        <w:spacing w:after="0"/>
        <w:ind w:firstLine="0"/>
        <w:rPr>
          <w:sz w:val="20"/>
        </w:rPr>
      </w:pPr>
      <w:r w:rsidRPr="00EC6895">
        <w:rPr>
          <w:b/>
          <w:bCs/>
          <w:sz w:val="22"/>
          <w:szCs w:val="22"/>
        </w:rPr>
        <w:t>Město Písek</w:t>
      </w:r>
      <w:r>
        <w:rPr>
          <w:sz w:val="20"/>
        </w:rPr>
        <w:t>, na základě Zřizovací listiny ze dne 18.04.2016 zastoupené Domovní a bytovou správou města Písku, se sídlem Fügnerovo nám. čp. 42, 397 01 Písek, IČO</w:t>
      </w:r>
      <w:r w:rsidR="007526EA">
        <w:rPr>
          <w:sz w:val="20"/>
        </w:rPr>
        <w:t>:</w:t>
      </w:r>
      <w:r>
        <w:rPr>
          <w:sz w:val="20"/>
        </w:rPr>
        <w:t xml:space="preserve"> 00512362, zapsaná v obchodním rejstříku, vedeným Krajským soudem v Českých Budějovicích, oddíl Pr, vložka 16, zastoupená ředitel</w:t>
      </w:r>
      <w:r w:rsidR="003B723C">
        <w:rPr>
          <w:sz w:val="20"/>
        </w:rPr>
        <w:t>em</w:t>
      </w:r>
      <w:r>
        <w:rPr>
          <w:sz w:val="20"/>
        </w:rPr>
        <w:t xml:space="preserve"> Ing. </w:t>
      </w:r>
      <w:r w:rsidR="006F0E1A">
        <w:rPr>
          <w:sz w:val="20"/>
        </w:rPr>
        <w:t>Tomášem Bednaříkem</w:t>
      </w:r>
      <w:r>
        <w:rPr>
          <w:sz w:val="20"/>
        </w:rPr>
        <w:t xml:space="preserve">, </w:t>
      </w:r>
    </w:p>
    <w:p w14:paraId="0D9B59DB" w14:textId="77777777" w:rsidR="00253857" w:rsidRDefault="00253857" w:rsidP="00253857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>dále jen "Pronajímatel"</w:t>
      </w:r>
    </w:p>
    <w:p w14:paraId="1BD2E786" w14:textId="77777777" w:rsidR="00253857" w:rsidRDefault="00253857" w:rsidP="00253857">
      <w:pPr>
        <w:pStyle w:val="Odstavec"/>
        <w:spacing w:after="0"/>
        <w:ind w:firstLine="0"/>
        <w:rPr>
          <w:sz w:val="20"/>
        </w:rPr>
      </w:pPr>
    </w:p>
    <w:p w14:paraId="0508C5AB" w14:textId="77777777" w:rsidR="00253857" w:rsidRDefault="00253857" w:rsidP="00253857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>a</w:t>
      </w:r>
    </w:p>
    <w:p w14:paraId="3C93D743" w14:textId="77777777" w:rsidR="00253857" w:rsidRDefault="00253857" w:rsidP="00253857">
      <w:pPr>
        <w:jc w:val="both"/>
        <w:rPr>
          <w:b/>
          <w:szCs w:val="24"/>
        </w:rPr>
      </w:pPr>
    </w:p>
    <w:p w14:paraId="0EB5EA47" w14:textId="65F03455" w:rsidR="00253857" w:rsidRPr="00A43E3B" w:rsidRDefault="0069659A" w:rsidP="00253857">
      <w:pPr>
        <w:pStyle w:val="Odstavec"/>
        <w:spacing w:after="0"/>
        <w:ind w:firstLine="0"/>
        <w:rPr>
          <w:sz w:val="20"/>
        </w:rPr>
      </w:pPr>
      <w:r>
        <w:rPr>
          <w:b/>
          <w:bCs/>
          <w:sz w:val="22"/>
          <w:szCs w:val="22"/>
        </w:rPr>
        <w:t>CETIN</w:t>
      </w:r>
      <w:r w:rsidR="00253857" w:rsidRPr="00A43E3B">
        <w:rPr>
          <w:b/>
          <w:bCs/>
          <w:sz w:val="22"/>
          <w:szCs w:val="22"/>
        </w:rPr>
        <w:t xml:space="preserve"> a.s., </w:t>
      </w:r>
      <w:r w:rsidR="00253857" w:rsidRPr="00A43E3B">
        <w:rPr>
          <w:sz w:val="20"/>
        </w:rPr>
        <w:t xml:space="preserve">se sídlem </w:t>
      </w:r>
      <w:r>
        <w:rPr>
          <w:sz w:val="20"/>
        </w:rPr>
        <w:t>Českomoravská 2510/19</w:t>
      </w:r>
      <w:r w:rsidR="00253857" w:rsidRPr="00A43E3B">
        <w:rPr>
          <w:sz w:val="20"/>
        </w:rPr>
        <w:t xml:space="preserve">, </w:t>
      </w:r>
      <w:r w:rsidR="00B604EB">
        <w:rPr>
          <w:sz w:val="20"/>
        </w:rPr>
        <w:t>Libeň</w:t>
      </w:r>
      <w:r w:rsidR="00253857" w:rsidRPr="00A43E3B">
        <w:rPr>
          <w:sz w:val="20"/>
        </w:rPr>
        <w:t>, 130 00 Praha 3, IČO:</w:t>
      </w:r>
      <w:r w:rsidR="007526EA">
        <w:rPr>
          <w:sz w:val="20"/>
        </w:rPr>
        <w:t xml:space="preserve"> </w:t>
      </w:r>
      <w:r w:rsidR="00253857" w:rsidRPr="00A43E3B">
        <w:rPr>
          <w:sz w:val="20"/>
        </w:rPr>
        <w:t xml:space="preserve">04084063, DIČ: CZ04084063, zapsaná v obchodním rejstříku vedeném u Městského soudu v Praze, oddíl B, vložka 20623, zastoupena na základě pověření představenstva </w:t>
      </w:r>
      <w:r w:rsidR="00204D73">
        <w:rPr>
          <w:sz w:val="20"/>
        </w:rPr>
        <w:t>společnosti xxxxx xxxxx</w:t>
      </w:r>
      <w:r w:rsidR="00253857" w:rsidRPr="00A43E3B">
        <w:rPr>
          <w:sz w:val="20"/>
        </w:rPr>
        <w:t xml:space="preserve">, </w:t>
      </w:r>
      <w:r w:rsidR="00054A08">
        <w:rPr>
          <w:sz w:val="20"/>
        </w:rPr>
        <w:t>manažerem realitních služeb</w:t>
      </w:r>
    </w:p>
    <w:p w14:paraId="73E95D76" w14:textId="77777777" w:rsidR="00253857" w:rsidRPr="00A43E3B" w:rsidRDefault="00253857" w:rsidP="00253857">
      <w:pPr>
        <w:pStyle w:val="Odstavec"/>
        <w:spacing w:after="0"/>
        <w:ind w:firstLine="0"/>
        <w:rPr>
          <w:b/>
          <w:bCs/>
          <w:sz w:val="20"/>
        </w:rPr>
      </w:pPr>
      <w:r w:rsidRPr="00A43E3B">
        <w:rPr>
          <w:b/>
          <w:bCs/>
          <w:sz w:val="20"/>
        </w:rPr>
        <w:t>kód nemovitosti: PI9215</w:t>
      </w:r>
    </w:p>
    <w:p w14:paraId="5AB3767F" w14:textId="77777777" w:rsidR="00253857" w:rsidRPr="00A43E3B" w:rsidRDefault="00253857" w:rsidP="00253857">
      <w:pPr>
        <w:pStyle w:val="Odstavec"/>
        <w:spacing w:after="0"/>
        <w:ind w:firstLine="0"/>
        <w:rPr>
          <w:sz w:val="20"/>
        </w:rPr>
      </w:pPr>
      <w:r w:rsidRPr="00A43E3B">
        <w:rPr>
          <w:sz w:val="20"/>
        </w:rPr>
        <w:t>dále jen "Nájemce"</w:t>
      </w:r>
    </w:p>
    <w:p w14:paraId="31D5BF14" w14:textId="77777777" w:rsidR="00253857" w:rsidRDefault="00253857" w:rsidP="00253857">
      <w:pPr>
        <w:pStyle w:val="Odstavec"/>
        <w:spacing w:after="0" w:line="292" w:lineRule="auto"/>
        <w:ind w:firstLine="0"/>
        <w:rPr>
          <w:sz w:val="20"/>
        </w:rPr>
      </w:pPr>
      <w:r>
        <w:rPr>
          <w:sz w:val="20"/>
        </w:rPr>
        <w:t xml:space="preserve">uzavřely dnešního dne </w:t>
      </w:r>
    </w:p>
    <w:p w14:paraId="70102D0B" w14:textId="77777777" w:rsidR="00253857" w:rsidRDefault="00253857" w:rsidP="00253857">
      <w:pPr>
        <w:jc w:val="both"/>
      </w:pPr>
    </w:p>
    <w:p w14:paraId="379CE37A" w14:textId="77777777" w:rsidR="00253857" w:rsidRPr="00556B4B" w:rsidRDefault="00253857" w:rsidP="00253857">
      <w:pPr>
        <w:jc w:val="center"/>
        <w:rPr>
          <w:b/>
          <w:sz w:val="28"/>
          <w:szCs w:val="28"/>
        </w:rPr>
      </w:pPr>
      <w:r w:rsidRPr="00556B4B">
        <w:rPr>
          <w:b/>
          <w:sz w:val="28"/>
          <w:szCs w:val="28"/>
        </w:rPr>
        <w:t xml:space="preserve">DODATEK č. </w:t>
      </w:r>
      <w:r>
        <w:rPr>
          <w:b/>
          <w:sz w:val="28"/>
          <w:szCs w:val="28"/>
        </w:rPr>
        <w:t>2</w:t>
      </w:r>
    </w:p>
    <w:p w14:paraId="18CF8921" w14:textId="75EB3E06" w:rsidR="00253857" w:rsidRPr="00556B4B" w:rsidRDefault="00253857" w:rsidP="00253857">
      <w:pPr>
        <w:jc w:val="center"/>
        <w:rPr>
          <w:b/>
          <w:szCs w:val="24"/>
        </w:rPr>
      </w:pPr>
      <w:r w:rsidRPr="00556B4B">
        <w:rPr>
          <w:b/>
          <w:szCs w:val="24"/>
        </w:rPr>
        <w:t xml:space="preserve">ke smlouvě o nájmu </w:t>
      </w:r>
      <w:r>
        <w:rPr>
          <w:b/>
          <w:szCs w:val="24"/>
        </w:rPr>
        <w:t>prostor sloužících</w:t>
      </w:r>
      <w:r w:rsidR="0053212C">
        <w:rPr>
          <w:b/>
          <w:szCs w:val="24"/>
        </w:rPr>
        <w:t xml:space="preserve"> k</w:t>
      </w:r>
      <w:r>
        <w:rPr>
          <w:b/>
          <w:szCs w:val="24"/>
        </w:rPr>
        <w:t xml:space="preserve"> podnikání </w:t>
      </w:r>
      <w:r w:rsidRPr="00556B4B">
        <w:rPr>
          <w:b/>
          <w:szCs w:val="24"/>
        </w:rPr>
        <w:t xml:space="preserve">č. </w:t>
      </w:r>
      <w:r>
        <w:rPr>
          <w:b/>
          <w:szCs w:val="24"/>
        </w:rPr>
        <w:t>95275</w:t>
      </w:r>
    </w:p>
    <w:p w14:paraId="6CCC673D" w14:textId="77777777" w:rsidR="00253857" w:rsidRDefault="00253857" w:rsidP="00253857">
      <w:pPr>
        <w:jc w:val="center"/>
        <w:rPr>
          <w:b/>
        </w:rPr>
      </w:pPr>
    </w:p>
    <w:p w14:paraId="78A18E76" w14:textId="77777777" w:rsidR="00253857" w:rsidRPr="00DB1254" w:rsidRDefault="00253857" w:rsidP="00253857">
      <w:pPr>
        <w:jc w:val="center"/>
        <w:rPr>
          <w:b/>
          <w:bCs/>
          <w:sz w:val="22"/>
          <w:szCs w:val="22"/>
        </w:rPr>
      </w:pPr>
      <w:r w:rsidRPr="00DB1254">
        <w:rPr>
          <w:b/>
          <w:bCs/>
          <w:sz w:val="22"/>
          <w:szCs w:val="22"/>
        </w:rPr>
        <w:t>I.</w:t>
      </w:r>
    </w:p>
    <w:p w14:paraId="68E33615" w14:textId="73A881D0" w:rsidR="00253857" w:rsidRPr="00DB1254" w:rsidRDefault="00253857" w:rsidP="00253857">
      <w:pPr>
        <w:jc w:val="both"/>
        <w:rPr>
          <w:sz w:val="22"/>
          <w:szCs w:val="22"/>
        </w:rPr>
      </w:pPr>
      <w:r w:rsidRPr="00880556">
        <w:rPr>
          <w:sz w:val="22"/>
          <w:szCs w:val="22"/>
        </w:rPr>
        <w:t xml:space="preserve">Dne </w:t>
      </w:r>
      <w:proofErr w:type="gramStart"/>
      <w:r>
        <w:rPr>
          <w:sz w:val="22"/>
          <w:szCs w:val="22"/>
        </w:rPr>
        <w:t>10</w:t>
      </w:r>
      <w:r w:rsidRPr="00880556">
        <w:rPr>
          <w:sz w:val="22"/>
          <w:szCs w:val="22"/>
        </w:rPr>
        <w:t>.</w:t>
      </w:r>
      <w:r>
        <w:rPr>
          <w:sz w:val="22"/>
          <w:szCs w:val="22"/>
        </w:rPr>
        <w:t>10.2016</w:t>
      </w:r>
      <w:proofErr w:type="gramEnd"/>
      <w:r w:rsidRPr="00880556">
        <w:rPr>
          <w:sz w:val="22"/>
          <w:szCs w:val="22"/>
        </w:rPr>
        <w:t xml:space="preserve"> byla uzavřena mezi Pronajímatelem</w:t>
      </w:r>
      <w:r w:rsidRPr="00880556">
        <w:rPr>
          <w:bCs/>
          <w:sz w:val="22"/>
          <w:szCs w:val="22"/>
        </w:rPr>
        <w:t xml:space="preserve"> a Nájemc</w:t>
      </w:r>
      <w:r>
        <w:rPr>
          <w:bCs/>
          <w:sz w:val="22"/>
          <w:szCs w:val="22"/>
        </w:rPr>
        <w:t xml:space="preserve">em </w:t>
      </w:r>
      <w:r w:rsidRPr="00880556">
        <w:rPr>
          <w:bCs/>
          <w:sz w:val="22"/>
          <w:szCs w:val="22"/>
        </w:rPr>
        <w:t xml:space="preserve">smlouva o nájmu </w:t>
      </w:r>
      <w:r>
        <w:rPr>
          <w:bCs/>
          <w:sz w:val="22"/>
          <w:szCs w:val="22"/>
        </w:rPr>
        <w:t xml:space="preserve">prostor sloužících </w:t>
      </w:r>
      <w:r w:rsidR="003051A0">
        <w:rPr>
          <w:bCs/>
          <w:sz w:val="22"/>
          <w:szCs w:val="22"/>
        </w:rPr>
        <w:t xml:space="preserve">k </w:t>
      </w:r>
      <w:r>
        <w:rPr>
          <w:bCs/>
          <w:sz w:val="22"/>
          <w:szCs w:val="22"/>
        </w:rPr>
        <w:t xml:space="preserve">podnikání </w:t>
      </w:r>
      <w:r w:rsidR="003051A0">
        <w:rPr>
          <w:bCs/>
          <w:sz w:val="22"/>
          <w:szCs w:val="22"/>
        </w:rPr>
        <w:t>č. 95275</w:t>
      </w:r>
      <w:r w:rsidR="00044951">
        <w:rPr>
          <w:bCs/>
          <w:sz w:val="22"/>
          <w:szCs w:val="22"/>
        </w:rPr>
        <w:t>, jejímž předmětem je pronájem prostor</w:t>
      </w:r>
      <w:r w:rsidR="003051A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v </w:t>
      </w:r>
      <w:r w:rsidRPr="00880556">
        <w:rPr>
          <w:bCs/>
          <w:sz w:val="22"/>
          <w:szCs w:val="22"/>
        </w:rPr>
        <w:t xml:space="preserve">objektu domu čp. </w:t>
      </w:r>
      <w:r>
        <w:rPr>
          <w:bCs/>
          <w:sz w:val="22"/>
          <w:szCs w:val="22"/>
        </w:rPr>
        <w:t>2674 v ulici Truhlářská v Písku</w:t>
      </w:r>
      <w:r w:rsidR="00EA2D9E">
        <w:rPr>
          <w:bCs/>
          <w:sz w:val="22"/>
          <w:szCs w:val="22"/>
        </w:rPr>
        <w:t>, ve znění dodatku č 1 (dále jen „smlouva“)</w:t>
      </w:r>
      <w:r>
        <w:rPr>
          <w:bCs/>
          <w:sz w:val="22"/>
          <w:szCs w:val="22"/>
        </w:rPr>
        <w:t>.</w:t>
      </w:r>
    </w:p>
    <w:p w14:paraId="6F9EAF26" w14:textId="77777777" w:rsidR="00253857" w:rsidRPr="00DB1254" w:rsidRDefault="00253857" w:rsidP="00253857">
      <w:pPr>
        <w:jc w:val="center"/>
        <w:rPr>
          <w:b/>
          <w:sz w:val="22"/>
          <w:szCs w:val="22"/>
        </w:rPr>
      </w:pPr>
    </w:p>
    <w:p w14:paraId="35B237BF" w14:textId="77777777" w:rsidR="00253857" w:rsidRPr="00DB1254" w:rsidRDefault="00253857" w:rsidP="00253857">
      <w:pPr>
        <w:jc w:val="center"/>
        <w:rPr>
          <w:b/>
          <w:bCs/>
          <w:sz w:val="22"/>
          <w:szCs w:val="22"/>
        </w:rPr>
      </w:pPr>
      <w:r w:rsidRPr="00880556">
        <w:rPr>
          <w:b/>
          <w:bCs/>
          <w:sz w:val="22"/>
          <w:szCs w:val="22"/>
        </w:rPr>
        <w:t>II.</w:t>
      </w:r>
      <w:r w:rsidRPr="00DB1254">
        <w:rPr>
          <w:b/>
          <w:bCs/>
          <w:sz w:val="22"/>
          <w:szCs w:val="22"/>
        </w:rPr>
        <w:t xml:space="preserve"> </w:t>
      </w:r>
    </w:p>
    <w:p w14:paraId="7D92265E" w14:textId="1F629E01" w:rsidR="00CC1BA3" w:rsidRDefault="001D437C" w:rsidP="00253857">
      <w:pPr>
        <w:spacing w:before="240" w:line="276" w:lineRule="auto"/>
        <w:jc w:val="both"/>
        <w:rPr>
          <w:sz w:val="22"/>
          <w:szCs w:val="22"/>
        </w:rPr>
      </w:pPr>
      <w:r w:rsidRPr="001D437C">
        <w:rPr>
          <w:sz w:val="22"/>
          <w:szCs w:val="22"/>
        </w:rPr>
        <w:t xml:space="preserve">1. </w:t>
      </w:r>
      <w:r w:rsidRPr="002C6376">
        <w:rPr>
          <w:b/>
          <w:bCs/>
          <w:sz w:val="22"/>
          <w:szCs w:val="22"/>
        </w:rPr>
        <w:t>Článek V.</w:t>
      </w:r>
      <w:r w:rsidRPr="001D437C">
        <w:rPr>
          <w:sz w:val="22"/>
          <w:szCs w:val="22"/>
        </w:rPr>
        <w:t xml:space="preserve"> smlouvy se zcela ruší a nahrazuje se novým článkem V. následujícího znění:</w:t>
      </w:r>
    </w:p>
    <w:p w14:paraId="0E2CD29A" w14:textId="25545F03" w:rsidR="00CC1BA3" w:rsidRDefault="00CC1BA3" w:rsidP="00CC1BA3">
      <w:pPr>
        <w:spacing w:before="24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14:paraId="68982666" w14:textId="77777777" w:rsidR="00CC1BA3" w:rsidRDefault="00CC1BA3" w:rsidP="00CC1BA3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Nájemné a plnění spojená s užíváním předmětu nájmu</w:t>
      </w:r>
    </w:p>
    <w:p w14:paraId="300609B2" w14:textId="77777777" w:rsidR="00CC1BA3" w:rsidRDefault="00CC1BA3" w:rsidP="00CC1BA3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33DAD">
        <w:rPr>
          <w:sz w:val="22"/>
          <w:szCs w:val="22"/>
        </w:rPr>
        <w:t xml:space="preserve">Výše uvedené prostory v nemovitosti čp. 2674 v ul. Truhlářská v Písku pronajímatel touto smlouvou pronajímá nájemci za úplatu </w:t>
      </w:r>
      <w:r>
        <w:rPr>
          <w:sz w:val="22"/>
          <w:szCs w:val="22"/>
        </w:rPr>
        <w:t>288</w:t>
      </w:r>
      <w:r w:rsidRPr="00433DAD">
        <w:rPr>
          <w:sz w:val="22"/>
          <w:szCs w:val="22"/>
        </w:rPr>
        <w:t>,- K</w:t>
      </w:r>
      <w:r>
        <w:rPr>
          <w:sz w:val="22"/>
          <w:szCs w:val="22"/>
        </w:rPr>
        <w:t>č</w:t>
      </w:r>
      <w:r w:rsidRPr="00433DAD">
        <w:rPr>
          <w:sz w:val="22"/>
          <w:szCs w:val="22"/>
        </w:rPr>
        <w:t>/m</w:t>
      </w:r>
      <w:r w:rsidRPr="00433DAD">
        <w:rPr>
          <w:sz w:val="22"/>
          <w:szCs w:val="22"/>
          <w:vertAlign w:val="superscript"/>
        </w:rPr>
        <w:t>2</w:t>
      </w:r>
      <w:r w:rsidRPr="00433DAD">
        <w:rPr>
          <w:sz w:val="22"/>
          <w:szCs w:val="22"/>
        </w:rPr>
        <w:t xml:space="preserve"> a rok.</w:t>
      </w: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28"/>
      </w:tblGrid>
      <w:tr w:rsidR="00CC1BA3" w14:paraId="3CDF615C" w14:textId="77777777" w:rsidTr="00433DAD">
        <w:tc>
          <w:tcPr>
            <w:tcW w:w="4390" w:type="dxa"/>
            <w:tcBorders>
              <w:bottom w:val="single" w:sz="4" w:space="0" w:color="auto"/>
            </w:tcBorders>
          </w:tcPr>
          <w:p w14:paraId="72AEC80E" w14:textId="77777777" w:rsidR="00CC1BA3" w:rsidRDefault="00CC1BA3" w:rsidP="00433DAD">
            <w:pPr>
              <w:spacing w:before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pronajatý prostor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63DAB7C" w14:textId="77777777" w:rsidR="00CC1BA3" w:rsidRDefault="00CC1BA3" w:rsidP="00433DAD">
            <w:pPr>
              <w:spacing w:before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roční úhrada</w:t>
            </w:r>
          </w:p>
        </w:tc>
      </w:tr>
      <w:tr w:rsidR="00CC1BA3" w14:paraId="05BAD974" w14:textId="77777777" w:rsidTr="00433DAD">
        <w:tc>
          <w:tcPr>
            <w:tcW w:w="4390" w:type="dxa"/>
            <w:tcBorders>
              <w:top w:val="single" w:sz="4" w:space="0" w:color="auto"/>
            </w:tcBorders>
          </w:tcPr>
          <w:p w14:paraId="523093CB" w14:textId="77777777" w:rsidR="00CC1BA3" w:rsidRDefault="00CC1BA3" w:rsidP="00433DAD">
            <w:pPr>
              <w:spacing w:before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m</w:t>
            </w:r>
            <w:r w:rsidRPr="00433DA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CA2A731" w14:textId="77777777" w:rsidR="00CC1BA3" w:rsidRDefault="00CC1BA3" w:rsidP="00433DAD">
            <w:pPr>
              <w:spacing w:before="240"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4.032 ,- Kč</w:t>
            </w:r>
            <w:proofErr w:type="gramEnd"/>
            <w:r>
              <w:rPr>
                <w:sz w:val="22"/>
                <w:szCs w:val="22"/>
              </w:rPr>
              <w:t xml:space="preserve"> (slovy: čtyři tisíce třicet dva korun českých) </w:t>
            </w:r>
          </w:p>
        </w:tc>
      </w:tr>
      <w:tr w:rsidR="00CC1BA3" w14:paraId="164502B4" w14:textId="77777777" w:rsidTr="00433DAD">
        <w:tc>
          <w:tcPr>
            <w:tcW w:w="4390" w:type="dxa"/>
          </w:tcPr>
          <w:p w14:paraId="29150485" w14:textId="77777777" w:rsidR="00CC1BA3" w:rsidRPr="00433DAD" w:rsidRDefault="00CC1BA3" w:rsidP="00433DAD">
            <w:pPr>
              <w:spacing w:before="24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33DAD">
              <w:rPr>
                <w:b/>
                <w:bCs/>
                <w:sz w:val="22"/>
                <w:szCs w:val="22"/>
              </w:rPr>
              <w:t>celkem ročně nájem činí</w:t>
            </w:r>
          </w:p>
        </w:tc>
        <w:tc>
          <w:tcPr>
            <w:tcW w:w="5528" w:type="dxa"/>
          </w:tcPr>
          <w:p w14:paraId="265B3C02" w14:textId="77777777" w:rsidR="00CC1BA3" w:rsidRDefault="00CC1BA3" w:rsidP="00433DAD">
            <w:pPr>
              <w:spacing w:before="24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433DAD">
              <w:rPr>
                <w:b/>
                <w:bCs/>
                <w:sz w:val="22"/>
                <w:szCs w:val="22"/>
              </w:rPr>
              <w:t>4.032 ,- Kč</w:t>
            </w:r>
            <w:proofErr w:type="gramEnd"/>
            <w:r>
              <w:rPr>
                <w:sz w:val="22"/>
                <w:szCs w:val="22"/>
              </w:rPr>
              <w:t xml:space="preserve"> (slovy: čtyři tisíce třicet dva korun českých) </w:t>
            </w:r>
          </w:p>
        </w:tc>
      </w:tr>
      <w:tr w:rsidR="00CC1BA3" w14:paraId="71C2D49D" w14:textId="77777777" w:rsidTr="00433DAD">
        <w:tc>
          <w:tcPr>
            <w:tcW w:w="4390" w:type="dxa"/>
            <w:tcBorders>
              <w:bottom w:val="dashSmallGap" w:sz="4" w:space="0" w:color="auto"/>
            </w:tcBorders>
          </w:tcPr>
          <w:p w14:paraId="1C2B7C80" w14:textId="77777777" w:rsidR="00CC1BA3" w:rsidRDefault="00CC1BA3" w:rsidP="00433DAD">
            <w:pPr>
              <w:spacing w:before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čtvrtletní úhrada nájemného činí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</w:tcPr>
          <w:p w14:paraId="4B5407FA" w14:textId="77777777" w:rsidR="00CC1BA3" w:rsidRDefault="00CC1BA3" w:rsidP="00433DAD">
            <w:pPr>
              <w:spacing w:before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1.008,- Kč (</w:t>
            </w:r>
            <w:r w:rsidRPr="00D271C6">
              <w:rPr>
                <w:sz w:val="22"/>
                <w:szCs w:val="22"/>
              </w:rPr>
              <w:t>slovy: tisíc osm korun českých</w:t>
            </w:r>
            <w:r>
              <w:rPr>
                <w:sz w:val="22"/>
                <w:szCs w:val="22"/>
              </w:rPr>
              <w:t>)</w:t>
            </w:r>
          </w:p>
        </w:tc>
      </w:tr>
      <w:tr w:rsidR="00CC1BA3" w14:paraId="0CDD1AD8" w14:textId="77777777" w:rsidTr="00433DAD">
        <w:tc>
          <w:tcPr>
            <w:tcW w:w="4390" w:type="dxa"/>
            <w:tcBorders>
              <w:top w:val="dashSmallGap" w:sz="4" w:space="0" w:color="auto"/>
            </w:tcBorders>
          </w:tcPr>
          <w:p w14:paraId="5A638039" w14:textId="77777777" w:rsidR="00CC1BA3" w:rsidRPr="00433DAD" w:rsidRDefault="00CC1BA3" w:rsidP="00433DAD">
            <w:pPr>
              <w:spacing w:before="24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433DAD">
              <w:rPr>
                <w:b/>
                <w:bCs/>
                <w:sz w:val="22"/>
                <w:szCs w:val="22"/>
              </w:rPr>
              <w:t>elkem čtvrtletní platba činí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</w:tcPr>
          <w:p w14:paraId="363AE7D8" w14:textId="77777777" w:rsidR="00CC1BA3" w:rsidRDefault="00CC1BA3" w:rsidP="00433DAD">
            <w:pPr>
              <w:spacing w:before="240" w:line="276" w:lineRule="auto"/>
              <w:jc w:val="both"/>
              <w:rPr>
                <w:sz w:val="22"/>
                <w:szCs w:val="22"/>
              </w:rPr>
            </w:pPr>
            <w:r w:rsidRPr="00433DAD">
              <w:rPr>
                <w:b/>
                <w:bCs/>
                <w:sz w:val="22"/>
                <w:szCs w:val="22"/>
              </w:rPr>
              <w:t>1.008,- Kč</w:t>
            </w:r>
            <w:r>
              <w:rPr>
                <w:sz w:val="22"/>
                <w:szCs w:val="22"/>
              </w:rPr>
              <w:t xml:space="preserve"> (</w:t>
            </w:r>
            <w:r w:rsidRPr="00D271C6">
              <w:rPr>
                <w:sz w:val="22"/>
                <w:szCs w:val="22"/>
              </w:rPr>
              <w:t>slovy: tisíc osm korun českých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195B8DFD" w14:textId="77777777" w:rsidR="00CC1BA3" w:rsidRDefault="00CC1BA3" w:rsidP="00CC1BA3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33DAD">
        <w:rPr>
          <w:sz w:val="22"/>
          <w:szCs w:val="22"/>
        </w:rPr>
        <w:t xml:space="preserve">Úhrada této částky bude poukazována vždy k dvacátému dni prostředního měsíce příslušného kalendářního čtvrtletí na účet pronajímatele u Komerční banky a. s., pobočka Písek, </w:t>
      </w:r>
      <w:proofErr w:type="spellStart"/>
      <w:proofErr w:type="gramStart"/>
      <w:r w:rsidRPr="00D271C6">
        <w:rPr>
          <w:b/>
          <w:bCs/>
          <w:sz w:val="22"/>
          <w:szCs w:val="22"/>
        </w:rPr>
        <w:t>č.ú</w:t>
      </w:r>
      <w:proofErr w:type="spellEnd"/>
      <w:r w:rsidRPr="00D271C6">
        <w:rPr>
          <w:b/>
          <w:bCs/>
          <w:sz w:val="22"/>
          <w:szCs w:val="22"/>
        </w:rPr>
        <w:t>. 20531271/0100</w:t>
      </w:r>
      <w:proofErr w:type="gramEnd"/>
      <w:r w:rsidRPr="00D271C6">
        <w:rPr>
          <w:b/>
          <w:bCs/>
          <w:sz w:val="22"/>
          <w:szCs w:val="22"/>
        </w:rPr>
        <w:t xml:space="preserve">, </w:t>
      </w:r>
      <w:proofErr w:type="spellStart"/>
      <w:r w:rsidRPr="00D271C6">
        <w:rPr>
          <w:b/>
          <w:bCs/>
          <w:sz w:val="22"/>
          <w:szCs w:val="22"/>
        </w:rPr>
        <w:t>v.s</w:t>
      </w:r>
      <w:proofErr w:type="spellEnd"/>
      <w:r w:rsidRPr="00D271C6">
        <w:rPr>
          <w:b/>
          <w:bCs/>
          <w:sz w:val="22"/>
          <w:szCs w:val="22"/>
        </w:rPr>
        <w:t>. 0267409901</w:t>
      </w:r>
      <w:r w:rsidRPr="00433DAD">
        <w:rPr>
          <w:sz w:val="22"/>
          <w:szCs w:val="22"/>
        </w:rPr>
        <w:t>.</w:t>
      </w:r>
    </w:p>
    <w:p w14:paraId="6862DB41" w14:textId="77777777" w:rsidR="00CC1BA3" w:rsidRDefault="00CC1BA3" w:rsidP="00CC1BA3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33DAD">
        <w:rPr>
          <w:b/>
          <w:bCs/>
          <w:sz w:val="22"/>
          <w:szCs w:val="22"/>
          <w:u w:val="single"/>
        </w:rPr>
        <w:t xml:space="preserve">Rozúčtování srážkové </w:t>
      </w:r>
      <w:r>
        <w:rPr>
          <w:b/>
          <w:bCs/>
          <w:sz w:val="22"/>
          <w:szCs w:val="22"/>
          <w:u w:val="single"/>
        </w:rPr>
        <w:t>vody</w:t>
      </w:r>
      <w:r w:rsidRPr="00433DAD">
        <w:rPr>
          <w:b/>
          <w:bCs/>
          <w:sz w:val="22"/>
          <w:szCs w:val="22"/>
          <w:u w:val="single"/>
        </w:rPr>
        <w:t>:</w:t>
      </w:r>
    </w:p>
    <w:p w14:paraId="33823D3B" w14:textId="77777777" w:rsidR="00CC1BA3" w:rsidRDefault="00CC1BA3" w:rsidP="00CC1BA3">
      <w:pPr>
        <w:spacing w:line="276" w:lineRule="auto"/>
        <w:jc w:val="both"/>
        <w:rPr>
          <w:sz w:val="22"/>
          <w:szCs w:val="22"/>
        </w:rPr>
      </w:pPr>
      <w:r w:rsidRPr="00D271C6">
        <w:rPr>
          <w:sz w:val="22"/>
          <w:szCs w:val="22"/>
        </w:rPr>
        <w:t>Pronajímatel zajistí rozúčtování nákladů za srážkovou vodu za předchozí kalendářní</w:t>
      </w:r>
      <w:r>
        <w:rPr>
          <w:sz w:val="22"/>
          <w:szCs w:val="22"/>
        </w:rPr>
        <w:t xml:space="preserve"> </w:t>
      </w:r>
      <w:r w:rsidRPr="00D271C6">
        <w:rPr>
          <w:sz w:val="22"/>
          <w:szCs w:val="22"/>
        </w:rPr>
        <w:t xml:space="preserve">rok v souladu s </w:t>
      </w:r>
      <w:proofErr w:type="spellStart"/>
      <w:r w:rsidRPr="00D271C6">
        <w:rPr>
          <w:sz w:val="22"/>
          <w:szCs w:val="22"/>
        </w:rPr>
        <w:t>ust</w:t>
      </w:r>
      <w:proofErr w:type="spellEnd"/>
      <w:r w:rsidRPr="00D271C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</w:t>
      </w:r>
      <w:r w:rsidRPr="00D271C6">
        <w:rPr>
          <w:sz w:val="22"/>
          <w:szCs w:val="22"/>
        </w:rPr>
        <w:t>yhlášky</w:t>
      </w:r>
      <w:proofErr w:type="gramEnd"/>
      <w:r w:rsidRPr="00D271C6">
        <w:rPr>
          <w:sz w:val="22"/>
          <w:szCs w:val="22"/>
        </w:rPr>
        <w:t xml:space="preserve"> č. 428/2001 Sb., kterou se provádí zákon č. 274/2001 Sb., o</w:t>
      </w:r>
      <w:r>
        <w:rPr>
          <w:sz w:val="22"/>
          <w:szCs w:val="22"/>
        </w:rPr>
        <w:t xml:space="preserve"> </w:t>
      </w:r>
      <w:r w:rsidRPr="00D271C6">
        <w:rPr>
          <w:sz w:val="22"/>
          <w:szCs w:val="22"/>
        </w:rPr>
        <w:t>vodovodech a kanalizacích ve znění pozdějších předpisů. Rozúčtování provede pronajímatel</w:t>
      </w:r>
      <w:r>
        <w:rPr>
          <w:sz w:val="22"/>
          <w:szCs w:val="22"/>
        </w:rPr>
        <w:t xml:space="preserve"> </w:t>
      </w:r>
      <w:r w:rsidRPr="00D271C6">
        <w:rPr>
          <w:sz w:val="22"/>
          <w:szCs w:val="22"/>
        </w:rPr>
        <w:t>nejpozději do 4 měsíců od skončení zúčtovacího období. Nájemce uhradí pronajímateli podíl</w:t>
      </w:r>
      <w:r>
        <w:rPr>
          <w:sz w:val="22"/>
          <w:szCs w:val="22"/>
        </w:rPr>
        <w:t xml:space="preserve"> </w:t>
      </w:r>
      <w:r w:rsidRPr="00D271C6">
        <w:rPr>
          <w:sz w:val="22"/>
          <w:szCs w:val="22"/>
        </w:rPr>
        <w:t>na nákladech na srážkovou vodu dle rozúčtování pronajímatele nejpozději do 4 měsíců od</w:t>
      </w:r>
      <w:r>
        <w:rPr>
          <w:sz w:val="22"/>
          <w:szCs w:val="22"/>
        </w:rPr>
        <w:t xml:space="preserve"> </w:t>
      </w:r>
      <w:r w:rsidRPr="00D271C6">
        <w:rPr>
          <w:sz w:val="22"/>
          <w:szCs w:val="22"/>
        </w:rPr>
        <w:t>doručení rozúčtování.</w:t>
      </w:r>
    </w:p>
    <w:p w14:paraId="466B046B" w14:textId="77777777" w:rsidR="001765E6" w:rsidRDefault="001765E6" w:rsidP="00CC1BA3">
      <w:pPr>
        <w:spacing w:line="276" w:lineRule="auto"/>
        <w:jc w:val="both"/>
        <w:rPr>
          <w:sz w:val="22"/>
          <w:szCs w:val="22"/>
        </w:rPr>
      </w:pPr>
    </w:p>
    <w:p w14:paraId="1AD3F56B" w14:textId="7D94C2C0" w:rsidR="001D437C" w:rsidRDefault="00CC1BA3" w:rsidP="00CC1B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271C6">
        <w:rPr>
          <w:sz w:val="22"/>
          <w:szCs w:val="22"/>
        </w:rPr>
        <w:t xml:space="preserve">Nájemné se </w:t>
      </w:r>
      <w:r>
        <w:rPr>
          <w:sz w:val="22"/>
          <w:szCs w:val="22"/>
        </w:rPr>
        <w:t xml:space="preserve">počínaje rokem 2025 </w:t>
      </w:r>
      <w:r w:rsidRPr="00D271C6">
        <w:rPr>
          <w:sz w:val="22"/>
          <w:szCs w:val="22"/>
        </w:rPr>
        <w:t xml:space="preserve">změní o dosažený index spotřebitelských cen a životních nákladů za posledních dvanáct (12) měsíců předchozího roku (roční klouzavý průměr roku). Rozhodujícím údajem pro změnu </w:t>
      </w:r>
      <w:r>
        <w:rPr>
          <w:sz w:val="22"/>
          <w:szCs w:val="22"/>
        </w:rPr>
        <w:t>n</w:t>
      </w:r>
      <w:r w:rsidRPr="00D271C6">
        <w:rPr>
          <w:sz w:val="22"/>
          <w:szCs w:val="22"/>
        </w:rPr>
        <w:t>ájemného je roční míra inflace v</w:t>
      </w:r>
      <w:r w:rsidR="00C37532">
        <w:rPr>
          <w:sz w:val="22"/>
          <w:szCs w:val="22"/>
        </w:rPr>
        <w:t> </w:t>
      </w:r>
      <w:r w:rsidRPr="00D271C6">
        <w:rPr>
          <w:sz w:val="22"/>
          <w:szCs w:val="22"/>
        </w:rPr>
        <w:t xml:space="preserve">procentech vyjádřená přírůstkem průměrného indexu spotřebitelských cen (CPI – </w:t>
      </w:r>
      <w:proofErr w:type="spellStart"/>
      <w:r w:rsidRPr="00D271C6">
        <w:rPr>
          <w:sz w:val="22"/>
          <w:szCs w:val="22"/>
        </w:rPr>
        <w:t>Consumer</w:t>
      </w:r>
      <w:proofErr w:type="spellEnd"/>
      <w:r w:rsidRPr="00D271C6">
        <w:rPr>
          <w:sz w:val="22"/>
          <w:szCs w:val="22"/>
        </w:rPr>
        <w:t xml:space="preserve"> </w:t>
      </w:r>
      <w:proofErr w:type="spellStart"/>
      <w:r w:rsidRPr="00D271C6">
        <w:rPr>
          <w:sz w:val="22"/>
          <w:szCs w:val="22"/>
        </w:rPr>
        <w:t>Price</w:t>
      </w:r>
      <w:proofErr w:type="spellEnd"/>
      <w:r w:rsidRPr="00D271C6">
        <w:rPr>
          <w:sz w:val="22"/>
          <w:szCs w:val="22"/>
        </w:rPr>
        <w:t xml:space="preserve"> Index) za dvanáct (12) měsíců předchozího roku uvedená ve výpisu ze statistického zjišťování Českého statistického úřadu. Základem pro změnu </w:t>
      </w:r>
      <w:r>
        <w:rPr>
          <w:sz w:val="22"/>
          <w:szCs w:val="22"/>
        </w:rPr>
        <w:t>n</w:t>
      </w:r>
      <w:r w:rsidRPr="00D271C6">
        <w:rPr>
          <w:sz w:val="22"/>
          <w:szCs w:val="22"/>
        </w:rPr>
        <w:t xml:space="preserve">ájemného je roční </w:t>
      </w:r>
      <w:r>
        <w:rPr>
          <w:sz w:val="22"/>
          <w:szCs w:val="22"/>
        </w:rPr>
        <w:t>n</w:t>
      </w:r>
      <w:r w:rsidRPr="00D271C6">
        <w:rPr>
          <w:sz w:val="22"/>
          <w:szCs w:val="22"/>
        </w:rPr>
        <w:t xml:space="preserve">ájemné dle </w:t>
      </w:r>
      <w:r>
        <w:rPr>
          <w:sz w:val="22"/>
          <w:szCs w:val="22"/>
        </w:rPr>
        <w:t>této s</w:t>
      </w:r>
      <w:r w:rsidRPr="00D271C6">
        <w:rPr>
          <w:sz w:val="22"/>
          <w:szCs w:val="22"/>
        </w:rPr>
        <w:t xml:space="preserve">mlouvy hrazené </w:t>
      </w:r>
      <w:r>
        <w:rPr>
          <w:sz w:val="22"/>
          <w:szCs w:val="22"/>
        </w:rPr>
        <w:t>n</w:t>
      </w:r>
      <w:r w:rsidRPr="00D271C6">
        <w:rPr>
          <w:sz w:val="22"/>
          <w:szCs w:val="22"/>
        </w:rPr>
        <w:t xml:space="preserve">ájemcem do okamžiku účinnosti změny; </w:t>
      </w:r>
      <w:r>
        <w:rPr>
          <w:sz w:val="22"/>
          <w:szCs w:val="22"/>
        </w:rPr>
        <w:t>s</w:t>
      </w:r>
      <w:r w:rsidRPr="00D271C6">
        <w:rPr>
          <w:sz w:val="22"/>
          <w:szCs w:val="22"/>
        </w:rPr>
        <w:t xml:space="preserve">mluvní strany ujednávají, že </w:t>
      </w:r>
      <w:r>
        <w:rPr>
          <w:sz w:val="22"/>
          <w:szCs w:val="22"/>
        </w:rPr>
        <w:t>n</w:t>
      </w:r>
      <w:r w:rsidRPr="00D271C6">
        <w:rPr>
          <w:sz w:val="22"/>
          <w:szCs w:val="22"/>
        </w:rPr>
        <w:t xml:space="preserve">ájemným dle </w:t>
      </w:r>
      <w:r>
        <w:rPr>
          <w:sz w:val="22"/>
          <w:szCs w:val="22"/>
        </w:rPr>
        <w:t>této s</w:t>
      </w:r>
      <w:r w:rsidRPr="00D271C6">
        <w:rPr>
          <w:sz w:val="22"/>
          <w:szCs w:val="22"/>
        </w:rPr>
        <w:t xml:space="preserve">mlouvy se rozumí rovněž </w:t>
      </w:r>
      <w:r>
        <w:rPr>
          <w:sz w:val="22"/>
          <w:szCs w:val="22"/>
        </w:rPr>
        <w:t>n</w:t>
      </w:r>
      <w:r w:rsidRPr="00D271C6">
        <w:rPr>
          <w:sz w:val="22"/>
          <w:szCs w:val="22"/>
        </w:rPr>
        <w:t>ájemné, změněné o index spotřebitelských cen a životních nákladů v</w:t>
      </w:r>
      <w:r w:rsidR="00C37532">
        <w:rPr>
          <w:sz w:val="22"/>
          <w:szCs w:val="22"/>
        </w:rPr>
        <w:t> </w:t>
      </w:r>
      <w:r w:rsidRPr="00D271C6">
        <w:rPr>
          <w:sz w:val="22"/>
          <w:szCs w:val="22"/>
        </w:rPr>
        <w:t>souladu s</w:t>
      </w:r>
      <w:r w:rsidR="00C37532">
        <w:rPr>
          <w:sz w:val="22"/>
          <w:szCs w:val="22"/>
        </w:rPr>
        <w:t> </w:t>
      </w:r>
      <w:r>
        <w:rPr>
          <w:sz w:val="22"/>
          <w:szCs w:val="22"/>
        </w:rPr>
        <w:t>touto s</w:t>
      </w:r>
      <w:r w:rsidRPr="00D271C6">
        <w:rPr>
          <w:sz w:val="22"/>
          <w:szCs w:val="22"/>
        </w:rPr>
        <w:t>mlouvou. Nájemné se změní vždy s</w:t>
      </w:r>
      <w:r w:rsidR="00C37532">
        <w:rPr>
          <w:sz w:val="22"/>
          <w:szCs w:val="22"/>
        </w:rPr>
        <w:t> </w:t>
      </w:r>
      <w:r w:rsidRPr="00D271C6">
        <w:rPr>
          <w:sz w:val="22"/>
          <w:szCs w:val="22"/>
        </w:rPr>
        <w:t>účinností od 1. ledna příslušného roku.</w:t>
      </w:r>
      <w:r w:rsidR="005028E5">
        <w:rPr>
          <w:sz w:val="22"/>
          <w:szCs w:val="22"/>
        </w:rPr>
        <w:t>“</w:t>
      </w:r>
    </w:p>
    <w:p w14:paraId="73462B6C" w14:textId="77777777" w:rsidR="00253857" w:rsidRDefault="00253857" w:rsidP="00253857">
      <w:pPr>
        <w:jc w:val="center"/>
        <w:rPr>
          <w:b/>
          <w:bCs/>
          <w:sz w:val="22"/>
          <w:szCs w:val="22"/>
        </w:rPr>
      </w:pPr>
    </w:p>
    <w:p w14:paraId="2831455D" w14:textId="4E590E62" w:rsidR="00253857" w:rsidRDefault="00C37532" w:rsidP="002C6376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  2. </w:t>
      </w:r>
      <w:r w:rsidR="0061058A" w:rsidRPr="002C6376">
        <w:rPr>
          <w:b/>
          <w:bCs/>
          <w:sz w:val="22"/>
          <w:szCs w:val="22"/>
        </w:rPr>
        <w:t>Článek IX.</w:t>
      </w:r>
      <w:r w:rsidR="0061058A">
        <w:rPr>
          <w:sz w:val="22"/>
          <w:szCs w:val="22"/>
        </w:rPr>
        <w:t xml:space="preserve"> smlouvy se zcela ruší a nahrazuje se novým článkem IX. následujícího znění:</w:t>
      </w:r>
    </w:p>
    <w:p w14:paraId="66749ACF" w14:textId="77777777" w:rsidR="009B6DCA" w:rsidRDefault="009B6DCA" w:rsidP="00253857">
      <w:pPr>
        <w:rPr>
          <w:sz w:val="22"/>
          <w:szCs w:val="22"/>
        </w:rPr>
      </w:pPr>
    </w:p>
    <w:p w14:paraId="0F9A0320" w14:textId="3A3998AF" w:rsidR="009B6DCA" w:rsidRPr="002C6376" w:rsidRDefault="005028E5" w:rsidP="002C6376">
      <w:pPr>
        <w:jc w:val="center"/>
        <w:rPr>
          <w:b/>
          <w:bCs/>
          <w:sz w:val="22"/>
          <w:szCs w:val="22"/>
        </w:rPr>
      </w:pPr>
      <w:r w:rsidRPr="002C6376">
        <w:rPr>
          <w:sz w:val="22"/>
          <w:szCs w:val="22"/>
        </w:rPr>
        <w:t>„</w:t>
      </w:r>
      <w:r w:rsidR="009B6DCA" w:rsidRPr="002C6376">
        <w:rPr>
          <w:b/>
          <w:bCs/>
          <w:sz w:val="22"/>
          <w:szCs w:val="22"/>
        </w:rPr>
        <w:t>IX.</w:t>
      </w:r>
    </w:p>
    <w:p w14:paraId="30F14D26" w14:textId="26DEEB93" w:rsidR="009B6DCA" w:rsidRDefault="009B6DCA" w:rsidP="009B6DCA">
      <w:pPr>
        <w:jc w:val="center"/>
        <w:rPr>
          <w:b/>
          <w:bCs/>
          <w:sz w:val="22"/>
          <w:szCs w:val="22"/>
        </w:rPr>
      </w:pPr>
      <w:r w:rsidRPr="002C6376">
        <w:rPr>
          <w:b/>
          <w:bCs/>
          <w:sz w:val="22"/>
          <w:szCs w:val="22"/>
        </w:rPr>
        <w:t>Kontaktní osoby</w:t>
      </w:r>
    </w:p>
    <w:p w14:paraId="282624C4" w14:textId="666EDBE3" w:rsidR="00881C12" w:rsidRPr="002C6376" w:rsidRDefault="00881C12" w:rsidP="002C6376">
      <w:pPr>
        <w:pStyle w:val="Textvbloku"/>
        <w:ind w:left="0" w:right="0"/>
        <w:jc w:val="left"/>
        <w:rPr>
          <w:rFonts w:ascii="Times New Roman" w:hAnsi="Times New Roman"/>
          <w:sz w:val="22"/>
          <w:szCs w:val="22"/>
        </w:rPr>
      </w:pPr>
      <w:r w:rsidRPr="002C6376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A52A8">
        <w:rPr>
          <w:rFonts w:ascii="Times New Roman" w:hAnsi="Times New Roman"/>
          <w:b/>
          <w:bCs/>
          <w:sz w:val="22"/>
          <w:szCs w:val="22"/>
        </w:rPr>
        <w:t>p</w:t>
      </w:r>
      <w:r w:rsidRPr="002C6376">
        <w:rPr>
          <w:rFonts w:ascii="Times New Roman" w:hAnsi="Times New Roman"/>
          <w:b/>
          <w:bCs/>
          <w:sz w:val="22"/>
          <w:szCs w:val="22"/>
        </w:rPr>
        <w:t>ronajímatel</w:t>
      </w:r>
      <w:r w:rsidRPr="002C6376">
        <w:rPr>
          <w:rFonts w:ascii="Times New Roman" w:hAnsi="Times New Roman"/>
          <w:sz w:val="22"/>
          <w:szCs w:val="22"/>
        </w:rPr>
        <w:t>:</w:t>
      </w:r>
    </w:p>
    <w:p w14:paraId="5A5D2DB9" w14:textId="4989A2F6" w:rsidR="00881C12" w:rsidRDefault="00881C12" w:rsidP="00881C12">
      <w:pPr>
        <w:pStyle w:val="Textvbloku"/>
        <w:ind w:left="2820" w:right="0" w:hanging="2820"/>
        <w:jc w:val="left"/>
        <w:rPr>
          <w:rFonts w:ascii="Times New Roman" w:hAnsi="Times New Roman"/>
          <w:sz w:val="22"/>
          <w:szCs w:val="22"/>
        </w:rPr>
      </w:pPr>
      <w:r w:rsidRPr="002C6376">
        <w:rPr>
          <w:rFonts w:ascii="Times New Roman" w:hAnsi="Times New Roman"/>
          <w:sz w:val="22"/>
          <w:szCs w:val="22"/>
        </w:rPr>
        <w:t>Adresa pro doručování:</w:t>
      </w:r>
      <w:r w:rsidRPr="002C6376">
        <w:rPr>
          <w:rFonts w:ascii="Times New Roman" w:hAnsi="Times New Roman"/>
          <w:sz w:val="22"/>
          <w:szCs w:val="22"/>
        </w:rPr>
        <w:tab/>
      </w:r>
      <w:r w:rsidR="007A501F">
        <w:rPr>
          <w:rFonts w:ascii="Times New Roman" w:hAnsi="Times New Roman"/>
          <w:sz w:val="22"/>
          <w:szCs w:val="22"/>
        </w:rPr>
        <w:t>Domovní a bytová správa města Písku</w:t>
      </w:r>
    </w:p>
    <w:p w14:paraId="06777B71" w14:textId="301CF9A7" w:rsidR="00881C12" w:rsidRPr="002C6376" w:rsidRDefault="00881C12" w:rsidP="002C6376">
      <w:pPr>
        <w:pStyle w:val="Textvbloku"/>
        <w:ind w:left="2820" w:right="0" w:hanging="28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81C12">
        <w:rPr>
          <w:rFonts w:ascii="Times New Roman" w:hAnsi="Times New Roman"/>
          <w:sz w:val="22"/>
          <w:szCs w:val="22"/>
        </w:rPr>
        <w:t>Fügnerovo nám. 42, 397 01 Písek</w:t>
      </w:r>
    </w:p>
    <w:p w14:paraId="43AFE6BA" w14:textId="1224B81D" w:rsidR="00881C12" w:rsidRPr="002C6376" w:rsidRDefault="00204D73" w:rsidP="002C6376">
      <w:pPr>
        <w:pStyle w:val="Textvbloku"/>
        <w:ind w:left="0" w:righ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Kontaktní osoba: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xxxxx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xxxxx</w:t>
      </w:r>
      <w:proofErr w:type="spellEnd"/>
    </w:p>
    <w:p w14:paraId="4E334336" w14:textId="1A76BB7B" w:rsidR="00881C12" w:rsidRPr="002C6376" w:rsidRDefault="00881C12" w:rsidP="002C6376">
      <w:pPr>
        <w:pStyle w:val="Textvbloku"/>
        <w:ind w:left="0" w:right="0"/>
        <w:jc w:val="left"/>
        <w:rPr>
          <w:rFonts w:ascii="Times New Roman" w:hAnsi="Times New Roman"/>
          <w:sz w:val="22"/>
          <w:szCs w:val="22"/>
        </w:rPr>
      </w:pPr>
      <w:r w:rsidRPr="002C6376">
        <w:rPr>
          <w:rFonts w:ascii="Times New Roman" w:hAnsi="Times New Roman"/>
          <w:sz w:val="22"/>
          <w:szCs w:val="22"/>
        </w:rPr>
        <w:t>Tel.:</w:t>
      </w:r>
      <w:r w:rsidRPr="002C6376">
        <w:rPr>
          <w:rFonts w:ascii="Times New Roman" w:hAnsi="Times New Roman"/>
          <w:sz w:val="22"/>
          <w:szCs w:val="22"/>
        </w:rPr>
        <w:tab/>
      </w:r>
      <w:r w:rsidRPr="002C6376">
        <w:rPr>
          <w:rFonts w:ascii="Times New Roman" w:hAnsi="Times New Roman"/>
          <w:sz w:val="22"/>
          <w:szCs w:val="22"/>
        </w:rPr>
        <w:tab/>
      </w:r>
      <w:r w:rsidRPr="002C6376">
        <w:rPr>
          <w:rFonts w:ascii="Times New Roman" w:hAnsi="Times New Roman"/>
          <w:sz w:val="22"/>
          <w:szCs w:val="22"/>
        </w:rPr>
        <w:tab/>
      </w:r>
      <w:r w:rsidRPr="002C6376">
        <w:rPr>
          <w:rFonts w:ascii="Times New Roman" w:hAnsi="Times New Roman"/>
          <w:sz w:val="22"/>
          <w:szCs w:val="22"/>
        </w:rPr>
        <w:tab/>
      </w:r>
      <w:r w:rsidR="00204D73">
        <w:rPr>
          <w:rFonts w:ascii="Times New Roman" w:hAnsi="Times New Roman"/>
          <w:sz w:val="22"/>
          <w:szCs w:val="22"/>
        </w:rPr>
        <w:t>+420 </w:t>
      </w:r>
      <w:proofErr w:type="spellStart"/>
      <w:r w:rsidR="00204D73">
        <w:rPr>
          <w:rFonts w:ascii="Times New Roman" w:hAnsi="Times New Roman"/>
          <w:sz w:val="22"/>
          <w:szCs w:val="22"/>
        </w:rPr>
        <w:t>xxx</w:t>
      </w:r>
      <w:proofErr w:type="spellEnd"/>
      <w:r w:rsidR="00204D7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04D73">
        <w:rPr>
          <w:rFonts w:ascii="Times New Roman" w:hAnsi="Times New Roman"/>
          <w:sz w:val="22"/>
          <w:szCs w:val="22"/>
        </w:rPr>
        <w:t>xxx</w:t>
      </w:r>
      <w:proofErr w:type="spellEnd"/>
      <w:r w:rsidR="00204D7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04D73">
        <w:rPr>
          <w:rFonts w:ascii="Times New Roman" w:hAnsi="Times New Roman"/>
          <w:sz w:val="22"/>
          <w:szCs w:val="22"/>
        </w:rPr>
        <w:t>xxx</w:t>
      </w:r>
      <w:proofErr w:type="spellEnd"/>
    </w:p>
    <w:p w14:paraId="1FA66010" w14:textId="05999F45" w:rsidR="00881C12" w:rsidRPr="002C6376" w:rsidRDefault="00881C12" w:rsidP="002C6376">
      <w:pPr>
        <w:pStyle w:val="Textvbloku"/>
        <w:ind w:left="0" w:right="0"/>
        <w:jc w:val="left"/>
        <w:rPr>
          <w:rFonts w:ascii="Times New Roman" w:hAnsi="Times New Roman"/>
          <w:sz w:val="22"/>
          <w:szCs w:val="22"/>
        </w:rPr>
      </w:pPr>
      <w:r w:rsidRPr="002C6376">
        <w:rPr>
          <w:rFonts w:ascii="Times New Roman" w:hAnsi="Times New Roman"/>
          <w:sz w:val="22"/>
          <w:szCs w:val="22"/>
        </w:rPr>
        <w:t>E-mail:</w:t>
      </w:r>
      <w:r w:rsidRPr="002C6376">
        <w:rPr>
          <w:rFonts w:ascii="Times New Roman" w:hAnsi="Times New Roman"/>
          <w:sz w:val="22"/>
          <w:szCs w:val="22"/>
        </w:rPr>
        <w:tab/>
      </w:r>
      <w:r w:rsidRPr="002C6376">
        <w:rPr>
          <w:rFonts w:ascii="Times New Roman" w:hAnsi="Times New Roman"/>
          <w:sz w:val="22"/>
          <w:szCs w:val="22"/>
        </w:rPr>
        <w:tab/>
      </w:r>
      <w:r w:rsidRPr="002C6376">
        <w:rPr>
          <w:rFonts w:ascii="Times New Roman" w:hAnsi="Times New Roman"/>
          <w:sz w:val="22"/>
          <w:szCs w:val="22"/>
        </w:rPr>
        <w:tab/>
      </w:r>
      <w:r w:rsidRPr="002C6376">
        <w:rPr>
          <w:rFonts w:ascii="Times New Roman" w:hAnsi="Times New Roman"/>
          <w:sz w:val="22"/>
          <w:szCs w:val="22"/>
        </w:rPr>
        <w:tab/>
      </w:r>
      <w:proofErr w:type="spellStart"/>
      <w:r w:rsidR="00204D73">
        <w:rPr>
          <w:rStyle w:val="Hypertextovodkaz"/>
          <w:rFonts w:ascii="Times New Roman" w:hAnsi="Times New Roman"/>
          <w:sz w:val="22"/>
          <w:szCs w:val="22"/>
        </w:rPr>
        <w:t>xxxxx@xxxxx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2C6376">
        <w:rPr>
          <w:rFonts w:ascii="Times New Roman" w:hAnsi="Times New Roman"/>
          <w:sz w:val="22"/>
          <w:szCs w:val="22"/>
        </w:rPr>
        <w:t xml:space="preserve"> </w:t>
      </w:r>
    </w:p>
    <w:p w14:paraId="4CBFF970" w14:textId="5217B60B" w:rsidR="00881C12" w:rsidRPr="002C6376" w:rsidRDefault="00881C12" w:rsidP="002C6376">
      <w:pPr>
        <w:pStyle w:val="Textvbloku"/>
        <w:ind w:left="0" w:right="0"/>
        <w:jc w:val="left"/>
        <w:rPr>
          <w:rFonts w:ascii="Times New Roman" w:hAnsi="Times New Roman"/>
          <w:sz w:val="22"/>
          <w:szCs w:val="22"/>
        </w:rPr>
      </w:pPr>
      <w:r w:rsidRPr="002C6376">
        <w:rPr>
          <w:rFonts w:ascii="Times New Roman" w:hAnsi="Times New Roman"/>
          <w:sz w:val="22"/>
          <w:szCs w:val="22"/>
        </w:rPr>
        <w:t>Datová schránka:</w:t>
      </w:r>
      <w:r w:rsidRPr="002C6376">
        <w:rPr>
          <w:rFonts w:ascii="Times New Roman" w:hAnsi="Times New Roman"/>
          <w:sz w:val="22"/>
          <w:szCs w:val="22"/>
        </w:rPr>
        <w:tab/>
      </w:r>
      <w:r w:rsidRPr="002C6376">
        <w:rPr>
          <w:rFonts w:ascii="Times New Roman" w:hAnsi="Times New Roman"/>
          <w:sz w:val="22"/>
          <w:szCs w:val="22"/>
        </w:rPr>
        <w:tab/>
      </w:r>
      <w:proofErr w:type="spellStart"/>
      <w:r w:rsidR="00E73B65" w:rsidRPr="00E73B65">
        <w:rPr>
          <w:rFonts w:ascii="Times New Roman" w:hAnsi="Times New Roman"/>
          <w:sz w:val="22"/>
          <w:szCs w:val="22"/>
        </w:rPr>
        <w:t>giikjhz</w:t>
      </w:r>
      <w:proofErr w:type="spellEnd"/>
    </w:p>
    <w:p w14:paraId="7BD11D4B" w14:textId="77777777" w:rsidR="00881C12" w:rsidRPr="002C6376" w:rsidRDefault="00881C12" w:rsidP="00881C12">
      <w:pPr>
        <w:pStyle w:val="Textvbloku"/>
        <w:ind w:left="720" w:right="0"/>
        <w:jc w:val="left"/>
        <w:rPr>
          <w:rFonts w:ascii="Times New Roman" w:hAnsi="Times New Roman"/>
          <w:sz w:val="22"/>
          <w:szCs w:val="22"/>
        </w:rPr>
      </w:pPr>
    </w:p>
    <w:p w14:paraId="205DBDC2" w14:textId="77777777" w:rsidR="00881C12" w:rsidRPr="002C6376" w:rsidRDefault="00881C12" w:rsidP="00881C12">
      <w:pPr>
        <w:pStyle w:val="Textvbloku"/>
        <w:ind w:left="720" w:right="0"/>
        <w:jc w:val="left"/>
        <w:rPr>
          <w:rFonts w:ascii="Times New Roman" w:hAnsi="Times New Roman"/>
          <w:sz w:val="22"/>
          <w:szCs w:val="22"/>
        </w:rPr>
      </w:pPr>
    </w:p>
    <w:p w14:paraId="47458A87" w14:textId="422E9933" w:rsidR="00881C12" w:rsidRPr="002C6376" w:rsidRDefault="00881C12" w:rsidP="002C6376">
      <w:pPr>
        <w:pStyle w:val="Textvbloku"/>
        <w:ind w:left="0" w:right="0"/>
        <w:rPr>
          <w:rFonts w:ascii="Times New Roman" w:hAnsi="Times New Roman"/>
          <w:bCs/>
          <w:sz w:val="22"/>
          <w:szCs w:val="22"/>
        </w:rPr>
      </w:pPr>
      <w:r w:rsidRPr="002C6376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A52A8">
        <w:rPr>
          <w:rFonts w:ascii="Times New Roman" w:hAnsi="Times New Roman"/>
          <w:b/>
          <w:bCs/>
          <w:sz w:val="22"/>
          <w:szCs w:val="22"/>
        </w:rPr>
        <w:t>n</w:t>
      </w:r>
      <w:r w:rsidRPr="002C6376">
        <w:rPr>
          <w:rFonts w:ascii="Times New Roman" w:hAnsi="Times New Roman"/>
          <w:b/>
          <w:bCs/>
          <w:sz w:val="22"/>
          <w:szCs w:val="22"/>
        </w:rPr>
        <w:t>ájemce</w:t>
      </w:r>
      <w:r w:rsidRPr="002C6376">
        <w:rPr>
          <w:rFonts w:ascii="Times New Roman" w:hAnsi="Times New Roman"/>
          <w:bCs/>
          <w:sz w:val="22"/>
          <w:szCs w:val="22"/>
        </w:rPr>
        <w:t>:</w:t>
      </w:r>
    </w:p>
    <w:p w14:paraId="1F870638" w14:textId="226F9E66" w:rsidR="00881C12" w:rsidRPr="002C6376" w:rsidRDefault="00881C12" w:rsidP="00C13D73">
      <w:pPr>
        <w:pStyle w:val="Textvbloku"/>
        <w:ind w:left="0" w:right="0"/>
        <w:rPr>
          <w:rFonts w:ascii="Times New Roman" w:hAnsi="Times New Roman"/>
          <w:sz w:val="22"/>
          <w:szCs w:val="22"/>
        </w:rPr>
      </w:pPr>
      <w:r w:rsidRPr="002C6376">
        <w:rPr>
          <w:rFonts w:ascii="Times New Roman" w:hAnsi="Times New Roman"/>
          <w:sz w:val="22"/>
          <w:szCs w:val="22"/>
        </w:rPr>
        <w:t>Adresa pro doručování:</w:t>
      </w:r>
      <w:r w:rsidRPr="002C637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13D73">
        <w:rPr>
          <w:rFonts w:ascii="Times New Roman" w:hAnsi="Times New Roman"/>
          <w:sz w:val="22"/>
          <w:szCs w:val="22"/>
        </w:rPr>
        <w:t>xxxxx</w:t>
      </w:r>
      <w:bookmarkStart w:id="0" w:name="_GoBack"/>
      <w:bookmarkEnd w:id="0"/>
    </w:p>
    <w:p w14:paraId="4B742049" w14:textId="50A3AC28" w:rsidR="00881C12" w:rsidRDefault="00881C12" w:rsidP="00881C12">
      <w:pPr>
        <w:pStyle w:val="Textvbloku"/>
        <w:ind w:left="0" w:right="0"/>
        <w:rPr>
          <w:rFonts w:ascii="Times New Roman" w:hAnsi="Times New Roman"/>
          <w:sz w:val="22"/>
          <w:szCs w:val="22"/>
        </w:rPr>
      </w:pPr>
      <w:r w:rsidRPr="002C6376">
        <w:rPr>
          <w:rFonts w:ascii="Times New Roman" w:hAnsi="Times New Roman"/>
          <w:sz w:val="22"/>
          <w:szCs w:val="22"/>
        </w:rPr>
        <w:t>Kontaktní telef</w:t>
      </w:r>
      <w:r w:rsidR="00204D73">
        <w:rPr>
          <w:rFonts w:ascii="Times New Roman" w:hAnsi="Times New Roman"/>
          <w:sz w:val="22"/>
          <w:szCs w:val="22"/>
        </w:rPr>
        <w:t xml:space="preserve">onní linka:    </w:t>
      </w:r>
      <w:r w:rsidR="00204D73">
        <w:rPr>
          <w:rFonts w:ascii="Times New Roman" w:hAnsi="Times New Roman"/>
          <w:sz w:val="22"/>
          <w:szCs w:val="22"/>
        </w:rPr>
        <w:tab/>
        <w:t>+420 </w:t>
      </w:r>
      <w:proofErr w:type="spellStart"/>
      <w:r w:rsidR="00204D73">
        <w:rPr>
          <w:rFonts w:ascii="Times New Roman" w:hAnsi="Times New Roman"/>
          <w:sz w:val="22"/>
          <w:szCs w:val="22"/>
        </w:rPr>
        <w:t>xxx</w:t>
      </w:r>
      <w:proofErr w:type="spellEnd"/>
      <w:r w:rsidR="00204D7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04D73">
        <w:rPr>
          <w:rFonts w:ascii="Times New Roman" w:hAnsi="Times New Roman"/>
          <w:sz w:val="22"/>
          <w:szCs w:val="22"/>
        </w:rPr>
        <w:t>xxx</w:t>
      </w:r>
      <w:proofErr w:type="spellEnd"/>
      <w:r w:rsidR="00204D7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04D73">
        <w:rPr>
          <w:rFonts w:ascii="Times New Roman" w:hAnsi="Times New Roman"/>
          <w:sz w:val="22"/>
          <w:szCs w:val="22"/>
        </w:rPr>
        <w:t>xxx</w:t>
      </w:r>
      <w:proofErr w:type="spellEnd"/>
      <w:r w:rsidRPr="002C6376">
        <w:rPr>
          <w:rFonts w:ascii="Times New Roman" w:hAnsi="Times New Roman"/>
          <w:sz w:val="22"/>
          <w:szCs w:val="22"/>
        </w:rPr>
        <w:t xml:space="preserve"> - bezplatná  </w:t>
      </w:r>
      <w:proofErr w:type="gramStart"/>
      <w:r w:rsidRPr="002C6376">
        <w:rPr>
          <w:rFonts w:ascii="Times New Roman" w:hAnsi="Times New Roman"/>
          <w:sz w:val="22"/>
          <w:szCs w:val="22"/>
        </w:rPr>
        <w:t>tel.  linka</w:t>
      </w:r>
      <w:proofErr w:type="gramEnd"/>
      <w:r w:rsidRPr="002C6376">
        <w:rPr>
          <w:rFonts w:ascii="Times New Roman" w:hAnsi="Times New Roman"/>
          <w:sz w:val="22"/>
          <w:szCs w:val="22"/>
        </w:rPr>
        <w:t xml:space="preserve"> pro věci smluvní a správy</w:t>
      </w:r>
    </w:p>
    <w:p w14:paraId="1A0650FD" w14:textId="3D60F3C2" w:rsidR="00881C12" w:rsidRPr="002C6376" w:rsidRDefault="00881C12" w:rsidP="002C6376">
      <w:pPr>
        <w:pStyle w:val="Textvbloku"/>
        <w:ind w:left="2124" w:right="0" w:firstLine="708"/>
        <w:rPr>
          <w:rFonts w:ascii="Times New Roman" w:hAnsi="Times New Roman"/>
          <w:sz w:val="22"/>
          <w:szCs w:val="22"/>
        </w:rPr>
      </w:pPr>
      <w:r w:rsidRPr="002C6376">
        <w:rPr>
          <w:rFonts w:ascii="Times New Roman" w:hAnsi="Times New Roman"/>
          <w:sz w:val="22"/>
          <w:szCs w:val="22"/>
        </w:rPr>
        <w:t>nemovitostí</w:t>
      </w:r>
    </w:p>
    <w:p w14:paraId="1E5EBEBA" w14:textId="04C63D28" w:rsidR="00881C12" w:rsidRDefault="00881C12" w:rsidP="00881C12">
      <w:pPr>
        <w:pStyle w:val="Textvbloku"/>
        <w:ind w:left="0" w:right="0"/>
        <w:rPr>
          <w:rFonts w:ascii="Times New Roman" w:hAnsi="Times New Roman"/>
          <w:sz w:val="22"/>
          <w:szCs w:val="22"/>
        </w:rPr>
      </w:pPr>
      <w:r w:rsidRPr="002C6376">
        <w:rPr>
          <w:rFonts w:ascii="Times New Roman" w:hAnsi="Times New Roman"/>
          <w:sz w:val="22"/>
          <w:szCs w:val="22"/>
        </w:rPr>
        <w:t xml:space="preserve">Kontaktní e-mail:                   </w:t>
      </w:r>
      <w:r w:rsidRPr="002C6376">
        <w:rPr>
          <w:rFonts w:ascii="Times New Roman" w:hAnsi="Times New Roman"/>
          <w:sz w:val="22"/>
          <w:szCs w:val="22"/>
        </w:rPr>
        <w:tab/>
      </w:r>
      <w:proofErr w:type="spellStart"/>
      <w:r w:rsidR="00204D73">
        <w:rPr>
          <w:rStyle w:val="Hypertextovodkaz"/>
          <w:rFonts w:ascii="Times New Roman" w:hAnsi="Times New Roman"/>
          <w:sz w:val="22"/>
          <w:szCs w:val="22"/>
        </w:rPr>
        <w:t>xxxxx@xxxxx</w:t>
      </w:r>
      <w:proofErr w:type="spellEnd"/>
      <w:r w:rsidRPr="002C6376">
        <w:rPr>
          <w:rFonts w:ascii="Times New Roman" w:hAnsi="Times New Roman"/>
          <w:sz w:val="22"/>
          <w:szCs w:val="22"/>
        </w:rPr>
        <w:t xml:space="preserve"> - e-mailová </w:t>
      </w:r>
      <w:proofErr w:type="gramStart"/>
      <w:r w:rsidRPr="002C6376">
        <w:rPr>
          <w:rFonts w:ascii="Times New Roman" w:hAnsi="Times New Roman"/>
          <w:sz w:val="22"/>
          <w:szCs w:val="22"/>
        </w:rPr>
        <w:t>adresa   pro</w:t>
      </w:r>
      <w:proofErr w:type="gramEnd"/>
      <w:r w:rsidRPr="002C6376">
        <w:rPr>
          <w:rFonts w:ascii="Times New Roman" w:hAnsi="Times New Roman"/>
          <w:sz w:val="22"/>
          <w:szCs w:val="22"/>
        </w:rPr>
        <w:t xml:space="preserve"> věci  smluvní a správy</w:t>
      </w:r>
    </w:p>
    <w:p w14:paraId="7F5DA7B0" w14:textId="1DCB6141" w:rsidR="00881C12" w:rsidRPr="002C6376" w:rsidRDefault="00881C12" w:rsidP="002C6376">
      <w:pPr>
        <w:pStyle w:val="Textvbloku"/>
        <w:ind w:left="2124" w:right="0" w:firstLine="708"/>
        <w:rPr>
          <w:rFonts w:ascii="Times New Roman" w:hAnsi="Times New Roman"/>
          <w:sz w:val="22"/>
          <w:szCs w:val="22"/>
        </w:rPr>
      </w:pPr>
      <w:r w:rsidRPr="002C6376">
        <w:rPr>
          <w:rFonts w:ascii="Times New Roman" w:hAnsi="Times New Roman"/>
          <w:sz w:val="22"/>
          <w:szCs w:val="22"/>
        </w:rPr>
        <w:t>nemovitostí</w:t>
      </w:r>
    </w:p>
    <w:p w14:paraId="360F3042" w14:textId="54A7F0C3" w:rsidR="00881C12" w:rsidRDefault="00881C12" w:rsidP="00881C12">
      <w:pPr>
        <w:pStyle w:val="Textvbloku"/>
        <w:ind w:left="0" w:right="0"/>
        <w:rPr>
          <w:rFonts w:ascii="Times New Roman" w:hAnsi="Times New Roman"/>
          <w:sz w:val="22"/>
          <w:szCs w:val="22"/>
        </w:rPr>
      </w:pPr>
      <w:r w:rsidRPr="002C6376">
        <w:rPr>
          <w:rFonts w:ascii="Times New Roman" w:hAnsi="Times New Roman"/>
          <w:sz w:val="22"/>
          <w:szCs w:val="22"/>
        </w:rPr>
        <w:t xml:space="preserve">Kontaktní telefonní linka:     </w:t>
      </w:r>
      <w:r>
        <w:rPr>
          <w:rFonts w:ascii="Times New Roman" w:hAnsi="Times New Roman"/>
          <w:sz w:val="22"/>
          <w:szCs w:val="22"/>
        </w:rPr>
        <w:tab/>
      </w:r>
      <w:r w:rsidR="00204D73">
        <w:rPr>
          <w:rFonts w:ascii="Times New Roman" w:hAnsi="Times New Roman"/>
          <w:sz w:val="22"/>
          <w:szCs w:val="22"/>
        </w:rPr>
        <w:t xml:space="preserve">+420 </w:t>
      </w:r>
      <w:proofErr w:type="spellStart"/>
      <w:r w:rsidR="00204D73">
        <w:rPr>
          <w:rFonts w:ascii="Times New Roman" w:hAnsi="Times New Roman"/>
          <w:sz w:val="22"/>
          <w:szCs w:val="22"/>
        </w:rPr>
        <w:t>xxx</w:t>
      </w:r>
      <w:proofErr w:type="spellEnd"/>
      <w:r w:rsidR="00204D7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04D73">
        <w:rPr>
          <w:rFonts w:ascii="Times New Roman" w:hAnsi="Times New Roman"/>
          <w:sz w:val="22"/>
          <w:szCs w:val="22"/>
        </w:rPr>
        <w:t>xxx</w:t>
      </w:r>
      <w:proofErr w:type="spellEnd"/>
      <w:r w:rsidR="00204D7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04D73">
        <w:rPr>
          <w:rFonts w:ascii="Times New Roman" w:hAnsi="Times New Roman"/>
          <w:sz w:val="22"/>
          <w:szCs w:val="22"/>
        </w:rPr>
        <w:t>xxx</w:t>
      </w:r>
      <w:proofErr w:type="spellEnd"/>
      <w:r w:rsidRPr="002C6376">
        <w:rPr>
          <w:rFonts w:ascii="Times New Roman" w:hAnsi="Times New Roman"/>
          <w:sz w:val="22"/>
          <w:szCs w:val="22"/>
        </w:rPr>
        <w:t xml:space="preserve"> - bezplatná tel. linka finanční účtárny </w:t>
      </w:r>
      <w:r w:rsidR="00AA52A8">
        <w:rPr>
          <w:rFonts w:ascii="Times New Roman" w:hAnsi="Times New Roman"/>
          <w:sz w:val="22"/>
          <w:szCs w:val="22"/>
        </w:rPr>
        <w:t>n</w:t>
      </w:r>
      <w:r w:rsidRPr="002C6376">
        <w:rPr>
          <w:rFonts w:ascii="Times New Roman" w:hAnsi="Times New Roman"/>
          <w:sz w:val="22"/>
          <w:szCs w:val="22"/>
        </w:rPr>
        <w:t>ájemce pro</w:t>
      </w:r>
    </w:p>
    <w:p w14:paraId="46F70A77" w14:textId="0014B923" w:rsidR="00881C12" w:rsidRPr="002C6376" w:rsidRDefault="00881C12" w:rsidP="002C6376">
      <w:pPr>
        <w:pStyle w:val="Textvbloku"/>
        <w:ind w:left="2124" w:right="0" w:firstLine="708"/>
        <w:rPr>
          <w:rFonts w:ascii="Times New Roman" w:hAnsi="Times New Roman"/>
          <w:sz w:val="22"/>
          <w:szCs w:val="22"/>
        </w:rPr>
      </w:pPr>
      <w:r w:rsidRPr="002C6376">
        <w:rPr>
          <w:rFonts w:ascii="Times New Roman" w:hAnsi="Times New Roman"/>
          <w:sz w:val="22"/>
          <w:szCs w:val="22"/>
        </w:rPr>
        <w:t>informace o platbách</w:t>
      </w:r>
    </w:p>
    <w:p w14:paraId="5029788B" w14:textId="4D0E2DFB" w:rsidR="00881C12" w:rsidRDefault="00881C12" w:rsidP="00881C12">
      <w:pPr>
        <w:pStyle w:val="Textvbloku"/>
        <w:ind w:left="0" w:right="0"/>
        <w:rPr>
          <w:rFonts w:ascii="Times New Roman" w:hAnsi="Times New Roman"/>
          <w:sz w:val="22"/>
          <w:szCs w:val="22"/>
        </w:rPr>
      </w:pPr>
      <w:r w:rsidRPr="002C6376">
        <w:rPr>
          <w:rFonts w:ascii="Times New Roman" w:hAnsi="Times New Roman"/>
          <w:sz w:val="22"/>
          <w:szCs w:val="22"/>
        </w:rPr>
        <w:t>Kontaktní telefo</w:t>
      </w:r>
      <w:r w:rsidR="00204D73">
        <w:rPr>
          <w:rFonts w:ascii="Times New Roman" w:hAnsi="Times New Roman"/>
          <w:sz w:val="22"/>
          <w:szCs w:val="22"/>
        </w:rPr>
        <w:t xml:space="preserve">nní linka:    </w:t>
      </w:r>
      <w:r w:rsidR="00204D73">
        <w:rPr>
          <w:rFonts w:ascii="Times New Roman" w:hAnsi="Times New Roman"/>
          <w:sz w:val="22"/>
          <w:szCs w:val="22"/>
        </w:rPr>
        <w:tab/>
        <w:t xml:space="preserve">+420  </w:t>
      </w:r>
      <w:proofErr w:type="spellStart"/>
      <w:r w:rsidR="00204D73">
        <w:rPr>
          <w:rFonts w:ascii="Times New Roman" w:hAnsi="Times New Roman"/>
          <w:sz w:val="22"/>
          <w:szCs w:val="22"/>
        </w:rPr>
        <w:t>xxx</w:t>
      </w:r>
      <w:proofErr w:type="spellEnd"/>
      <w:r w:rsidR="00204D7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04D73">
        <w:rPr>
          <w:rFonts w:ascii="Times New Roman" w:hAnsi="Times New Roman"/>
          <w:sz w:val="22"/>
          <w:szCs w:val="22"/>
        </w:rPr>
        <w:t>xxx</w:t>
      </w:r>
      <w:proofErr w:type="spellEnd"/>
      <w:r w:rsidR="00204D7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04D73">
        <w:rPr>
          <w:rFonts w:ascii="Times New Roman" w:hAnsi="Times New Roman"/>
          <w:sz w:val="22"/>
          <w:szCs w:val="22"/>
        </w:rPr>
        <w:t>xxx</w:t>
      </w:r>
      <w:proofErr w:type="spellEnd"/>
      <w:r w:rsidRPr="002C6376">
        <w:rPr>
          <w:rFonts w:ascii="Times New Roman" w:hAnsi="Times New Roman"/>
          <w:sz w:val="22"/>
          <w:szCs w:val="22"/>
        </w:rPr>
        <w:t xml:space="preserve"> nebo +420 </w:t>
      </w:r>
      <w:proofErr w:type="spellStart"/>
      <w:r w:rsidR="00204D73">
        <w:rPr>
          <w:rFonts w:ascii="Times New Roman" w:hAnsi="Times New Roman"/>
          <w:sz w:val="22"/>
          <w:szCs w:val="22"/>
        </w:rPr>
        <w:t>xxx</w:t>
      </w:r>
      <w:proofErr w:type="spellEnd"/>
      <w:r w:rsidR="00204D7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04D73">
        <w:rPr>
          <w:rFonts w:ascii="Times New Roman" w:hAnsi="Times New Roman"/>
          <w:sz w:val="22"/>
          <w:szCs w:val="22"/>
        </w:rPr>
        <w:t>xxx</w:t>
      </w:r>
      <w:proofErr w:type="spellEnd"/>
      <w:r w:rsidR="00204D7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04D73">
        <w:rPr>
          <w:rFonts w:ascii="Times New Roman" w:hAnsi="Times New Roman"/>
          <w:sz w:val="22"/>
          <w:szCs w:val="22"/>
        </w:rPr>
        <w:t>xxx</w:t>
      </w:r>
      <w:proofErr w:type="spellEnd"/>
      <w:r w:rsidR="00204D73">
        <w:rPr>
          <w:rFonts w:ascii="Times New Roman" w:hAnsi="Times New Roman"/>
          <w:sz w:val="22"/>
          <w:szCs w:val="22"/>
        </w:rPr>
        <w:t xml:space="preserve"> </w:t>
      </w:r>
      <w:r w:rsidRPr="002C6376">
        <w:rPr>
          <w:rFonts w:ascii="Times New Roman" w:hAnsi="Times New Roman"/>
          <w:sz w:val="22"/>
          <w:szCs w:val="22"/>
        </w:rPr>
        <w:t>-  tel.  linky na dohledové centrum</w:t>
      </w:r>
    </w:p>
    <w:p w14:paraId="0E595711" w14:textId="600F908E" w:rsidR="00881C12" w:rsidRPr="002C6376" w:rsidRDefault="00881C12" w:rsidP="002C6376">
      <w:pPr>
        <w:pStyle w:val="Textvbloku"/>
        <w:ind w:left="2124" w:right="0" w:firstLine="708"/>
        <w:rPr>
          <w:rFonts w:ascii="Times New Roman" w:hAnsi="Times New Roman"/>
          <w:sz w:val="22"/>
          <w:szCs w:val="22"/>
        </w:rPr>
      </w:pPr>
      <w:r w:rsidRPr="002C6376">
        <w:rPr>
          <w:rFonts w:ascii="Times New Roman" w:hAnsi="Times New Roman"/>
          <w:sz w:val="22"/>
          <w:szCs w:val="22"/>
        </w:rPr>
        <w:t>pro věci technického charakteru</w:t>
      </w:r>
    </w:p>
    <w:p w14:paraId="6256D532" w14:textId="0883A408" w:rsidR="00881C12" w:rsidRDefault="00881C12" w:rsidP="00881C12">
      <w:pPr>
        <w:pStyle w:val="Textvbloku"/>
        <w:ind w:left="0" w:right="0"/>
        <w:rPr>
          <w:rFonts w:ascii="Times New Roman" w:hAnsi="Times New Roman"/>
          <w:sz w:val="22"/>
          <w:szCs w:val="22"/>
        </w:rPr>
      </w:pPr>
      <w:r w:rsidRPr="002C6376">
        <w:rPr>
          <w:rFonts w:ascii="Times New Roman" w:hAnsi="Times New Roman"/>
          <w:sz w:val="22"/>
          <w:szCs w:val="22"/>
        </w:rPr>
        <w:t xml:space="preserve">Kontaktní e-mail:               </w:t>
      </w:r>
      <w:r w:rsidRPr="002C6376">
        <w:rPr>
          <w:rFonts w:ascii="Times New Roman" w:hAnsi="Times New Roman"/>
          <w:sz w:val="22"/>
          <w:szCs w:val="22"/>
        </w:rPr>
        <w:tab/>
      </w:r>
      <w:proofErr w:type="spellStart"/>
      <w:r w:rsidR="00204D73">
        <w:rPr>
          <w:rStyle w:val="Hypertextovodkaz"/>
          <w:rFonts w:ascii="Times New Roman" w:hAnsi="Times New Roman"/>
          <w:sz w:val="22"/>
          <w:szCs w:val="22"/>
          <w:lang w:eastAsia="cs-CZ"/>
        </w:rPr>
        <w:t>xxxxx@xxxxx</w:t>
      </w:r>
      <w:proofErr w:type="spellEnd"/>
      <w:r w:rsidRPr="002C6376">
        <w:rPr>
          <w:rFonts w:ascii="Times New Roman" w:hAnsi="Times New Roman"/>
          <w:sz w:val="22"/>
          <w:szCs w:val="22"/>
          <w:lang w:eastAsia="cs-CZ"/>
        </w:rPr>
        <w:t xml:space="preserve"> -</w:t>
      </w:r>
      <w:r w:rsidRPr="002C6376">
        <w:rPr>
          <w:rFonts w:ascii="Times New Roman" w:hAnsi="Times New Roman"/>
          <w:sz w:val="22"/>
          <w:szCs w:val="22"/>
        </w:rPr>
        <w:t xml:space="preserve"> e-mailová adresa dohledového centra pro věci</w:t>
      </w:r>
    </w:p>
    <w:p w14:paraId="146DE6DE" w14:textId="3BB9CF69" w:rsidR="00881C12" w:rsidRPr="002C6376" w:rsidRDefault="00881C12" w:rsidP="002C6376">
      <w:pPr>
        <w:pStyle w:val="Textvbloku"/>
        <w:ind w:left="2124" w:right="0" w:firstLine="708"/>
        <w:rPr>
          <w:rFonts w:ascii="Times New Roman" w:hAnsi="Times New Roman"/>
          <w:sz w:val="22"/>
          <w:szCs w:val="22"/>
        </w:rPr>
      </w:pPr>
      <w:r w:rsidRPr="002C6376">
        <w:rPr>
          <w:rFonts w:ascii="Times New Roman" w:hAnsi="Times New Roman"/>
          <w:sz w:val="22"/>
          <w:szCs w:val="22"/>
        </w:rPr>
        <w:t>technického charakteru</w:t>
      </w:r>
    </w:p>
    <w:p w14:paraId="573E9542" w14:textId="387EE6A0" w:rsidR="00881C12" w:rsidRPr="002C6376" w:rsidRDefault="00881C12" w:rsidP="002C6376">
      <w:pPr>
        <w:pStyle w:val="Textvbloku"/>
        <w:spacing w:after="240"/>
        <w:ind w:left="0" w:right="0"/>
        <w:jc w:val="left"/>
        <w:rPr>
          <w:rFonts w:ascii="Times New Roman" w:hAnsi="Times New Roman"/>
          <w:sz w:val="22"/>
          <w:szCs w:val="22"/>
        </w:rPr>
      </w:pPr>
      <w:r w:rsidRPr="002C6376">
        <w:rPr>
          <w:rFonts w:ascii="Times New Roman" w:hAnsi="Times New Roman"/>
          <w:sz w:val="22"/>
          <w:szCs w:val="22"/>
        </w:rPr>
        <w:t xml:space="preserve">Datová schránka:                 </w:t>
      </w:r>
      <w:r>
        <w:rPr>
          <w:rFonts w:ascii="Times New Roman" w:hAnsi="Times New Roman"/>
          <w:sz w:val="22"/>
          <w:szCs w:val="22"/>
        </w:rPr>
        <w:tab/>
      </w:r>
      <w:r w:rsidRPr="002C6376">
        <w:rPr>
          <w:rFonts w:ascii="Times New Roman" w:hAnsi="Times New Roman"/>
          <w:sz w:val="22"/>
          <w:szCs w:val="22"/>
        </w:rPr>
        <w:t>qa7425t</w:t>
      </w:r>
      <w:r>
        <w:rPr>
          <w:rFonts w:ascii="Times New Roman" w:hAnsi="Times New Roman"/>
          <w:sz w:val="22"/>
          <w:szCs w:val="22"/>
        </w:rPr>
        <w:t>“</w:t>
      </w:r>
    </w:p>
    <w:p w14:paraId="74FADD96" w14:textId="6FB78B62" w:rsidR="009B6DCA" w:rsidRPr="002C6376" w:rsidRDefault="006C4656" w:rsidP="002C6376">
      <w:pPr>
        <w:jc w:val="both"/>
        <w:rPr>
          <w:sz w:val="22"/>
          <w:szCs w:val="22"/>
        </w:rPr>
      </w:pPr>
      <w:r w:rsidRPr="002C6376">
        <w:rPr>
          <w:sz w:val="22"/>
          <w:szCs w:val="22"/>
        </w:rPr>
        <w:t xml:space="preserve">3. </w:t>
      </w:r>
      <w:r w:rsidR="005D6A9B" w:rsidRPr="005D6A9B">
        <w:rPr>
          <w:sz w:val="22"/>
          <w:szCs w:val="22"/>
        </w:rPr>
        <w:t xml:space="preserve">Smluvní strany se dohodly na novém </w:t>
      </w:r>
      <w:r w:rsidR="005D6A9B" w:rsidRPr="002C6376">
        <w:rPr>
          <w:b/>
          <w:bCs/>
          <w:sz w:val="22"/>
          <w:szCs w:val="22"/>
        </w:rPr>
        <w:t xml:space="preserve">článku </w:t>
      </w:r>
      <w:r w:rsidR="00776876" w:rsidRPr="002C6376">
        <w:rPr>
          <w:b/>
          <w:bCs/>
          <w:sz w:val="22"/>
          <w:szCs w:val="22"/>
        </w:rPr>
        <w:t>IX</w:t>
      </w:r>
      <w:r w:rsidR="005D6A9B" w:rsidRPr="002C6376">
        <w:rPr>
          <w:b/>
          <w:bCs/>
          <w:sz w:val="22"/>
          <w:szCs w:val="22"/>
        </w:rPr>
        <w:t>A</w:t>
      </w:r>
      <w:r w:rsidR="00776876" w:rsidRPr="002C6376">
        <w:rPr>
          <w:b/>
          <w:bCs/>
          <w:sz w:val="22"/>
          <w:szCs w:val="22"/>
        </w:rPr>
        <w:t>.</w:t>
      </w:r>
      <w:r w:rsidR="00776876">
        <w:rPr>
          <w:sz w:val="22"/>
          <w:szCs w:val="22"/>
        </w:rPr>
        <w:t xml:space="preserve"> s</w:t>
      </w:r>
      <w:r w:rsidR="005D6A9B" w:rsidRPr="005D6A9B">
        <w:rPr>
          <w:sz w:val="22"/>
          <w:szCs w:val="22"/>
        </w:rPr>
        <w:t xml:space="preserve">mlouvy, který se vkládá mezi článek </w:t>
      </w:r>
      <w:r w:rsidR="00776876">
        <w:rPr>
          <w:sz w:val="22"/>
          <w:szCs w:val="22"/>
        </w:rPr>
        <w:t>IX. s</w:t>
      </w:r>
      <w:r w:rsidR="005D6A9B" w:rsidRPr="005D6A9B">
        <w:rPr>
          <w:sz w:val="22"/>
          <w:szCs w:val="22"/>
        </w:rPr>
        <w:t xml:space="preserve">mlouvy a článek </w:t>
      </w:r>
      <w:r w:rsidR="00776876">
        <w:rPr>
          <w:sz w:val="22"/>
          <w:szCs w:val="22"/>
        </w:rPr>
        <w:t>X</w:t>
      </w:r>
      <w:r w:rsidR="005D6A9B" w:rsidRPr="005D6A9B">
        <w:rPr>
          <w:sz w:val="22"/>
          <w:szCs w:val="22"/>
        </w:rPr>
        <w:t xml:space="preserve">. </w:t>
      </w:r>
      <w:r w:rsidR="00776876">
        <w:rPr>
          <w:sz w:val="22"/>
          <w:szCs w:val="22"/>
        </w:rPr>
        <w:t>s</w:t>
      </w:r>
      <w:r w:rsidR="005D6A9B" w:rsidRPr="005D6A9B">
        <w:rPr>
          <w:sz w:val="22"/>
          <w:szCs w:val="22"/>
        </w:rPr>
        <w:t>mlouvy, a to následujícího znění:</w:t>
      </w:r>
    </w:p>
    <w:p w14:paraId="0D8CCB26" w14:textId="08421901" w:rsidR="009B6DCA" w:rsidRDefault="00776876" w:rsidP="009B6DCA">
      <w:pPr>
        <w:jc w:val="center"/>
        <w:rPr>
          <w:b/>
          <w:bCs/>
          <w:sz w:val="22"/>
          <w:szCs w:val="22"/>
        </w:rPr>
      </w:pPr>
      <w:r w:rsidRPr="002C6376">
        <w:rPr>
          <w:sz w:val="22"/>
          <w:szCs w:val="22"/>
        </w:rPr>
        <w:t>„</w:t>
      </w:r>
      <w:r>
        <w:rPr>
          <w:b/>
          <w:bCs/>
          <w:sz w:val="22"/>
          <w:szCs w:val="22"/>
        </w:rPr>
        <w:t>IXA.</w:t>
      </w:r>
    </w:p>
    <w:p w14:paraId="349B9AF4" w14:textId="08FB6CB0" w:rsidR="00776876" w:rsidRDefault="005C2E29" w:rsidP="002C6376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Ochrana osobních údajů a </w:t>
      </w:r>
      <w:proofErr w:type="spellStart"/>
      <w:r>
        <w:rPr>
          <w:b/>
          <w:bCs/>
          <w:sz w:val="22"/>
          <w:szCs w:val="22"/>
        </w:rPr>
        <w:t>Compliance</w:t>
      </w:r>
      <w:proofErr w:type="spellEnd"/>
    </w:p>
    <w:p w14:paraId="600D5AF4" w14:textId="6F26E746" w:rsidR="009637E2" w:rsidRPr="009637E2" w:rsidRDefault="009637E2" w:rsidP="009637E2">
      <w:pPr>
        <w:jc w:val="both"/>
        <w:rPr>
          <w:sz w:val="22"/>
          <w:szCs w:val="22"/>
        </w:rPr>
      </w:pPr>
      <w:r w:rsidRPr="009637E2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9637E2">
        <w:rPr>
          <w:sz w:val="22"/>
          <w:szCs w:val="22"/>
        </w:rPr>
        <w:t>Za účelem plnění práv a povinností vyplývajících z</w:t>
      </w:r>
      <w:r>
        <w:rPr>
          <w:sz w:val="22"/>
          <w:szCs w:val="22"/>
        </w:rPr>
        <w:t> této s</w:t>
      </w:r>
      <w:r w:rsidRPr="009637E2">
        <w:rPr>
          <w:sz w:val="22"/>
          <w:szCs w:val="22"/>
        </w:rPr>
        <w:t xml:space="preserve">mlouvy nebo </w:t>
      </w:r>
      <w:proofErr w:type="gramStart"/>
      <w:r w:rsidRPr="009637E2">
        <w:rPr>
          <w:sz w:val="22"/>
          <w:szCs w:val="22"/>
        </w:rPr>
        <w:t>vzniklých  v souvislosti</w:t>
      </w:r>
      <w:proofErr w:type="gramEnd"/>
      <w:r w:rsidRPr="009637E2">
        <w:rPr>
          <w:sz w:val="22"/>
          <w:szCs w:val="22"/>
        </w:rPr>
        <w:t xml:space="preserve"> s</w:t>
      </w:r>
      <w:r w:rsidR="00A20822">
        <w:rPr>
          <w:sz w:val="22"/>
          <w:szCs w:val="22"/>
        </w:rPr>
        <w:t> touto s</w:t>
      </w:r>
      <w:r w:rsidRPr="009637E2">
        <w:rPr>
          <w:sz w:val="22"/>
          <w:szCs w:val="22"/>
        </w:rPr>
        <w:t xml:space="preserve">mlouvou si </w:t>
      </w:r>
      <w:r w:rsidR="00A20822">
        <w:rPr>
          <w:sz w:val="22"/>
          <w:szCs w:val="22"/>
        </w:rPr>
        <w:t>s</w:t>
      </w:r>
      <w:r w:rsidRPr="009637E2">
        <w:rPr>
          <w:sz w:val="22"/>
          <w:szCs w:val="22"/>
        </w:rPr>
        <w:t xml:space="preserve">mluvní strany navzájem předávají nebo mohou předávat </w:t>
      </w:r>
      <w:r w:rsidR="00A20822">
        <w:rPr>
          <w:sz w:val="22"/>
          <w:szCs w:val="22"/>
        </w:rPr>
        <w:t>o</w:t>
      </w:r>
      <w:r w:rsidRPr="009637E2">
        <w:rPr>
          <w:sz w:val="22"/>
          <w:szCs w:val="22"/>
        </w:rPr>
        <w:t>sobní údaje (dále jen „</w:t>
      </w:r>
      <w:r w:rsidRPr="002C6376">
        <w:rPr>
          <w:b/>
          <w:bCs/>
          <w:sz w:val="22"/>
          <w:szCs w:val="22"/>
        </w:rPr>
        <w:t>Osobní údaje</w:t>
      </w:r>
      <w:r w:rsidRPr="009637E2">
        <w:rPr>
          <w:sz w:val="22"/>
          <w:szCs w:val="22"/>
        </w:rPr>
        <w:t>“) ve smyslu čl. 4 odst. 1 Nařízení Evropského parlamentu a Rady (EU) č. 2016/679 ze dne 27. dubna 2016, o ochraně fyzických osob v souvislosti se zpracováním osobních údajů a o volném pohybu těchto údajů a o zrušení směrnice 95/46/ES (obecné nařízení o ochraně osobních údajů) (dále jen „</w:t>
      </w:r>
      <w:r w:rsidRPr="002C6376">
        <w:rPr>
          <w:b/>
          <w:bCs/>
          <w:sz w:val="22"/>
          <w:szCs w:val="22"/>
        </w:rPr>
        <w:t>GDPR</w:t>
      </w:r>
      <w:r w:rsidRPr="009637E2">
        <w:rPr>
          <w:sz w:val="22"/>
          <w:szCs w:val="22"/>
        </w:rPr>
        <w:t xml:space="preserve">“) subjektů údajů, kterými jsou zejména zástupci, zaměstnanci nebo zákazníci druhé </w:t>
      </w:r>
      <w:r w:rsidR="00A20822">
        <w:rPr>
          <w:sz w:val="22"/>
          <w:szCs w:val="22"/>
        </w:rPr>
        <w:t>s</w:t>
      </w:r>
      <w:r w:rsidRPr="009637E2">
        <w:rPr>
          <w:sz w:val="22"/>
          <w:szCs w:val="22"/>
        </w:rPr>
        <w:t xml:space="preserve">mluvní strany či jiné osoby pověřené druhou </w:t>
      </w:r>
      <w:r w:rsidR="00A20822">
        <w:rPr>
          <w:sz w:val="22"/>
          <w:szCs w:val="22"/>
        </w:rPr>
        <w:t>s</w:t>
      </w:r>
      <w:r w:rsidRPr="009637E2">
        <w:rPr>
          <w:sz w:val="22"/>
          <w:szCs w:val="22"/>
        </w:rPr>
        <w:t>mluvní stranou k výkonu či plnění práv a povinností vyplývajících z</w:t>
      </w:r>
      <w:r w:rsidR="00A20822">
        <w:rPr>
          <w:sz w:val="22"/>
          <w:szCs w:val="22"/>
        </w:rPr>
        <w:t> této s</w:t>
      </w:r>
      <w:r w:rsidRPr="009637E2">
        <w:rPr>
          <w:sz w:val="22"/>
          <w:szCs w:val="22"/>
        </w:rPr>
        <w:t>mlouvy nebo vzniklých v souvislosti s</w:t>
      </w:r>
      <w:r w:rsidR="00A20822">
        <w:rPr>
          <w:sz w:val="22"/>
          <w:szCs w:val="22"/>
        </w:rPr>
        <w:t> touto s</w:t>
      </w:r>
      <w:r w:rsidRPr="009637E2">
        <w:rPr>
          <w:sz w:val="22"/>
          <w:szCs w:val="22"/>
        </w:rPr>
        <w:t xml:space="preserve">mlouvou. Přejímající </w:t>
      </w:r>
      <w:r w:rsidR="00A20822">
        <w:rPr>
          <w:sz w:val="22"/>
          <w:szCs w:val="22"/>
        </w:rPr>
        <w:t>s</w:t>
      </w:r>
      <w:r w:rsidRPr="009637E2">
        <w:rPr>
          <w:sz w:val="22"/>
          <w:szCs w:val="22"/>
        </w:rPr>
        <w:t>mluvní strana je tak vzhledem k předávaným Osobním údajům v pozici správce.</w:t>
      </w:r>
    </w:p>
    <w:p w14:paraId="7B673D98" w14:textId="77777777" w:rsidR="009637E2" w:rsidRPr="009637E2" w:rsidRDefault="009637E2" w:rsidP="009637E2">
      <w:pPr>
        <w:jc w:val="both"/>
        <w:rPr>
          <w:sz w:val="22"/>
          <w:szCs w:val="22"/>
        </w:rPr>
      </w:pPr>
    </w:p>
    <w:p w14:paraId="42B2F332" w14:textId="322563D6" w:rsidR="009637E2" w:rsidRPr="009637E2" w:rsidRDefault="009637E2" w:rsidP="009637E2">
      <w:pPr>
        <w:jc w:val="both"/>
        <w:rPr>
          <w:sz w:val="22"/>
          <w:szCs w:val="22"/>
        </w:rPr>
      </w:pPr>
      <w:r w:rsidRPr="009637E2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9637E2">
        <w:rPr>
          <w:sz w:val="22"/>
          <w:szCs w:val="22"/>
        </w:rPr>
        <w:t xml:space="preserve">Účelem předání Osobních údajů je plnění </w:t>
      </w:r>
      <w:r w:rsidR="00A20822">
        <w:rPr>
          <w:sz w:val="22"/>
          <w:szCs w:val="22"/>
        </w:rPr>
        <w:t>této s</w:t>
      </w:r>
      <w:r w:rsidRPr="009637E2">
        <w:rPr>
          <w:sz w:val="22"/>
          <w:szCs w:val="22"/>
        </w:rPr>
        <w:t xml:space="preserve">mlouvy, </w:t>
      </w:r>
      <w:r w:rsidR="00A20822">
        <w:rPr>
          <w:sz w:val="22"/>
          <w:szCs w:val="22"/>
        </w:rPr>
        <w:t>s</w:t>
      </w:r>
      <w:r w:rsidRPr="009637E2">
        <w:rPr>
          <w:sz w:val="22"/>
          <w:szCs w:val="22"/>
        </w:rPr>
        <w:t xml:space="preserve">mluvní strany prohlašují, že předávané Osobní údaje budou zpracovávat pouze k naplnění tohoto účelu, a to v souladu s platnými právními předpisy, zejména v souladu s GDPR. </w:t>
      </w:r>
    </w:p>
    <w:p w14:paraId="66288C1F" w14:textId="77777777" w:rsidR="009637E2" w:rsidRPr="009637E2" w:rsidRDefault="009637E2" w:rsidP="009637E2">
      <w:pPr>
        <w:jc w:val="both"/>
        <w:rPr>
          <w:sz w:val="22"/>
          <w:szCs w:val="22"/>
        </w:rPr>
      </w:pPr>
    </w:p>
    <w:p w14:paraId="3C945BA0" w14:textId="71A81CD3" w:rsidR="009637E2" w:rsidRPr="009637E2" w:rsidRDefault="009637E2" w:rsidP="009637E2">
      <w:pPr>
        <w:jc w:val="both"/>
        <w:rPr>
          <w:sz w:val="22"/>
          <w:szCs w:val="22"/>
        </w:rPr>
      </w:pPr>
      <w:r w:rsidRPr="009637E2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9637E2">
        <w:rPr>
          <w:sz w:val="22"/>
          <w:szCs w:val="22"/>
        </w:rPr>
        <w:t xml:space="preserve">Smluvní strany prohlašují, že pro předání Osobních údajů druhé </w:t>
      </w:r>
      <w:r w:rsidR="00A20822">
        <w:rPr>
          <w:sz w:val="22"/>
          <w:szCs w:val="22"/>
        </w:rPr>
        <w:t>sm</w:t>
      </w:r>
      <w:r w:rsidRPr="009637E2">
        <w:rPr>
          <w:sz w:val="22"/>
          <w:szCs w:val="22"/>
        </w:rPr>
        <w:t xml:space="preserve">luvní straně disponují platným právním </w:t>
      </w:r>
      <w:r w:rsidRPr="009637E2">
        <w:rPr>
          <w:sz w:val="22"/>
          <w:szCs w:val="22"/>
        </w:rPr>
        <w:lastRenderedPageBreak/>
        <w:t>titulem v souladu s čl. 6 odst. 1 GDPR.</w:t>
      </w:r>
    </w:p>
    <w:p w14:paraId="228BE537" w14:textId="77777777" w:rsidR="009637E2" w:rsidRPr="009637E2" w:rsidRDefault="009637E2" w:rsidP="009637E2">
      <w:pPr>
        <w:jc w:val="both"/>
        <w:rPr>
          <w:sz w:val="22"/>
          <w:szCs w:val="22"/>
        </w:rPr>
      </w:pPr>
    </w:p>
    <w:p w14:paraId="6BE52B85" w14:textId="6B055FC8" w:rsidR="009637E2" w:rsidRPr="009637E2" w:rsidRDefault="009637E2" w:rsidP="009637E2">
      <w:pPr>
        <w:jc w:val="both"/>
        <w:rPr>
          <w:sz w:val="22"/>
          <w:szCs w:val="22"/>
        </w:rPr>
      </w:pPr>
      <w:r w:rsidRPr="009637E2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9637E2">
        <w:rPr>
          <w:sz w:val="22"/>
          <w:szCs w:val="22"/>
        </w:rPr>
        <w:t xml:space="preserve">Smluvní strany berou na vědomí, že za účelem plnění </w:t>
      </w:r>
      <w:r w:rsidR="00A20822">
        <w:rPr>
          <w:sz w:val="22"/>
          <w:szCs w:val="22"/>
        </w:rPr>
        <w:t>této s</w:t>
      </w:r>
      <w:r w:rsidRPr="009637E2">
        <w:rPr>
          <w:sz w:val="22"/>
          <w:szCs w:val="22"/>
        </w:rPr>
        <w:t xml:space="preserve">mlouvy, může docházet k předání Osobních údajů z přejímající </w:t>
      </w:r>
      <w:r w:rsidR="00A20822">
        <w:rPr>
          <w:sz w:val="22"/>
          <w:szCs w:val="22"/>
        </w:rPr>
        <w:t>s</w:t>
      </w:r>
      <w:r w:rsidRPr="009637E2">
        <w:rPr>
          <w:sz w:val="22"/>
          <w:szCs w:val="22"/>
        </w:rPr>
        <w:t xml:space="preserve">mluvní strany třetí osobě, zejména osobě, prostřednictvím které přejímající </w:t>
      </w:r>
      <w:r w:rsidR="00A20822">
        <w:rPr>
          <w:sz w:val="22"/>
          <w:szCs w:val="22"/>
        </w:rPr>
        <w:t>s</w:t>
      </w:r>
      <w:r w:rsidRPr="009637E2">
        <w:rPr>
          <w:sz w:val="22"/>
          <w:szCs w:val="22"/>
        </w:rPr>
        <w:t>mluvní strana vykonává či plní práva a povinnosti vyplývající z</w:t>
      </w:r>
      <w:r w:rsidR="00A20822">
        <w:rPr>
          <w:sz w:val="22"/>
          <w:szCs w:val="22"/>
        </w:rPr>
        <w:t> této s</w:t>
      </w:r>
      <w:r w:rsidRPr="009637E2">
        <w:rPr>
          <w:sz w:val="22"/>
          <w:szCs w:val="22"/>
        </w:rPr>
        <w:t>mlouvy nebo vzniklé v souvislosti s</w:t>
      </w:r>
      <w:r w:rsidR="00A20822">
        <w:rPr>
          <w:sz w:val="22"/>
          <w:szCs w:val="22"/>
        </w:rPr>
        <w:t> touto s</w:t>
      </w:r>
      <w:r w:rsidRPr="009637E2">
        <w:rPr>
          <w:sz w:val="22"/>
          <w:szCs w:val="22"/>
        </w:rPr>
        <w:t>mlouvou.</w:t>
      </w:r>
    </w:p>
    <w:p w14:paraId="51C38487" w14:textId="77777777" w:rsidR="009637E2" w:rsidRPr="009637E2" w:rsidRDefault="009637E2" w:rsidP="009637E2">
      <w:pPr>
        <w:jc w:val="both"/>
        <w:rPr>
          <w:sz w:val="22"/>
          <w:szCs w:val="22"/>
        </w:rPr>
      </w:pPr>
    </w:p>
    <w:p w14:paraId="54C00895" w14:textId="35E70F63" w:rsidR="009637E2" w:rsidRPr="009637E2" w:rsidRDefault="009637E2" w:rsidP="009637E2">
      <w:pPr>
        <w:jc w:val="both"/>
        <w:rPr>
          <w:sz w:val="22"/>
          <w:szCs w:val="22"/>
        </w:rPr>
      </w:pPr>
      <w:r w:rsidRPr="009637E2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9637E2">
        <w:rPr>
          <w:sz w:val="22"/>
          <w:szCs w:val="22"/>
        </w:rPr>
        <w:t xml:space="preserve">Předávající </w:t>
      </w:r>
      <w:r w:rsidR="00A20822">
        <w:rPr>
          <w:sz w:val="22"/>
          <w:szCs w:val="22"/>
        </w:rPr>
        <w:t>s</w:t>
      </w:r>
      <w:r w:rsidRPr="009637E2">
        <w:rPr>
          <w:sz w:val="22"/>
          <w:szCs w:val="22"/>
        </w:rPr>
        <w:t xml:space="preserve">mluvní strana zajistila nebo zajistí splnění veškerých zákonných podmínek nezbytných pro předání Osobních údajů vůči subjektům údajů, zejména informuje subjekty údajů o skutečnosti, že došlo k předání konkrétních Osobních údajů přejímající </w:t>
      </w:r>
      <w:r w:rsidR="00A20822">
        <w:rPr>
          <w:sz w:val="22"/>
          <w:szCs w:val="22"/>
        </w:rPr>
        <w:t>s</w:t>
      </w:r>
      <w:r w:rsidRPr="009637E2">
        <w:rPr>
          <w:sz w:val="22"/>
          <w:szCs w:val="22"/>
        </w:rPr>
        <w:t xml:space="preserve">mluvní straně, a to za účelem plnění </w:t>
      </w:r>
      <w:r w:rsidR="00A20822">
        <w:rPr>
          <w:sz w:val="22"/>
          <w:szCs w:val="22"/>
        </w:rPr>
        <w:t>této s</w:t>
      </w:r>
      <w:r w:rsidRPr="009637E2">
        <w:rPr>
          <w:sz w:val="22"/>
          <w:szCs w:val="22"/>
        </w:rPr>
        <w:t xml:space="preserve">mlouvy. V případě, že přejímající </w:t>
      </w:r>
      <w:r w:rsidR="00A20822">
        <w:rPr>
          <w:sz w:val="22"/>
          <w:szCs w:val="22"/>
        </w:rPr>
        <w:t>s</w:t>
      </w:r>
      <w:r w:rsidRPr="009637E2">
        <w:rPr>
          <w:sz w:val="22"/>
          <w:szCs w:val="22"/>
        </w:rPr>
        <w:t xml:space="preserve">mluvní stranou je </w:t>
      </w:r>
      <w:r w:rsidR="00AA52A8">
        <w:rPr>
          <w:sz w:val="22"/>
          <w:szCs w:val="22"/>
        </w:rPr>
        <w:t>n</w:t>
      </w:r>
      <w:r w:rsidRPr="009637E2">
        <w:rPr>
          <w:sz w:val="22"/>
          <w:szCs w:val="22"/>
        </w:rPr>
        <w:t xml:space="preserve">ájemce, předávající </w:t>
      </w:r>
      <w:r w:rsidR="00A20822">
        <w:rPr>
          <w:sz w:val="22"/>
          <w:szCs w:val="22"/>
        </w:rPr>
        <w:t>s</w:t>
      </w:r>
      <w:r w:rsidRPr="009637E2">
        <w:rPr>
          <w:sz w:val="22"/>
          <w:szCs w:val="22"/>
        </w:rPr>
        <w:t xml:space="preserve">mluvní strana seznámí subjekty údajů rovněž i s podmínkami zpracování Osobních údajů, včetně rozsahu zvláštních práv subjektu údajů, které jsou uvedeny v Zásadách zpracování Osobních údajů dostupných na adrese https://www.cetin.cz/zasady-ochrany-osobnich-udaju. Splnění povinnosti uvedené v tomto odstavci je předávající </w:t>
      </w:r>
      <w:r w:rsidR="00AA52A8">
        <w:rPr>
          <w:sz w:val="22"/>
          <w:szCs w:val="22"/>
        </w:rPr>
        <w:t>s</w:t>
      </w:r>
      <w:r w:rsidRPr="009637E2">
        <w:rPr>
          <w:sz w:val="22"/>
          <w:szCs w:val="22"/>
        </w:rPr>
        <w:t xml:space="preserve">mluvní strana povinna přejímající </w:t>
      </w:r>
      <w:r w:rsidR="00AA52A8">
        <w:rPr>
          <w:sz w:val="22"/>
          <w:szCs w:val="22"/>
        </w:rPr>
        <w:t>s</w:t>
      </w:r>
      <w:r w:rsidRPr="009637E2">
        <w:rPr>
          <w:sz w:val="22"/>
          <w:szCs w:val="22"/>
        </w:rPr>
        <w:t xml:space="preserve">mluvní straně na výzvu písemně doložit.  </w:t>
      </w:r>
    </w:p>
    <w:p w14:paraId="6616184A" w14:textId="77777777" w:rsidR="009637E2" w:rsidRPr="009637E2" w:rsidRDefault="009637E2" w:rsidP="009637E2">
      <w:pPr>
        <w:jc w:val="both"/>
        <w:rPr>
          <w:sz w:val="22"/>
          <w:szCs w:val="22"/>
        </w:rPr>
      </w:pPr>
    </w:p>
    <w:p w14:paraId="534070D0" w14:textId="58B4A1EA" w:rsidR="005C2E29" w:rsidRDefault="009637E2" w:rsidP="009637E2">
      <w:pPr>
        <w:jc w:val="both"/>
        <w:rPr>
          <w:sz w:val="22"/>
          <w:szCs w:val="22"/>
        </w:rPr>
      </w:pPr>
      <w:r w:rsidRPr="009637E2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9637E2">
        <w:rPr>
          <w:sz w:val="22"/>
          <w:szCs w:val="22"/>
        </w:rPr>
        <w:t xml:space="preserve">Nájemce přijal a dodržuje interní korporátní </w:t>
      </w:r>
      <w:proofErr w:type="spellStart"/>
      <w:r w:rsidRPr="009637E2">
        <w:rPr>
          <w:sz w:val="22"/>
          <w:szCs w:val="22"/>
        </w:rPr>
        <w:t>compliance</w:t>
      </w:r>
      <w:proofErr w:type="spellEnd"/>
      <w:r w:rsidRPr="009637E2">
        <w:rPr>
          <w:sz w:val="22"/>
          <w:szCs w:val="22"/>
        </w:rPr>
        <w:t xml:space="preserve"> program navržený tak, aby byl zajištěn soulad činnosti </w:t>
      </w:r>
      <w:r w:rsidR="00AA52A8">
        <w:rPr>
          <w:sz w:val="22"/>
          <w:szCs w:val="22"/>
        </w:rPr>
        <w:t>n</w:t>
      </w:r>
      <w:r w:rsidRPr="009637E2">
        <w:rPr>
          <w:sz w:val="22"/>
          <w:szCs w:val="22"/>
        </w:rPr>
        <w:t xml:space="preserve">ájemce s platnými a účinnými právními předpisy, pravidly etiky a morálky; zahrnující opatření, jejichž cílem je předcházení a odhalování porušování uvedených předpisů a pravidel (program </w:t>
      </w:r>
      <w:proofErr w:type="spellStart"/>
      <w:r w:rsidRPr="009637E2">
        <w:rPr>
          <w:sz w:val="22"/>
          <w:szCs w:val="22"/>
        </w:rPr>
        <w:t>Corporate</w:t>
      </w:r>
      <w:proofErr w:type="spellEnd"/>
      <w:r w:rsidRPr="009637E2">
        <w:rPr>
          <w:sz w:val="22"/>
          <w:szCs w:val="22"/>
        </w:rPr>
        <w:t xml:space="preserve"> </w:t>
      </w:r>
      <w:proofErr w:type="spellStart"/>
      <w:r w:rsidRPr="009637E2">
        <w:rPr>
          <w:sz w:val="22"/>
          <w:szCs w:val="22"/>
        </w:rPr>
        <w:t>Compliance</w:t>
      </w:r>
      <w:proofErr w:type="spellEnd"/>
      <w:r w:rsidRPr="009637E2">
        <w:rPr>
          <w:sz w:val="22"/>
          <w:szCs w:val="22"/>
        </w:rPr>
        <w:t xml:space="preserve"> - </w:t>
      </w:r>
      <w:hyperlink r:id="rId12" w:history="1">
        <w:r w:rsidR="005E3C7E" w:rsidRPr="00633E79">
          <w:rPr>
            <w:rStyle w:val="Hypertextovodkaz"/>
            <w:sz w:val="22"/>
            <w:szCs w:val="22"/>
          </w:rPr>
          <w:t>https://www.cetin.cz/corporate-compliance)</w:t>
        </w:r>
      </w:hyperlink>
      <w:r w:rsidRPr="009637E2">
        <w:rPr>
          <w:sz w:val="22"/>
          <w:szCs w:val="22"/>
        </w:rPr>
        <w:t>.“</w:t>
      </w:r>
    </w:p>
    <w:p w14:paraId="0B980333" w14:textId="77777777" w:rsidR="005E3C7E" w:rsidRDefault="005E3C7E" w:rsidP="009637E2">
      <w:pPr>
        <w:jc w:val="both"/>
        <w:rPr>
          <w:sz w:val="22"/>
          <w:szCs w:val="22"/>
        </w:rPr>
      </w:pPr>
    </w:p>
    <w:p w14:paraId="75A19E89" w14:textId="33D37575" w:rsidR="005E3C7E" w:rsidRDefault="005E3C7E" w:rsidP="002C6376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5E3C7E">
        <w:rPr>
          <w:sz w:val="22"/>
          <w:szCs w:val="22"/>
        </w:rPr>
        <w:t xml:space="preserve">Do </w:t>
      </w:r>
      <w:r w:rsidRPr="002C6376">
        <w:rPr>
          <w:b/>
          <w:bCs/>
          <w:sz w:val="22"/>
          <w:szCs w:val="22"/>
        </w:rPr>
        <w:t>článku X.</w:t>
      </w:r>
      <w:r w:rsidRPr="005E3C7E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5E3C7E">
        <w:rPr>
          <w:sz w:val="22"/>
          <w:szCs w:val="22"/>
        </w:rPr>
        <w:t xml:space="preserve">mlouvy se za odst. </w:t>
      </w:r>
      <w:r w:rsidR="009D7B10">
        <w:rPr>
          <w:sz w:val="22"/>
          <w:szCs w:val="22"/>
        </w:rPr>
        <w:t>3</w:t>
      </w:r>
      <w:r w:rsidRPr="005E3C7E">
        <w:rPr>
          <w:sz w:val="22"/>
          <w:szCs w:val="22"/>
        </w:rPr>
        <w:t xml:space="preserve"> doplňuje nový odst. </w:t>
      </w:r>
      <w:r w:rsidR="009D7B10">
        <w:rPr>
          <w:sz w:val="22"/>
          <w:szCs w:val="22"/>
        </w:rPr>
        <w:t>4</w:t>
      </w:r>
      <w:r w:rsidRPr="005E3C7E">
        <w:rPr>
          <w:sz w:val="22"/>
          <w:szCs w:val="22"/>
        </w:rPr>
        <w:t xml:space="preserve"> následujícího znění:</w:t>
      </w:r>
    </w:p>
    <w:p w14:paraId="172C6CC0" w14:textId="39D3E7ED" w:rsidR="009D7B10" w:rsidRPr="002C6376" w:rsidRDefault="009D7B10" w:rsidP="002C63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„4. </w:t>
      </w:r>
      <w:r w:rsidR="004C5693" w:rsidRPr="004C5693">
        <w:rPr>
          <w:sz w:val="22"/>
          <w:szCs w:val="22"/>
        </w:rPr>
        <w:t xml:space="preserve">Žádná </w:t>
      </w:r>
      <w:r w:rsidR="004C5693">
        <w:rPr>
          <w:sz w:val="22"/>
          <w:szCs w:val="22"/>
        </w:rPr>
        <w:t>s</w:t>
      </w:r>
      <w:r w:rsidR="004C5693" w:rsidRPr="004C5693">
        <w:rPr>
          <w:sz w:val="22"/>
          <w:szCs w:val="22"/>
        </w:rPr>
        <w:t xml:space="preserve">mluvní strana nemá právo, vyjma případu </w:t>
      </w:r>
      <w:r w:rsidR="004C5693">
        <w:rPr>
          <w:sz w:val="22"/>
          <w:szCs w:val="22"/>
        </w:rPr>
        <w:t>touto s</w:t>
      </w:r>
      <w:r w:rsidR="004C5693" w:rsidRPr="004C5693">
        <w:rPr>
          <w:sz w:val="22"/>
          <w:szCs w:val="22"/>
        </w:rPr>
        <w:t xml:space="preserve">mlouvou výslovně ujednaného, převést či postoupit </w:t>
      </w:r>
      <w:r w:rsidR="004C5693">
        <w:rPr>
          <w:sz w:val="22"/>
          <w:szCs w:val="22"/>
        </w:rPr>
        <w:t>tuto s</w:t>
      </w:r>
      <w:r w:rsidR="004C5693" w:rsidRPr="004C5693">
        <w:rPr>
          <w:sz w:val="22"/>
          <w:szCs w:val="22"/>
        </w:rPr>
        <w:t>mlouvu, ani jakékoliv své právo nebo povinnost z</w:t>
      </w:r>
      <w:r w:rsidR="004C5693">
        <w:rPr>
          <w:sz w:val="22"/>
          <w:szCs w:val="22"/>
        </w:rPr>
        <w:t> této s</w:t>
      </w:r>
      <w:r w:rsidR="004C5693" w:rsidRPr="004C5693">
        <w:rPr>
          <w:sz w:val="22"/>
          <w:szCs w:val="22"/>
        </w:rPr>
        <w:t>mlouvy nebo z její části třetí osobě ani k </w:t>
      </w:r>
      <w:r w:rsidR="00BB6732">
        <w:rPr>
          <w:sz w:val="22"/>
          <w:szCs w:val="22"/>
        </w:rPr>
        <w:t>p</w:t>
      </w:r>
      <w:r w:rsidR="004C5693" w:rsidRPr="004C5693">
        <w:rPr>
          <w:sz w:val="22"/>
          <w:szCs w:val="22"/>
        </w:rPr>
        <w:t xml:space="preserve">ředmětu nájmu zřídit věcné právo bez předchozího písemného souhlasu druhé </w:t>
      </w:r>
      <w:r w:rsidR="004C5693">
        <w:rPr>
          <w:sz w:val="22"/>
          <w:szCs w:val="22"/>
        </w:rPr>
        <w:t>s</w:t>
      </w:r>
      <w:r w:rsidR="004C5693" w:rsidRPr="004C5693">
        <w:rPr>
          <w:sz w:val="22"/>
          <w:szCs w:val="22"/>
        </w:rPr>
        <w:t xml:space="preserve">mluvní strany. Pro vyloučení pochybností </w:t>
      </w:r>
      <w:r w:rsidR="004C5693">
        <w:rPr>
          <w:sz w:val="22"/>
          <w:szCs w:val="22"/>
        </w:rPr>
        <w:t>s</w:t>
      </w:r>
      <w:r w:rsidR="004C5693" w:rsidRPr="004C5693">
        <w:rPr>
          <w:sz w:val="22"/>
          <w:szCs w:val="22"/>
        </w:rPr>
        <w:t xml:space="preserve">mluvní strany ujednávají, že právo </w:t>
      </w:r>
      <w:r w:rsidR="004C5693">
        <w:rPr>
          <w:sz w:val="22"/>
          <w:szCs w:val="22"/>
        </w:rPr>
        <w:t>p</w:t>
      </w:r>
      <w:r w:rsidR="004C5693" w:rsidRPr="004C5693">
        <w:rPr>
          <w:sz w:val="22"/>
          <w:szCs w:val="22"/>
        </w:rPr>
        <w:t>ronajímatele převést vlastnické právo k </w:t>
      </w:r>
      <w:r w:rsidR="00BB6732">
        <w:rPr>
          <w:sz w:val="22"/>
          <w:szCs w:val="22"/>
        </w:rPr>
        <w:t>nemovitosti</w:t>
      </w:r>
      <w:r w:rsidR="004C5693" w:rsidRPr="004C5693">
        <w:rPr>
          <w:sz w:val="22"/>
          <w:szCs w:val="22"/>
        </w:rPr>
        <w:t xml:space="preserve"> na třetí osobu není ujednáním dle předchozí věty dotčeno.</w:t>
      </w:r>
      <w:r w:rsidR="004C5693">
        <w:rPr>
          <w:sz w:val="22"/>
          <w:szCs w:val="22"/>
        </w:rPr>
        <w:t>“</w:t>
      </w:r>
    </w:p>
    <w:p w14:paraId="2E84C192" w14:textId="77777777" w:rsidR="005C2E29" w:rsidRPr="002C6376" w:rsidRDefault="005C2E29" w:rsidP="002C6376">
      <w:pPr>
        <w:jc w:val="center"/>
        <w:rPr>
          <w:b/>
          <w:bCs/>
          <w:sz w:val="22"/>
          <w:szCs w:val="22"/>
        </w:rPr>
      </w:pPr>
    </w:p>
    <w:p w14:paraId="053EBC35" w14:textId="2653B19E" w:rsidR="00253857" w:rsidRPr="00DB1254" w:rsidRDefault="00CC1BA3" w:rsidP="0025385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</w:t>
      </w:r>
      <w:r w:rsidR="00253857" w:rsidRPr="00DB1254">
        <w:rPr>
          <w:b/>
          <w:bCs/>
          <w:sz w:val="22"/>
          <w:szCs w:val="22"/>
        </w:rPr>
        <w:t>.</w:t>
      </w:r>
    </w:p>
    <w:p w14:paraId="52C6F24D" w14:textId="67E55A12" w:rsidR="00253857" w:rsidRDefault="004856E1" w:rsidP="002538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53857" w:rsidRPr="00DB1254">
        <w:rPr>
          <w:sz w:val="22"/>
          <w:szCs w:val="22"/>
        </w:rPr>
        <w:t xml:space="preserve">Změna cenové mapy a změna výše nájemného byla schválena radou města Písku, číslo usnesení 615/23 ze dne </w:t>
      </w:r>
      <w:proofErr w:type="gramStart"/>
      <w:r w:rsidR="00253857" w:rsidRPr="00DB1254">
        <w:rPr>
          <w:sz w:val="22"/>
          <w:szCs w:val="22"/>
        </w:rPr>
        <w:t>19.10.2023</w:t>
      </w:r>
      <w:proofErr w:type="gramEnd"/>
      <w:r w:rsidR="00253857" w:rsidRPr="00DB1254">
        <w:rPr>
          <w:sz w:val="22"/>
          <w:szCs w:val="22"/>
        </w:rPr>
        <w:t>.</w:t>
      </w:r>
      <w:r w:rsidR="00C34D7D">
        <w:rPr>
          <w:sz w:val="22"/>
          <w:szCs w:val="22"/>
        </w:rPr>
        <w:t xml:space="preserve"> </w:t>
      </w:r>
    </w:p>
    <w:p w14:paraId="07EBD718" w14:textId="77777777" w:rsidR="004856E1" w:rsidRDefault="004856E1" w:rsidP="00253857">
      <w:pPr>
        <w:jc w:val="both"/>
        <w:rPr>
          <w:sz w:val="22"/>
          <w:szCs w:val="22"/>
        </w:rPr>
      </w:pPr>
    </w:p>
    <w:p w14:paraId="0599E6F6" w14:textId="129F4DE2" w:rsidR="003B723C" w:rsidRPr="003B723C" w:rsidRDefault="003B723C" w:rsidP="003B723C">
      <w:pPr>
        <w:jc w:val="both"/>
        <w:rPr>
          <w:sz w:val="22"/>
          <w:szCs w:val="22"/>
        </w:rPr>
      </w:pPr>
      <w:r w:rsidRPr="003B723C">
        <w:rPr>
          <w:sz w:val="22"/>
          <w:szCs w:val="22"/>
        </w:rPr>
        <w:t xml:space="preserve">2. Pronajímatel potvrzuje, že pro uzavření tohoto dodatku splnil veškeré podmínky určené zákonem č. 128/2000 Sb. o obcích (obecní zřízení), ve znění pozdějších předpisů (dále jen „Zákon o obcích“). Záměr Pronajímatele uzavřít tento dodatek byl v souladu s příslušným ustanovením Zákona o obcích zveřejněn na úřední desce Pronajímatele od </w:t>
      </w:r>
      <w:proofErr w:type="gramStart"/>
      <w:r w:rsidRPr="003B723C">
        <w:rPr>
          <w:sz w:val="22"/>
          <w:szCs w:val="22"/>
        </w:rPr>
        <w:t>01.11.2023</w:t>
      </w:r>
      <w:proofErr w:type="gramEnd"/>
      <w:r w:rsidRPr="003B723C">
        <w:rPr>
          <w:sz w:val="22"/>
          <w:szCs w:val="22"/>
        </w:rPr>
        <w:t xml:space="preserve"> do 20.11.2023, fotokopie zveřejnění záměru je Přílohou č. 1 tohoto dodatku. Uzavření tohoto dodatku bylo projednáno a schváleno usnesením Rady města Písku č. </w:t>
      </w:r>
      <w:r>
        <w:rPr>
          <w:sz w:val="22"/>
          <w:szCs w:val="22"/>
        </w:rPr>
        <w:t>93/</w:t>
      </w:r>
      <w:r w:rsidR="006328CC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3B723C">
        <w:rPr>
          <w:sz w:val="22"/>
          <w:szCs w:val="22"/>
        </w:rPr>
        <w:t xml:space="preserve"> ze dne </w:t>
      </w:r>
      <w:proofErr w:type="gramStart"/>
      <w:r>
        <w:rPr>
          <w:sz w:val="22"/>
          <w:szCs w:val="22"/>
        </w:rPr>
        <w:t>15.02.2024</w:t>
      </w:r>
      <w:proofErr w:type="gramEnd"/>
      <w:r>
        <w:rPr>
          <w:sz w:val="22"/>
          <w:szCs w:val="22"/>
        </w:rPr>
        <w:t>.</w:t>
      </w:r>
    </w:p>
    <w:p w14:paraId="020D4E68" w14:textId="4A98A415" w:rsidR="00253857" w:rsidRPr="00DB1254" w:rsidRDefault="00CC1BA3" w:rsidP="0025385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253857" w:rsidRPr="00DB1254">
        <w:rPr>
          <w:b/>
          <w:bCs/>
          <w:sz w:val="22"/>
          <w:szCs w:val="22"/>
        </w:rPr>
        <w:t>V.</w:t>
      </w:r>
    </w:p>
    <w:p w14:paraId="27F2EC2D" w14:textId="3A48E278" w:rsidR="00BB7E60" w:rsidRDefault="00BB7E60" w:rsidP="002538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53857" w:rsidRPr="00DB1254">
        <w:rPr>
          <w:sz w:val="22"/>
          <w:szCs w:val="22"/>
        </w:rPr>
        <w:t>Ostatní ujednání smlouvy</w:t>
      </w:r>
      <w:r w:rsidR="00253857">
        <w:rPr>
          <w:sz w:val="22"/>
          <w:szCs w:val="22"/>
        </w:rPr>
        <w:t xml:space="preserve"> </w:t>
      </w:r>
      <w:r w:rsidR="00253857" w:rsidRPr="00DB1254">
        <w:rPr>
          <w:sz w:val="22"/>
          <w:szCs w:val="22"/>
        </w:rPr>
        <w:t xml:space="preserve">zůstávají beze změn. </w:t>
      </w:r>
    </w:p>
    <w:p w14:paraId="1EB33E4E" w14:textId="77777777" w:rsidR="00BB7E60" w:rsidRDefault="00BB7E60" w:rsidP="00253857">
      <w:pPr>
        <w:jc w:val="both"/>
        <w:rPr>
          <w:sz w:val="22"/>
          <w:szCs w:val="22"/>
        </w:rPr>
      </w:pPr>
    </w:p>
    <w:p w14:paraId="13E4AA74" w14:textId="7E238881" w:rsidR="00BB7E60" w:rsidRDefault="00BB7E60" w:rsidP="002538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53857" w:rsidRPr="00DB1254">
        <w:rPr>
          <w:sz w:val="22"/>
          <w:szCs w:val="22"/>
        </w:rPr>
        <w:t>Dodatek nabývá účinnosti</w:t>
      </w:r>
      <w:r w:rsidR="00253857">
        <w:rPr>
          <w:sz w:val="22"/>
          <w:szCs w:val="22"/>
        </w:rPr>
        <w:t xml:space="preserve"> dnem zveřejnění v registru smluv</w:t>
      </w:r>
      <w:r w:rsidR="00253857" w:rsidRPr="00DB1254">
        <w:rPr>
          <w:sz w:val="22"/>
          <w:szCs w:val="22"/>
        </w:rPr>
        <w:t xml:space="preserve"> a platnosti dnem podpisu poslední ze smluvních stran. </w:t>
      </w:r>
      <w:r w:rsidR="00C24FFB">
        <w:rPr>
          <w:sz w:val="22"/>
          <w:szCs w:val="22"/>
        </w:rPr>
        <w:t>Zveřejnění</w:t>
      </w:r>
      <w:r w:rsidR="00C24FFB" w:rsidRPr="00C24FFB">
        <w:rPr>
          <w:sz w:val="22"/>
          <w:szCs w:val="22"/>
        </w:rPr>
        <w:t xml:space="preserve"> </w:t>
      </w:r>
      <w:r w:rsidR="00C24FFB">
        <w:rPr>
          <w:sz w:val="22"/>
          <w:szCs w:val="22"/>
        </w:rPr>
        <w:t>d</w:t>
      </w:r>
      <w:r w:rsidR="00C24FFB" w:rsidRPr="00C24FFB">
        <w:rPr>
          <w:sz w:val="22"/>
          <w:szCs w:val="22"/>
        </w:rPr>
        <w:t>odatku a</w:t>
      </w:r>
      <w:r w:rsidR="00C24FFB">
        <w:rPr>
          <w:sz w:val="22"/>
          <w:szCs w:val="22"/>
        </w:rPr>
        <w:t xml:space="preserve"> </w:t>
      </w:r>
      <w:proofErr w:type="spellStart"/>
      <w:r w:rsidR="00C24FFB">
        <w:rPr>
          <w:sz w:val="22"/>
          <w:szCs w:val="22"/>
        </w:rPr>
        <w:t>metadat</w:t>
      </w:r>
      <w:proofErr w:type="spellEnd"/>
      <w:r w:rsidR="00C24FFB">
        <w:rPr>
          <w:sz w:val="22"/>
          <w:szCs w:val="22"/>
        </w:rPr>
        <w:t xml:space="preserve"> a splnění</w:t>
      </w:r>
      <w:r w:rsidR="00C24FFB" w:rsidRPr="00C24FFB">
        <w:rPr>
          <w:sz w:val="22"/>
          <w:szCs w:val="22"/>
        </w:rPr>
        <w:t xml:space="preserve"> další povinnosti v souladu se </w:t>
      </w:r>
      <w:r w:rsidR="00C24FFB">
        <w:rPr>
          <w:sz w:val="22"/>
          <w:szCs w:val="22"/>
        </w:rPr>
        <w:t>z</w:t>
      </w:r>
      <w:r w:rsidR="00C24FFB" w:rsidRPr="00C24FFB">
        <w:rPr>
          <w:sz w:val="22"/>
          <w:szCs w:val="22"/>
        </w:rPr>
        <w:t>ákonem o registru smluv</w:t>
      </w:r>
      <w:r w:rsidR="00C24FFB">
        <w:rPr>
          <w:sz w:val="22"/>
          <w:szCs w:val="22"/>
        </w:rPr>
        <w:t xml:space="preserve"> zajistí Pronajímatel</w:t>
      </w:r>
      <w:r w:rsidR="00C24FFB" w:rsidRPr="00C24FFB">
        <w:rPr>
          <w:sz w:val="22"/>
          <w:szCs w:val="22"/>
        </w:rPr>
        <w:t xml:space="preserve">. </w:t>
      </w:r>
    </w:p>
    <w:p w14:paraId="260FD8C1" w14:textId="77777777" w:rsidR="00BB7E60" w:rsidRDefault="00BB7E60" w:rsidP="00253857">
      <w:pPr>
        <w:jc w:val="both"/>
        <w:rPr>
          <w:sz w:val="22"/>
          <w:szCs w:val="22"/>
        </w:rPr>
      </w:pPr>
    </w:p>
    <w:p w14:paraId="53859B82" w14:textId="746B9962" w:rsidR="00253857" w:rsidRPr="00DB1254" w:rsidRDefault="00BB7E60" w:rsidP="002538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53857" w:rsidRPr="00DB1254">
        <w:rPr>
          <w:sz w:val="22"/>
          <w:szCs w:val="22"/>
        </w:rPr>
        <w:t xml:space="preserve">Dodatek je vyhotoven </w:t>
      </w:r>
      <w:r>
        <w:rPr>
          <w:sz w:val="22"/>
          <w:szCs w:val="22"/>
        </w:rPr>
        <w:t xml:space="preserve">elektronicky nebo v listinné podobě, přičemž v takovém případě je dodatek vyhotoven </w:t>
      </w:r>
      <w:r w:rsidR="00253857" w:rsidRPr="00DB1254">
        <w:rPr>
          <w:sz w:val="22"/>
          <w:szCs w:val="22"/>
        </w:rPr>
        <w:t xml:space="preserve">ve </w:t>
      </w:r>
      <w:r w:rsidR="00253857">
        <w:rPr>
          <w:sz w:val="22"/>
          <w:szCs w:val="22"/>
        </w:rPr>
        <w:t>4</w:t>
      </w:r>
      <w:r w:rsidR="00253857" w:rsidRPr="00DB1254">
        <w:rPr>
          <w:sz w:val="22"/>
          <w:szCs w:val="22"/>
        </w:rPr>
        <w:t xml:space="preserve"> výtiscích, když 3 výtisky obdrží Pronajímatel a </w:t>
      </w:r>
      <w:r w:rsidR="00253857">
        <w:rPr>
          <w:sz w:val="22"/>
          <w:szCs w:val="22"/>
        </w:rPr>
        <w:t>1</w:t>
      </w:r>
      <w:r w:rsidR="00253857" w:rsidRPr="00DB1254">
        <w:rPr>
          <w:sz w:val="22"/>
          <w:szCs w:val="22"/>
        </w:rPr>
        <w:t xml:space="preserve"> výtisk obdrží Nájemc</w:t>
      </w:r>
      <w:r w:rsidR="00253857">
        <w:rPr>
          <w:sz w:val="22"/>
          <w:szCs w:val="22"/>
        </w:rPr>
        <w:t>e</w:t>
      </w:r>
      <w:r w:rsidR="00253857" w:rsidRPr="00DB1254">
        <w:rPr>
          <w:sz w:val="22"/>
          <w:szCs w:val="22"/>
        </w:rPr>
        <w:t>.</w:t>
      </w:r>
    </w:p>
    <w:p w14:paraId="47ABBF1E" w14:textId="77777777" w:rsidR="00253857" w:rsidRPr="00DB1254" w:rsidRDefault="00253857" w:rsidP="00253857">
      <w:pPr>
        <w:jc w:val="both"/>
        <w:rPr>
          <w:sz w:val="22"/>
          <w:szCs w:val="22"/>
        </w:rPr>
      </w:pPr>
    </w:p>
    <w:p w14:paraId="1625B60D" w14:textId="26D6150B" w:rsidR="00253857" w:rsidRPr="00DB1254" w:rsidRDefault="007D2DAD" w:rsidP="00253857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253857" w:rsidRPr="00DB1254">
        <w:rPr>
          <w:sz w:val="22"/>
          <w:szCs w:val="22"/>
        </w:rPr>
        <w:t>Písk</w:t>
      </w:r>
      <w:r>
        <w:rPr>
          <w:sz w:val="22"/>
          <w:szCs w:val="22"/>
        </w:rPr>
        <w:t>u dne</w:t>
      </w:r>
      <w:r w:rsidR="003B723C">
        <w:rPr>
          <w:sz w:val="22"/>
          <w:szCs w:val="22"/>
        </w:rPr>
        <w:t xml:space="preserve"> </w:t>
      </w:r>
      <w:proofErr w:type="gramStart"/>
      <w:r w:rsidR="00C41BA1">
        <w:rPr>
          <w:sz w:val="22"/>
          <w:szCs w:val="22"/>
        </w:rPr>
        <w:t>22.02.2024</w:t>
      </w:r>
      <w:proofErr w:type="gramEnd"/>
      <w:r w:rsidR="00253857" w:rsidRPr="00DB1254">
        <w:rPr>
          <w:sz w:val="22"/>
          <w:szCs w:val="22"/>
        </w:rPr>
        <w:tab/>
      </w:r>
      <w:r w:rsidR="00253857" w:rsidRPr="00DB1254">
        <w:rPr>
          <w:sz w:val="22"/>
          <w:szCs w:val="22"/>
        </w:rPr>
        <w:tab/>
      </w:r>
      <w:r w:rsidR="00253857" w:rsidRPr="00DB1254">
        <w:rPr>
          <w:sz w:val="22"/>
          <w:szCs w:val="22"/>
        </w:rPr>
        <w:tab/>
      </w:r>
      <w:r w:rsidR="00253857">
        <w:rPr>
          <w:sz w:val="22"/>
          <w:szCs w:val="22"/>
        </w:rPr>
        <w:tab/>
      </w:r>
      <w:r w:rsidR="00253857">
        <w:rPr>
          <w:sz w:val="22"/>
          <w:szCs w:val="22"/>
        </w:rPr>
        <w:tab/>
      </w:r>
      <w:r w:rsidR="00253857">
        <w:rPr>
          <w:sz w:val="22"/>
          <w:szCs w:val="22"/>
        </w:rPr>
        <w:tab/>
      </w:r>
      <w:r w:rsidR="00253857" w:rsidRPr="00DB1254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V </w:t>
      </w:r>
      <w:r w:rsidR="00AD782B">
        <w:rPr>
          <w:sz w:val="22"/>
          <w:szCs w:val="22"/>
        </w:rPr>
        <w:t>Pra</w:t>
      </w:r>
      <w:r>
        <w:rPr>
          <w:sz w:val="22"/>
          <w:szCs w:val="22"/>
        </w:rPr>
        <w:t>ze dne</w:t>
      </w:r>
      <w:r w:rsidR="00C41BA1">
        <w:rPr>
          <w:sz w:val="22"/>
          <w:szCs w:val="22"/>
        </w:rPr>
        <w:t xml:space="preserve"> 13.03.2024</w:t>
      </w:r>
    </w:p>
    <w:p w14:paraId="3FC5CD91" w14:textId="77777777" w:rsidR="00253857" w:rsidRDefault="00253857" w:rsidP="00253857">
      <w:pPr>
        <w:jc w:val="both"/>
        <w:rPr>
          <w:sz w:val="22"/>
          <w:szCs w:val="22"/>
        </w:rPr>
      </w:pPr>
    </w:p>
    <w:p w14:paraId="3C302925" w14:textId="77777777" w:rsidR="00AD14EC" w:rsidRDefault="00AD14EC" w:rsidP="00253857">
      <w:pPr>
        <w:jc w:val="both"/>
        <w:rPr>
          <w:sz w:val="22"/>
          <w:szCs w:val="22"/>
        </w:rPr>
      </w:pPr>
    </w:p>
    <w:p w14:paraId="67232A75" w14:textId="77777777" w:rsidR="00253857" w:rsidRPr="00DB1254" w:rsidRDefault="00253857" w:rsidP="00253857">
      <w:pPr>
        <w:jc w:val="both"/>
        <w:rPr>
          <w:sz w:val="22"/>
          <w:szCs w:val="22"/>
        </w:rPr>
      </w:pPr>
    </w:p>
    <w:p w14:paraId="4B20B786" w14:textId="77777777" w:rsidR="00253857" w:rsidRPr="00DB1254" w:rsidRDefault="00253857" w:rsidP="00253857">
      <w:pPr>
        <w:jc w:val="both"/>
        <w:rPr>
          <w:sz w:val="22"/>
          <w:szCs w:val="22"/>
        </w:rPr>
      </w:pPr>
      <w:r w:rsidRPr="00DB1254">
        <w:rPr>
          <w:sz w:val="22"/>
          <w:szCs w:val="22"/>
        </w:rPr>
        <w:t xml:space="preserve">       </w:t>
      </w:r>
      <w:r>
        <w:rPr>
          <w:sz w:val="22"/>
          <w:szCs w:val="22"/>
        </w:rPr>
        <w:t>…….</w:t>
      </w:r>
      <w:r w:rsidRPr="00DB1254">
        <w:rPr>
          <w:sz w:val="22"/>
          <w:szCs w:val="22"/>
        </w:rPr>
        <w:t xml:space="preserve">......................................                                 </w:t>
      </w:r>
      <w:r>
        <w:rPr>
          <w:sz w:val="22"/>
          <w:szCs w:val="22"/>
        </w:rPr>
        <w:t xml:space="preserve">        </w:t>
      </w:r>
      <w:r w:rsidRPr="00DB1254">
        <w:rPr>
          <w:sz w:val="22"/>
          <w:szCs w:val="22"/>
        </w:rPr>
        <w:t xml:space="preserve">        .............................................</w:t>
      </w:r>
    </w:p>
    <w:p w14:paraId="412D7489" w14:textId="781E2B35" w:rsidR="00253857" w:rsidRPr="00DB1254" w:rsidRDefault="00253857" w:rsidP="00253857">
      <w:pPr>
        <w:jc w:val="both"/>
        <w:rPr>
          <w:sz w:val="22"/>
          <w:szCs w:val="22"/>
        </w:rPr>
      </w:pPr>
      <w:r w:rsidRPr="00DB125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 w:rsidRPr="00DB1254">
        <w:rPr>
          <w:sz w:val="22"/>
          <w:szCs w:val="22"/>
        </w:rPr>
        <w:t xml:space="preserve">  Ing. </w:t>
      </w:r>
      <w:r w:rsidR="006F0E1A">
        <w:rPr>
          <w:sz w:val="22"/>
          <w:szCs w:val="22"/>
        </w:rPr>
        <w:t xml:space="preserve">Tomáš </w:t>
      </w:r>
      <w:proofErr w:type="gramStart"/>
      <w:r w:rsidR="006F0E1A">
        <w:rPr>
          <w:sz w:val="22"/>
          <w:szCs w:val="22"/>
        </w:rPr>
        <w:t xml:space="preserve">Bednařík   </w:t>
      </w:r>
      <w:r w:rsidRPr="00DB1254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</w:t>
      </w:r>
      <w:proofErr w:type="spellStart"/>
      <w:r w:rsidR="00204D73">
        <w:rPr>
          <w:sz w:val="22"/>
          <w:szCs w:val="22"/>
        </w:rPr>
        <w:t>xxxxx</w:t>
      </w:r>
      <w:proofErr w:type="spellEnd"/>
      <w:proofErr w:type="gramEnd"/>
      <w:r w:rsidR="00204D73">
        <w:rPr>
          <w:sz w:val="22"/>
          <w:szCs w:val="22"/>
        </w:rPr>
        <w:t xml:space="preserve"> </w:t>
      </w:r>
      <w:proofErr w:type="spellStart"/>
      <w:r w:rsidR="00204D73">
        <w:rPr>
          <w:sz w:val="22"/>
          <w:szCs w:val="22"/>
        </w:rPr>
        <w:t>xxxxx</w:t>
      </w:r>
      <w:proofErr w:type="spellEnd"/>
    </w:p>
    <w:p w14:paraId="7189DBBD" w14:textId="38E250DE" w:rsidR="00DA74CA" w:rsidRDefault="00253857" w:rsidP="00253857">
      <w:pPr>
        <w:jc w:val="both"/>
        <w:rPr>
          <w:sz w:val="22"/>
          <w:szCs w:val="22"/>
        </w:rPr>
      </w:pPr>
      <w:r w:rsidRPr="00DB125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</w:t>
      </w:r>
      <w:r w:rsidRPr="00DB1254">
        <w:rPr>
          <w:sz w:val="22"/>
          <w:szCs w:val="22"/>
        </w:rPr>
        <w:t xml:space="preserve"> </w:t>
      </w:r>
      <w:r w:rsidR="00AD14EC">
        <w:rPr>
          <w:sz w:val="22"/>
          <w:szCs w:val="22"/>
        </w:rPr>
        <w:t>ř</w:t>
      </w:r>
      <w:r w:rsidRPr="00DB1254">
        <w:rPr>
          <w:sz w:val="22"/>
          <w:szCs w:val="22"/>
        </w:rPr>
        <w:t>editel DBS</w:t>
      </w:r>
      <w:r w:rsidR="00AD782B">
        <w:rPr>
          <w:sz w:val="22"/>
          <w:szCs w:val="22"/>
        </w:rPr>
        <w:tab/>
      </w:r>
      <w:r w:rsidR="00AD782B">
        <w:rPr>
          <w:sz w:val="22"/>
          <w:szCs w:val="22"/>
        </w:rPr>
        <w:tab/>
      </w:r>
      <w:r w:rsidR="00AD782B">
        <w:rPr>
          <w:sz w:val="22"/>
          <w:szCs w:val="22"/>
        </w:rPr>
        <w:tab/>
      </w:r>
      <w:r w:rsidR="003B723C">
        <w:rPr>
          <w:sz w:val="22"/>
          <w:szCs w:val="22"/>
        </w:rPr>
        <w:t xml:space="preserve">     </w:t>
      </w:r>
      <w:r w:rsidR="00AD782B">
        <w:rPr>
          <w:sz w:val="22"/>
          <w:szCs w:val="22"/>
        </w:rPr>
        <w:tab/>
      </w:r>
      <w:r w:rsidR="00AD782B">
        <w:rPr>
          <w:sz w:val="22"/>
          <w:szCs w:val="22"/>
        </w:rPr>
        <w:tab/>
      </w:r>
      <w:r w:rsidR="00DA74CA">
        <w:rPr>
          <w:sz w:val="22"/>
          <w:szCs w:val="22"/>
        </w:rPr>
        <w:t xml:space="preserve">  </w:t>
      </w:r>
      <w:r w:rsidR="003B723C">
        <w:rPr>
          <w:sz w:val="22"/>
          <w:szCs w:val="22"/>
        </w:rPr>
        <w:t xml:space="preserve">             </w:t>
      </w:r>
      <w:r w:rsidR="00091CA8">
        <w:rPr>
          <w:sz w:val="22"/>
          <w:szCs w:val="22"/>
        </w:rPr>
        <w:t xml:space="preserve"> </w:t>
      </w:r>
      <w:r w:rsidR="00DA74CA">
        <w:rPr>
          <w:sz w:val="22"/>
          <w:szCs w:val="22"/>
        </w:rPr>
        <w:t>manažer realitních služeb</w:t>
      </w:r>
    </w:p>
    <w:p w14:paraId="07DC71FB" w14:textId="03176B9D" w:rsidR="00253857" w:rsidRDefault="00DA74CA" w:rsidP="0025385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723C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na základě pověření</w:t>
      </w:r>
      <w:r w:rsidR="00AD782B">
        <w:rPr>
          <w:sz w:val="22"/>
          <w:szCs w:val="22"/>
        </w:rPr>
        <w:tab/>
      </w:r>
    </w:p>
    <w:sectPr w:rsidR="00253857" w:rsidSect="00253857">
      <w:headerReference w:type="even" r:id="rId13"/>
      <w:headerReference w:type="default" r:id="rId14"/>
      <w:head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D81C3" w14:textId="77777777" w:rsidR="00D060CD" w:rsidRDefault="00D060CD" w:rsidP="00271C05">
      <w:r>
        <w:separator/>
      </w:r>
    </w:p>
  </w:endnote>
  <w:endnote w:type="continuationSeparator" w:id="0">
    <w:p w14:paraId="74D9A20A" w14:textId="77777777" w:rsidR="00D060CD" w:rsidRDefault="00D060CD" w:rsidP="00271C05">
      <w:r>
        <w:continuationSeparator/>
      </w:r>
    </w:p>
  </w:endnote>
  <w:endnote w:type="continuationNotice" w:id="1">
    <w:p w14:paraId="5FD0B7F8" w14:textId="77777777" w:rsidR="00953B01" w:rsidRDefault="00953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F1256" w14:textId="77777777" w:rsidR="00D060CD" w:rsidRDefault="00D060CD" w:rsidP="00271C05">
      <w:r>
        <w:separator/>
      </w:r>
    </w:p>
  </w:footnote>
  <w:footnote w:type="continuationSeparator" w:id="0">
    <w:p w14:paraId="57136C34" w14:textId="77777777" w:rsidR="00D060CD" w:rsidRDefault="00D060CD" w:rsidP="00271C05">
      <w:r>
        <w:continuationSeparator/>
      </w:r>
    </w:p>
  </w:footnote>
  <w:footnote w:type="continuationNotice" w:id="1">
    <w:p w14:paraId="49CB8550" w14:textId="77777777" w:rsidR="00953B01" w:rsidRDefault="00953B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E2E69" w14:textId="15EF3CB9" w:rsidR="00271C05" w:rsidRDefault="00271C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D8CE9" w14:textId="175E8C34" w:rsidR="00271C05" w:rsidRDefault="00271C0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385E" w14:textId="2CCB071A" w:rsidR="00271C05" w:rsidRDefault="00271C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568"/>
    <w:multiLevelType w:val="hybridMultilevel"/>
    <w:tmpl w:val="9998D81C"/>
    <w:lvl w:ilvl="0" w:tplc="ABA4545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8BA82E0C">
      <w:start w:val="3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6B2E4088">
      <w:start w:val="1"/>
      <w:numFmt w:val="decimal"/>
      <w:lvlText w:val="%3."/>
      <w:lvlJc w:val="left"/>
      <w:pPr>
        <w:ind w:left="3034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7"/>
    <w:rsid w:val="00044951"/>
    <w:rsid w:val="00054A08"/>
    <w:rsid w:val="00091CA8"/>
    <w:rsid w:val="000B220D"/>
    <w:rsid w:val="00147AEA"/>
    <w:rsid w:val="001765E6"/>
    <w:rsid w:val="001D437C"/>
    <w:rsid w:val="00204D73"/>
    <w:rsid w:val="00240F0D"/>
    <w:rsid w:val="00253857"/>
    <w:rsid w:val="00271C05"/>
    <w:rsid w:val="002C6376"/>
    <w:rsid w:val="003051A0"/>
    <w:rsid w:val="00330D88"/>
    <w:rsid w:val="00370DB7"/>
    <w:rsid w:val="003767EE"/>
    <w:rsid w:val="00377966"/>
    <w:rsid w:val="003B723C"/>
    <w:rsid w:val="003F4AFA"/>
    <w:rsid w:val="00471B21"/>
    <w:rsid w:val="004856E1"/>
    <w:rsid w:val="004C5693"/>
    <w:rsid w:val="004C5773"/>
    <w:rsid w:val="005028E5"/>
    <w:rsid w:val="00526BDA"/>
    <w:rsid w:val="0053212C"/>
    <w:rsid w:val="0058456D"/>
    <w:rsid w:val="0058587B"/>
    <w:rsid w:val="005C2E29"/>
    <w:rsid w:val="005C55F2"/>
    <w:rsid w:val="005D6A9B"/>
    <w:rsid w:val="005E3C7E"/>
    <w:rsid w:val="006100B5"/>
    <w:rsid w:val="0061058A"/>
    <w:rsid w:val="006328CC"/>
    <w:rsid w:val="006426F9"/>
    <w:rsid w:val="0069659A"/>
    <w:rsid w:val="006C4656"/>
    <w:rsid w:val="006F0E1A"/>
    <w:rsid w:val="00722740"/>
    <w:rsid w:val="007526EA"/>
    <w:rsid w:val="00776876"/>
    <w:rsid w:val="00782E9D"/>
    <w:rsid w:val="007A501F"/>
    <w:rsid w:val="007D2DAD"/>
    <w:rsid w:val="008514D9"/>
    <w:rsid w:val="00881C12"/>
    <w:rsid w:val="0089014D"/>
    <w:rsid w:val="008C151E"/>
    <w:rsid w:val="008F1CCC"/>
    <w:rsid w:val="00953B01"/>
    <w:rsid w:val="009637E2"/>
    <w:rsid w:val="00966B01"/>
    <w:rsid w:val="009B6DCA"/>
    <w:rsid w:val="009D7B10"/>
    <w:rsid w:val="00A07AE7"/>
    <w:rsid w:val="00A20822"/>
    <w:rsid w:val="00A35D47"/>
    <w:rsid w:val="00AA52A8"/>
    <w:rsid w:val="00AD14EC"/>
    <w:rsid w:val="00AD782B"/>
    <w:rsid w:val="00B604EB"/>
    <w:rsid w:val="00BB6732"/>
    <w:rsid w:val="00BB7E60"/>
    <w:rsid w:val="00C13D73"/>
    <w:rsid w:val="00C24FFB"/>
    <w:rsid w:val="00C34D7D"/>
    <w:rsid w:val="00C37532"/>
    <w:rsid w:val="00C41BA1"/>
    <w:rsid w:val="00C811FD"/>
    <w:rsid w:val="00CC1BA3"/>
    <w:rsid w:val="00CD1D27"/>
    <w:rsid w:val="00D060CD"/>
    <w:rsid w:val="00DA74CA"/>
    <w:rsid w:val="00E73B65"/>
    <w:rsid w:val="00EA2D9E"/>
    <w:rsid w:val="00EA5514"/>
    <w:rsid w:val="00F24712"/>
    <w:rsid w:val="00F952FE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D1F6"/>
  <w15:chartTrackingRefBased/>
  <w15:docId w15:val="{899013E9-4C77-40E3-9C37-23AA8AFD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8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253857"/>
    <w:pPr>
      <w:suppressAutoHyphens w:val="0"/>
      <w:spacing w:after="115" w:line="288" w:lineRule="auto"/>
      <w:ind w:firstLine="480"/>
      <w:jc w:val="both"/>
    </w:pPr>
    <w:rPr>
      <w:noProof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1C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C0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Revize">
    <w:name w:val="Revision"/>
    <w:hidden/>
    <w:uiPriority w:val="99"/>
    <w:semiHidden/>
    <w:rsid w:val="001D43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styleId="Mkatabulky">
    <w:name w:val="Table Grid"/>
    <w:basedOn w:val="Normlntabulka"/>
    <w:uiPriority w:val="39"/>
    <w:rsid w:val="00CC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881C12"/>
    <w:pPr>
      <w:widowControl/>
      <w:suppressAutoHyphens w:val="0"/>
      <w:ind w:left="-284" w:right="-284"/>
      <w:jc w:val="both"/>
    </w:pPr>
    <w:rPr>
      <w:rFonts w:ascii="Arial" w:hAnsi="Arial"/>
    </w:rPr>
  </w:style>
  <w:style w:type="character" w:styleId="Hypertextovodkaz">
    <w:name w:val="Hyperlink"/>
    <w:rsid w:val="00881C1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1C1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637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858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587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587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87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Zpat">
    <w:name w:val="footer"/>
    <w:basedOn w:val="Normln"/>
    <w:link w:val="ZpatChar"/>
    <w:uiPriority w:val="99"/>
    <w:semiHidden/>
    <w:unhideWhenUsed/>
    <w:rsid w:val="00953B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3B01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etin.cz/corporate-compliance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256559E862A442AB169D023877E379" ma:contentTypeVersion="28" ma:contentTypeDescription="Vytvoří nový dokument" ma:contentTypeScope="" ma:versionID="385fbcb9847849cf78e209e71583e3b4">
  <xsd:schema xmlns:xsd="http://www.w3.org/2001/XMLSchema" xmlns:xs="http://www.w3.org/2001/XMLSchema" xmlns:p="http://schemas.microsoft.com/office/2006/metadata/properties" xmlns:ns2="932264d4-30cc-42fd-878b-9b0d8d86d948" xmlns:ns3="e5b48115-775c-43cf-a7ea-b8488090628e" targetNamespace="http://schemas.microsoft.com/office/2006/metadata/properties" ma:root="true" ma:fieldsID="71c3df40c7f662e7a5b2601469b27b7d" ns2:_="" ns3:_="">
    <xsd:import namespace="932264d4-30cc-42fd-878b-9b0d8d86d948"/>
    <xsd:import namespace="e5b48115-775c-43cf-a7ea-b848809062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Partner" minOccurs="0"/>
                <xsd:element ref="ns2:SharedWithUsers" minOccurs="0"/>
                <xsd:element ref="ns2:SharedWithDetails" minOccurs="0"/>
                <xsd:element ref="ns3:TicketType" minOccurs="0"/>
                <xsd:element ref="ns3:TicketSubtype" minOccurs="0"/>
                <xsd:element ref="ns3:Responsibl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Osoba" minOccurs="0"/>
                <xsd:element ref="ns3:Datuma_x010d_a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264d4-30cc-42fd-878b-9b0d8d86d9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61ba7c-a68e-4252-aa9f-902bb337b00e}" ma:internalName="TaxCatchAll" ma:showField="CatchAllData" ma:web="932264d4-30cc-42fd-878b-9b0d8d86d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48115-775c-43cf-a7ea-b84880906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Partner" ma:index="13" nillable="true" ma:displayName="Partner" ma:description="ID Partnera" ma:internalName="Partner">
      <xsd:simpleType>
        <xsd:restriction base="dms:Text">
          <xsd:maxLength value="255"/>
        </xsd:restriction>
      </xsd:simpleType>
    </xsd:element>
    <xsd:element name="TicketType" ma:index="16" nillable="true" ma:displayName="Typ požadavku" ma:format="Dropdown" ma:internalName="TicketType">
      <xsd:simpleType>
        <xsd:restriction base="dms:Text">
          <xsd:maxLength value="255"/>
        </xsd:restriction>
      </xsd:simpleType>
    </xsd:element>
    <xsd:element name="TicketSubtype" ma:index="17" nillable="true" ma:displayName="Podtyp požadavku" ma:format="Dropdown" ma:internalName="TicketSubtype">
      <xsd:simpleType>
        <xsd:restriction base="dms:Text">
          <xsd:maxLength value="255"/>
        </xsd:restriction>
      </xsd:simpleType>
    </xsd:element>
    <xsd:element name="Responsible" ma:index="18" nillable="true" ma:displayName="Řešitel požadavku" ma:description="Jméno právníka zodpovědného za Požadavek" ma:format="Dropdown" ma:internalName="Responsible">
      <xsd:simpleType>
        <xsd:restriction base="dms:Text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51048a2f-e562-4cae-bed6-51111b790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  <xsd:element name="Osoba" ma:index="28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a_x010d_as" ma:index="29" nillable="true" ma:displayName="Datum a čas" ma:format="DateOnly" ma:internalName="Datuma_x010d_as">
      <xsd:simpleType>
        <xsd:restriction base="dms:DateTime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e5b48115-775c-43cf-a7ea-b8488090628e">
      <UserInfo>
        <DisplayName/>
        <AccountId xsi:nil="true"/>
        <AccountType/>
      </UserInfo>
    </Osoba>
    <TaxCatchAll xmlns="932264d4-30cc-42fd-878b-9b0d8d86d948" xsi:nil="true"/>
    <lcf76f155ced4ddcb4097134ff3c332f xmlns="e5b48115-775c-43cf-a7ea-b8488090628e">
      <Terms xmlns="http://schemas.microsoft.com/office/infopath/2007/PartnerControls"/>
    </lcf76f155ced4ddcb4097134ff3c332f>
    <Datuma_x010d_as xmlns="e5b48115-775c-43cf-a7ea-b8488090628e" xsi:nil="true"/>
    <TicketType xmlns="e5b48115-775c-43cf-a7ea-b8488090628e" xsi:nil="true"/>
    <TicketSubtype xmlns="e5b48115-775c-43cf-a7ea-b8488090628e" xsi:nil="true"/>
    <Partner xmlns="e5b48115-775c-43cf-a7ea-b8488090628e" xsi:nil="true"/>
    <Responsible xmlns="e5b48115-775c-43cf-a7ea-b8488090628e" xsi:nil="true"/>
    <_dlc_DocId xmlns="932264d4-30cc-42fd-878b-9b0d8d86d948">6MPPK7JW53SQ-2014379194-16599</_dlc_DocId>
    <_dlc_DocIdUrl xmlns="932264d4-30cc-42fd-878b-9b0d8d86d948">
      <Url>https://czcetin.sharepoint.com/sites/APD/_layouts/15/DocIdRedir.aspx?ID=6MPPK7JW53SQ-2014379194-16599</Url>
      <Description>6MPPK7JW53SQ-2014379194-16599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75DE-7C1E-452F-AD07-BC704FD9F3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57E45B-6E06-4784-AED6-F5A8E195A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264d4-30cc-42fd-878b-9b0d8d86d948"/>
    <ds:schemaRef ds:uri="e5b48115-775c-43cf-a7ea-b84880906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6FC9C-81F0-4C62-9D2A-07BA04EF23E7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932264d4-30cc-42fd-878b-9b0d8d86d948"/>
    <ds:schemaRef ds:uri="e5b48115-775c-43cf-a7ea-b8488090628e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13C5F3-237C-4EB6-AA9D-7CE55C3CFC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5FBA38-6A04-493A-B398-5C91CD68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1341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Humpálová</dc:creator>
  <cp:keywords/>
  <dc:description/>
  <cp:lastModifiedBy>Martin Matějka</cp:lastModifiedBy>
  <cp:revision>8</cp:revision>
  <cp:lastPrinted>2024-02-22T07:57:00Z</cp:lastPrinted>
  <dcterms:created xsi:type="dcterms:W3CDTF">2024-01-31T12:39:00Z</dcterms:created>
  <dcterms:modified xsi:type="dcterms:W3CDTF">2024-03-25T11:14:00Z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0x0101005C256559E862A442AB169D023877E379</vt:lpwstr>
  </property>
  <property fmtid="{D5CDD505-2E9C-101B-9397-08002B2CF9AE}" pid="3" name="_dlc_DocIdItemGuid">
    <vt:lpwstr>d5e75cb1-66fc-4049-bca7-0f33c01591b2</vt:lpwstr>
  </property>
  <property fmtid="{D5CDD505-2E9C-101B-9397-08002B2CF9AE}" pid="4" name="MediaServiceImageTags">
    <vt:lpwstr/>
  </property>
  <property fmtid="{D5CDD505-2E9C-101B-9397-08002B2CF9AE}" pid="5" name="MSIP_Label_e7099f2d-ea7e-4ab7-8d9e-5861760b9f7b_Enabled">
    <vt:lpwstr>true</vt:lpwstr>
  </property>
  <property fmtid="{D5CDD505-2E9C-101B-9397-08002B2CF9AE}" pid="6" name="MSIP_Label_e7099f2d-ea7e-4ab7-8d9e-5861760b9f7b_SetDate">
    <vt:lpwstr>2023-11-27T08:09:07Z</vt:lpwstr>
  </property>
  <property fmtid="{D5CDD505-2E9C-101B-9397-08002B2CF9AE}" pid="7" name="MSIP_Label_e7099f2d-ea7e-4ab7-8d9e-5861760b9f7b_Method">
    <vt:lpwstr>Privileged</vt:lpwstr>
  </property>
  <property fmtid="{D5CDD505-2E9C-101B-9397-08002B2CF9AE}" pid="8" name="MSIP_Label_e7099f2d-ea7e-4ab7-8d9e-5861760b9f7b_Name">
    <vt:lpwstr>REMOVE MARKING</vt:lpwstr>
  </property>
  <property fmtid="{D5CDD505-2E9C-101B-9397-08002B2CF9AE}" pid="9" name="MSIP_Label_e7099f2d-ea7e-4ab7-8d9e-5861760b9f7b_SiteId">
    <vt:lpwstr>5d1297a0-4793-467b-b782-9ddf79faa41f</vt:lpwstr>
  </property>
  <property fmtid="{D5CDD505-2E9C-101B-9397-08002B2CF9AE}" pid="10" name="MSIP_Label_e7099f2d-ea7e-4ab7-8d9e-5861760b9f7b_ActionId">
    <vt:lpwstr>2c588512-7d3d-483d-9aad-576401f24820</vt:lpwstr>
  </property>
  <property fmtid="{D5CDD505-2E9C-101B-9397-08002B2CF9AE}" pid="11" name="MSIP_Label_e7099f2d-ea7e-4ab7-8d9e-5861760b9f7b_ContentBits">
    <vt:lpwstr>0</vt:lpwstr>
  </property>
</Properties>
</file>