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8693" w14:textId="29713BF8" w:rsidR="00001874" w:rsidRDefault="00446230">
      <w:r>
        <w:rPr>
          <w:b/>
        </w:rPr>
        <w:t>MSMT-</w:t>
      </w:r>
      <w:r w:rsidR="00136CE9">
        <w:rPr>
          <w:b/>
        </w:rPr>
        <w:t>4452</w:t>
      </w:r>
      <w:r>
        <w:rPr>
          <w:b/>
        </w:rPr>
        <w:t>/202</w:t>
      </w:r>
      <w:r w:rsidR="001B7F45">
        <w:rPr>
          <w:b/>
        </w:rPr>
        <w:t>4</w:t>
      </w:r>
      <w:r>
        <w:rPr>
          <w:b/>
        </w:rPr>
        <w:t>-1</w:t>
      </w:r>
      <w:r w:rsidR="006D2FE5">
        <w:rPr>
          <w:b/>
        </w:rPr>
        <w:tab/>
      </w:r>
      <w:r w:rsidR="006D2FE5">
        <w:t xml:space="preserve">                                                                                                                            </w:t>
      </w:r>
      <w:r w:rsidR="006D2FE5">
        <w:tab/>
      </w:r>
      <w:r w:rsidR="006D2FE5">
        <w:tab/>
      </w:r>
      <w:r w:rsidR="006D2FE5">
        <w:tab/>
      </w:r>
      <w:r w:rsidR="006D2FE5">
        <w:tab/>
      </w:r>
      <w:r w:rsidR="006D2FE5">
        <w:tab/>
      </w:r>
      <w:r w:rsidR="006D2FE5">
        <w:tab/>
      </w:r>
      <w:r w:rsidR="006D2FE5">
        <w:tab/>
      </w:r>
      <w:r w:rsidR="006D2FE5">
        <w:tab/>
      </w:r>
      <w:r w:rsidR="006D2FE5">
        <w:tab/>
      </w:r>
      <w:r w:rsidR="006D2FE5">
        <w:tab/>
        <w:t xml:space="preserve"> </w:t>
      </w:r>
    </w:p>
    <w:p w14:paraId="5F47A378" w14:textId="59DEA4C6" w:rsidR="00001874" w:rsidRPr="00F73F5C" w:rsidRDefault="005D2AA3" w:rsidP="007221C2">
      <w:pPr>
        <w:pStyle w:val="Nzev"/>
        <w:rPr>
          <w:b w:val="0"/>
          <w:bCs/>
          <w:sz w:val="20"/>
        </w:rPr>
      </w:pPr>
      <w:r w:rsidRPr="005D2AA3">
        <w:rPr>
          <w:sz w:val="28"/>
          <w:szCs w:val="28"/>
        </w:rPr>
        <w:t xml:space="preserve">Dodatek č. </w:t>
      </w:r>
      <w:r w:rsidR="006B11EB">
        <w:rPr>
          <w:sz w:val="28"/>
          <w:szCs w:val="28"/>
        </w:rPr>
        <w:t>1</w:t>
      </w:r>
      <w:r w:rsidR="001B7F45">
        <w:rPr>
          <w:sz w:val="28"/>
          <w:szCs w:val="28"/>
        </w:rPr>
        <w:t>2</w:t>
      </w:r>
      <w:r w:rsidRPr="005D2AA3">
        <w:rPr>
          <w:sz w:val="28"/>
          <w:szCs w:val="28"/>
        </w:rPr>
        <w:t xml:space="preserve"> ke </w:t>
      </w:r>
      <w:r w:rsidR="009C43AD">
        <w:rPr>
          <w:sz w:val="28"/>
          <w:szCs w:val="28"/>
        </w:rPr>
        <w:t xml:space="preserve">Smlouvě o údržbě programového vybavení PIS </w:t>
      </w:r>
      <w:proofErr w:type="spellStart"/>
      <w:r w:rsidR="009C43AD">
        <w:rPr>
          <w:sz w:val="28"/>
          <w:szCs w:val="28"/>
        </w:rPr>
        <w:t>OKinfo</w:t>
      </w:r>
      <w:proofErr w:type="spellEnd"/>
    </w:p>
    <w:p w14:paraId="5A572C47" w14:textId="77777777" w:rsidR="00001874" w:rsidRDefault="00001874">
      <w:pPr>
        <w:jc w:val="both"/>
        <w:rPr>
          <w:b/>
          <w:bCs/>
        </w:rPr>
      </w:pPr>
    </w:p>
    <w:p w14:paraId="5D4A7908" w14:textId="77777777" w:rsidR="007221C2" w:rsidRPr="003A04C5" w:rsidRDefault="006D43AE" w:rsidP="007221C2">
      <w:pPr>
        <w:pStyle w:val="Nadpis5"/>
        <w:spacing w:after="120"/>
        <w:rPr>
          <w:b w:val="0"/>
          <w:szCs w:val="24"/>
        </w:rPr>
      </w:pPr>
      <w:r>
        <w:rPr>
          <w:b w:val="0"/>
          <w:szCs w:val="24"/>
        </w:rPr>
        <w:t>S</w:t>
      </w:r>
      <w:r w:rsidR="007221C2" w:rsidRPr="003A04C5">
        <w:rPr>
          <w:b w:val="0"/>
          <w:szCs w:val="24"/>
        </w:rPr>
        <w:t>mluvní strany:</w:t>
      </w:r>
    </w:p>
    <w:p w14:paraId="0D120E90" w14:textId="77777777" w:rsidR="007221C2" w:rsidRPr="003A04C5" w:rsidRDefault="007221C2" w:rsidP="007221C2">
      <w:pPr>
        <w:jc w:val="both"/>
      </w:pPr>
      <w:r w:rsidRPr="003A04C5">
        <w:rPr>
          <w:b/>
          <w:bCs/>
        </w:rPr>
        <w:t xml:space="preserve">1. </w:t>
      </w:r>
      <w:r w:rsidRPr="003A04C5">
        <w:rPr>
          <w:b/>
        </w:rPr>
        <w:t>Česká republika – Ministerstvo školství, mládeže a tělovýchovy</w:t>
      </w:r>
    </w:p>
    <w:p w14:paraId="08C557F3" w14:textId="77777777" w:rsidR="007221C2" w:rsidRPr="003A04C5" w:rsidRDefault="007221C2" w:rsidP="007221C2">
      <w:pPr>
        <w:jc w:val="both"/>
      </w:pPr>
      <w:r w:rsidRPr="003A04C5">
        <w:rPr>
          <w:bCs/>
        </w:rPr>
        <w:t>Se sídlem:</w:t>
      </w:r>
      <w:r w:rsidRPr="003A04C5">
        <w:rPr>
          <w:bCs/>
        </w:rPr>
        <w:tab/>
      </w:r>
      <w:r w:rsidRPr="003A04C5">
        <w:rPr>
          <w:bCs/>
        </w:rPr>
        <w:tab/>
      </w:r>
      <w:r w:rsidRPr="003A04C5">
        <w:rPr>
          <w:bCs/>
        </w:rPr>
        <w:tab/>
      </w:r>
      <w:r w:rsidRPr="003A04C5">
        <w:t xml:space="preserve">Karmelitská 529/5, 118 12, Praha 1 </w:t>
      </w:r>
    </w:p>
    <w:p w14:paraId="4EB00C9C" w14:textId="31A0136D" w:rsidR="00626824" w:rsidRDefault="007221C2" w:rsidP="007221C2">
      <w:pPr>
        <w:ind w:left="2835" w:hanging="2835"/>
        <w:jc w:val="both"/>
      </w:pPr>
      <w:r w:rsidRPr="003A04C5">
        <w:rPr>
          <w:bCs/>
        </w:rPr>
        <w:t>Jejímž jménem jedná:</w:t>
      </w:r>
      <w:r w:rsidRPr="003A04C5">
        <w:rPr>
          <w:bCs/>
        </w:rPr>
        <w:tab/>
      </w:r>
      <w:r w:rsidR="00B844E2">
        <w:t xml:space="preserve">Ing. </w:t>
      </w:r>
      <w:r w:rsidR="00626824">
        <w:t xml:space="preserve">Václav </w:t>
      </w:r>
      <w:proofErr w:type="gramStart"/>
      <w:r w:rsidR="00626824">
        <w:t>Jelen</w:t>
      </w:r>
      <w:r w:rsidR="00B844E2">
        <w:t xml:space="preserve">, </w:t>
      </w:r>
      <w:r w:rsidR="00842A97">
        <w:t xml:space="preserve"> </w:t>
      </w:r>
      <w:r w:rsidR="00626824">
        <w:t>vrchní</w:t>
      </w:r>
      <w:proofErr w:type="gramEnd"/>
      <w:r w:rsidR="00626824">
        <w:t xml:space="preserve"> </w:t>
      </w:r>
      <w:r w:rsidR="00B844E2" w:rsidRPr="00842A97">
        <w:t xml:space="preserve">ředitel </w:t>
      </w:r>
      <w:r w:rsidR="00626824">
        <w:t xml:space="preserve">sekce </w:t>
      </w:r>
      <w:r w:rsidR="00B844E2" w:rsidRPr="00842A97">
        <w:t>informatiky</w:t>
      </w:r>
      <w:r w:rsidR="00626824">
        <w:t>, statistiky</w:t>
      </w:r>
    </w:p>
    <w:p w14:paraId="15CBAA25" w14:textId="2FAE38FD" w:rsidR="007221C2" w:rsidRPr="003A04C5" w:rsidRDefault="00626824" w:rsidP="00853789">
      <w:pPr>
        <w:ind w:left="2835" w:hanging="3"/>
        <w:jc w:val="both"/>
        <w:rPr>
          <w:bCs/>
        </w:rPr>
      </w:pPr>
      <w:r>
        <w:t>a analýz</w:t>
      </w:r>
    </w:p>
    <w:p w14:paraId="414B0F01" w14:textId="77777777" w:rsidR="007221C2" w:rsidRPr="003A04C5" w:rsidRDefault="007221C2" w:rsidP="007221C2">
      <w:pPr>
        <w:ind w:left="2835" w:hanging="2835"/>
        <w:jc w:val="both"/>
        <w:rPr>
          <w:bCs/>
          <w:i/>
        </w:rPr>
      </w:pPr>
      <w:r w:rsidRPr="003A04C5">
        <w:rPr>
          <w:bCs/>
        </w:rPr>
        <w:t xml:space="preserve">IČO: </w:t>
      </w:r>
      <w:r w:rsidRPr="003A04C5">
        <w:rPr>
          <w:bCs/>
        </w:rPr>
        <w:tab/>
      </w:r>
      <w:r w:rsidRPr="003A04C5">
        <w:t>00022985</w:t>
      </w:r>
      <w:r w:rsidRPr="003A04C5">
        <w:rPr>
          <w:bCs/>
          <w:i/>
        </w:rPr>
        <w:tab/>
      </w:r>
      <w:r w:rsidRPr="003A04C5">
        <w:rPr>
          <w:bCs/>
          <w:i/>
        </w:rPr>
        <w:tab/>
      </w:r>
    </w:p>
    <w:p w14:paraId="778B70BA" w14:textId="6F76E59E" w:rsidR="007221C2" w:rsidRPr="003A04C5" w:rsidRDefault="007221C2" w:rsidP="007221C2">
      <w:pPr>
        <w:ind w:left="2835" w:hanging="2835"/>
        <w:jc w:val="both"/>
      </w:pPr>
      <w:r w:rsidRPr="003A04C5">
        <w:t>Kontaktní osoba:</w:t>
      </w:r>
      <w:r w:rsidRPr="003A04C5">
        <w:tab/>
      </w:r>
      <w:proofErr w:type="spellStart"/>
      <w:r w:rsidR="004964BC">
        <w:t>xxxxxxxxxxxxxx</w:t>
      </w:r>
      <w:proofErr w:type="spellEnd"/>
    </w:p>
    <w:p w14:paraId="3B7087D5" w14:textId="77777777" w:rsidR="007221C2" w:rsidRPr="003A04C5" w:rsidRDefault="007221C2" w:rsidP="007221C2">
      <w:pPr>
        <w:jc w:val="both"/>
      </w:pPr>
      <w:r w:rsidRPr="003A04C5">
        <w:t xml:space="preserve">Telefonické, faxové a e-mailové spojení: </w:t>
      </w:r>
    </w:p>
    <w:p w14:paraId="6717BE62" w14:textId="4732B8F6" w:rsidR="007221C2" w:rsidRPr="003A04C5" w:rsidRDefault="007221C2" w:rsidP="007221C2">
      <w:pPr>
        <w:jc w:val="both"/>
      </w:pPr>
      <w:r w:rsidRPr="003A04C5">
        <w:rPr>
          <w:b/>
        </w:rPr>
        <w:t xml:space="preserve"> </w:t>
      </w:r>
      <w:r w:rsidRPr="003A04C5">
        <w:rPr>
          <w:b/>
        </w:rPr>
        <w:tab/>
      </w:r>
      <w:r w:rsidRPr="003A04C5">
        <w:rPr>
          <w:b/>
        </w:rPr>
        <w:tab/>
      </w:r>
      <w:r w:rsidRPr="003A04C5">
        <w:rPr>
          <w:b/>
        </w:rPr>
        <w:tab/>
      </w:r>
      <w:r w:rsidRPr="003A04C5">
        <w:rPr>
          <w:b/>
        </w:rPr>
        <w:tab/>
      </w:r>
      <w:proofErr w:type="gramStart"/>
      <w:r w:rsidRPr="003A04C5">
        <w:t xml:space="preserve">telefon:  </w:t>
      </w:r>
      <w:bookmarkStart w:id="0" w:name="_Hlk70407392"/>
      <w:r w:rsidRPr="003A04C5">
        <w:t>+</w:t>
      </w:r>
      <w:bookmarkEnd w:id="0"/>
      <w:proofErr w:type="spellStart"/>
      <w:proofErr w:type="gramEnd"/>
      <w:r w:rsidR="004964BC">
        <w:t>xxx</w:t>
      </w:r>
      <w:proofErr w:type="spellEnd"/>
      <w:r w:rsidR="004964BC">
        <w:t xml:space="preserve"> </w:t>
      </w:r>
      <w:proofErr w:type="spellStart"/>
      <w:r w:rsidR="004964BC">
        <w:t>xxx</w:t>
      </w:r>
      <w:proofErr w:type="spellEnd"/>
      <w:r w:rsidR="004964BC">
        <w:t xml:space="preserve"> </w:t>
      </w:r>
      <w:proofErr w:type="spellStart"/>
      <w:r w:rsidR="004964BC">
        <w:t>xxx</w:t>
      </w:r>
      <w:proofErr w:type="spellEnd"/>
      <w:r w:rsidR="004964BC">
        <w:t xml:space="preserve"> </w:t>
      </w:r>
      <w:proofErr w:type="spellStart"/>
      <w:r w:rsidR="004964BC">
        <w:t>xxx</w:t>
      </w:r>
      <w:proofErr w:type="spellEnd"/>
    </w:p>
    <w:p w14:paraId="14EFA4CC" w14:textId="5AA34498" w:rsidR="007221C2" w:rsidRPr="003A04C5" w:rsidRDefault="007221C2" w:rsidP="007221C2">
      <w:pPr>
        <w:jc w:val="both"/>
      </w:pPr>
      <w:r w:rsidRPr="003A04C5">
        <w:tab/>
      </w:r>
      <w:r w:rsidRPr="003A04C5">
        <w:tab/>
      </w:r>
      <w:r w:rsidRPr="003A04C5">
        <w:tab/>
      </w:r>
      <w:r w:rsidRPr="003A04C5">
        <w:tab/>
      </w:r>
      <w:proofErr w:type="gramStart"/>
      <w:r w:rsidRPr="003A04C5">
        <w:rPr>
          <w:bCs/>
        </w:rPr>
        <w:t xml:space="preserve">e-mail:   </w:t>
      </w:r>
      <w:bookmarkStart w:id="1" w:name="_Hlk70407368"/>
      <w:proofErr w:type="gramEnd"/>
      <w:r w:rsidR="004964BC">
        <w:t>xxxxxxxxxx</w:t>
      </w:r>
      <w:r w:rsidRPr="003A04C5">
        <w:t>@msmt.cz</w:t>
      </w:r>
      <w:bookmarkEnd w:id="1"/>
    </w:p>
    <w:p w14:paraId="4891EEDD" w14:textId="77777777" w:rsidR="007221C2" w:rsidRPr="003A04C5" w:rsidRDefault="007221C2" w:rsidP="007221C2">
      <w:pPr>
        <w:jc w:val="both"/>
        <w:outlineLvl w:val="0"/>
      </w:pPr>
      <w:r w:rsidRPr="003A04C5">
        <w:t>(dále jen „</w:t>
      </w:r>
      <w:r>
        <w:t>uživatel</w:t>
      </w:r>
      <w:r w:rsidRPr="003A04C5">
        <w:t>”)</w:t>
      </w:r>
    </w:p>
    <w:p w14:paraId="21857C70" w14:textId="77777777" w:rsidR="007221C2" w:rsidRDefault="007221C2" w:rsidP="007221C2">
      <w:pPr>
        <w:pStyle w:val="Normln1"/>
        <w:tabs>
          <w:tab w:val="left" w:pos="1800"/>
          <w:tab w:val="left" w:pos="2160"/>
        </w:tabs>
        <w:spacing w:after="120"/>
        <w:rPr>
          <w:szCs w:val="24"/>
        </w:rPr>
      </w:pPr>
    </w:p>
    <w:p w14:paraId="19039A99" w14:textId="77777777" w:rsidR="007221C2" w:rsidRDefault="007221C2" w:rsidP="007221C2">
      <w:pPr>
        <w:pStyle w:val="Normln1"/>
        <w:tabs>
          <w:tab w:val="left" w:pos="1800"/>
          <w:tab w:val="left" w:pos="2160"/>
        </w:tabs>
        <w:spacing w:after="120"/>
        <w:rPr>
          <w:szCs w:val="24"/>
        </w:rPr>
      </w:pPr>
      <w:r>
        <w:rPr>
          <w:szCs w:val="24"/>
        </w:rPr>
        <w:t>a</w:t>
      </w:r>
    </w:p>
    <w:p w14:paraId="3A4EA51E" w14:textId="77777777" w:rsidR="007221C2" w:rsidRPr="003A04C5" w:rsidRDefault="007221C2" w:rsidP="007221C2">
      <w:pPr>
        <w:pStyle w:val="Normln1"/>
        <w:tabs>
          <w:tab w:val="left" w:pos="1800"/>
          <w:tab w:val="left" w:pos="2160"/>
        </w:tabs>
        <w:spacing w:after="120"/>
        <w:rPr>
          <w:szCs w:val="24"/>
        </w:rPr>
      </w:pPr>
    </w:p>
    <w:p w14:paraId="762138F3" w14:textId="77777777" w:rsidR="007221C2" w:rsidRPr="003A04C5" w:rsidRDefault="007221C2" w:rsidP="007221C2">
      <w:pPr>
        <w:tabs>
          <w:tab w:val="left" w:pos="2268"/>
        </w:tabs>
        <w:jc w:val="both"/>
        <w:rPr>
          <w:b/>
          <w:bCs/>
          <w:iCs/>
          <w:color w:val="000000"/>
        </w:rPr>
      </w:pPr>
      <w:r w:rsidRPr="003A04C5">
        <w:rPr>
          <w:b/>
          <w:color w:val="000000"/>
        </w:rPr>
        <w:t>2</w:t>
      </w:r>
      <w:r w:rsidRPr="003A04C5">
        <w:rPr>
          <w:b/>
          <w:bCs/>
          <w:color w:val="000000"/>
        </w:rPr>
        <w:t xml:space="preserve">. </w:t>
      </w:r>
      <w:proofErr w:type="spellStart"/>
      <w:r w:rsidRPr="003A04C5">
        <w:rPr>
          <w:b/>
        </w:rPr>
        <w:t>OKsystem</w:t>
      </w:r>
      <w:proofErr w:type="spellEnd"/>
      <w:r w:rsidRPr="003A04C5">
        <w:rPr>
          <w:b/>
        </w:rPr>
        <w:t xml:space="preserve"> a.s.</w:t>
      </w:r>
    </w:p>
    <w:p w14:paraId="7392C64C" w14:textId="77777777" w:rsidR="007221C2" w:rsidRPr="003A04C5" w:rsidRDefault="007221C2" w:rsidP="007221C2">
      <w:pPr>
        <w:jc w:val="both"/>
      </w:pPr>
      <w:r w:rsidRPr="003A04C5">
        <w:t xml:space="preserve">Se sídlem: </w:t>
      </w:r>
      <w:r w:rsidRPr="003A04C5">
        <w:tab/>
      </w:r>
      <w:r w:rsidRPr="003A04C5">
        <w:tab/>
      </w:r>
      <w:r w:rsidRPr="003A04C5">
        <w:tab/>
        <w:t>Na Pankráci 1690/125, 140 21 Praha 4</w:t>
      </w:r>
      <w:r w:rsidRPr="003A04C5">
        <w:tab/>
      </w:r>
      <w:r w:rsidRPr="003A04C5">
        <w:tab/>
      </w:r>
    </w:p>
    <w:p w14:paraId="60CE53E8" w14:textId="77777777" w:rsidR="007221C2" w:rsidRPr="003A04C5" w:rsidRDefault="007221C2" w:rsidP="007221C2">
      <w:pPr>
        <w:ind w:left="2832" w:hanging="2832"/>
        <w:jc w:val="both"/>
      </w:pPr>
      <w:r w:rsidRPr="003A04C5">
        <w:t xml:space="preserve">Zapsaný: </w:t>
      </w:r>
      <w:r w:rsidRPr="003A04C5">
        <w:tab/>
        <w:t>v OR vedeném u Městského soudu v Praze, oddíl B, vložka 2026</w:t>
      </w:r>
    </w:p>
    <w:p w14:paraId="6675E6B0" w14:textId="7E06404B" w:rsidR="007221C2" w:rsidRPr="003A04C5" w:rsidRDefault="007221C2" w:rsidP="007221C2">
      <w:pPr>
        <w:jc w:val="both"/>
      </w:pPr>
      <w:r w:rsidRPr="003A04C5">
        <w:t>Jednající:</w:t>
      </w:r>
      <w:r w:rsidRPr="003A04C5">
        <w:tab/>
      </w:r>
      <w:r w:rsidRPr="003A04C5">
        <w:tab/>
      </w:r>
      <w:r w:rsidRPr="003A04C5">
        <w:tab/>
        <w:t xml:space="preserve">Ing. </w:t>
      </w:r>
      <w:r w:rsidR="001E765D">
        <w:t xml:space="preserve">Vítězslav </w:t>
      </w:r>
      <w:proofErr w:type="spellStart"/>
      <w:r w:rsidR="001E765D">
        <w:t>Ciml</w:t>
      </w:r>
      <w:proofErr w:type="spellEnd"/>
      <w:r w:rsidRPr="003A04C5">
        <w:t xml:space="preserve">, </w:t>
      </w:r>
      <w:r w:rsidR="001E765D">
        <w:t>místo</w:t>
      </w:r>
      <w:r w:rsidRPr="003A04C5">
        <w:t>předseda představenstva</w:t>
      </w:r>
      <w:r w:rsidRPr="003A04C5">
        <w:tab/>
      </w:r>
      <w:r w:rsidRPr="003A04C5">
        <w:tab/>
      </w:r>
    </w:p>
    <w:p w14:paraId="541FCDFF" w14:textId="77777777" w:rsidR="007221C2" w:rsidRPr="003A04C5" w:rsidRDefault="007221C2" w:rsidP="007221C2">
      <w:pPr>
        <w:jc w:val="both"/>
      </w:pPr>
      <w:r w:rsidRPr="003A04C5">
        <w:t>IČO:</w:t>
      </w:r>
      <w:r w:rsidRPr="003A04C5">
        <w:tab/>
      </w:r>
      <w:r w:rsidRPr="003A04C5">
        <w:tab/>
      </w:r>
      <w:r w:rsidRPr="003A04C5">
        <w:tab/>
      </w:r>
      <w:r w:rsidRPr="003A04C5">
        <w:tab/>
        <w:t>27373665</w:t>
      </w:r>
      <w:r w:rsidRPr="003A04C5">
        <w:tab/>
      </w:r>
      <w:r w:rsidRPr="003A04C5">
        <w:tab/>
      </w:r>
    </w:p>
    <w:p w14:paraId="632E843B" w14:textId="77777777" w:rsidR="007221C2" w:rsidRPr="003A04C5" w:rsidRDefault="007221C2" w:rsidP="007221C2">
      <w:pPr>
        <w:jc w:val="both"/>
      </w:pPr>
      <w:r w:rsidRPr="003A04C5">
        <w:t>DIČ:</w:t>
      </w:r>
      <w:r w:rsidRPr="003A04C5">
        <w:tab/>
      </w:r>
      <w:r w:rsidRPr="003A04C5">
        <w:tab/>
      </w:r>
      <w:r w:rsidRPr="003A04C5">
        <w:tab/>
      </w:r>
      <w:r w:rsidRPr="003A04C5">
        <w:tab/>
        <w:t>CZ27373665</w:t>
      </w:r>
    </w:p>
    <w:p w14:paraId="0A93A80C" w14:textId="77777777" w:rsidR="007221C2" w:rsidRPr="003A04C5" w:rsidRDefault="007221C2" w:rsidP="007221C2">
      <w:pPr>
        <w:jc w:val="both"/>
      </w:pPr>
      <w:r w:rsidRPr="003A04C5">
        <w:t xml:space="preserve">Bankovní </w:t>
      </w:r>
      <w:proofErr w:type="gramStart"/>
      <w:r w:rsidRPr="003A04C5">
        <w:t xml:space="preserve">spojení:  </w:t>
      </w:r>
      <w:r w:rsidRPr="003A04C5">
        <w:tab/>
      </w:r>
      <w:proofErr w:type="gramEnd"/>
      <w:r w:rsidRPr="003A04C5">
        <w:tab/>
      </w:r>
      <w:proofErr w:type="spellStart"/>
      <w:r w:rsidRPr="003A04C5">
        <w:t>UniCredit</w:t>
      </w:r>
      <w:proofErr w:type="spellEnd"/>
      <w:r w:rsidRPr="003A04C5">
        <w:t xml:space="preserve"> Bank Czech Republic, a.s.  </w:t>
      </w:r>
    </w:p>
    <w:p w14:paraId="5DA29B51" w14:textId="77777777" w:rsidR="007221C2" w:rsidRPr="003A04C5" w:rsidRDefault="007221C2" w:rsidP="007221C2">
      <w:pPr>
        <w:jc w:val="both"/>
        <w:rPr>
          <w:iCs/>
          <w:color w:val="000000"/>
        </w:rPr>
      </w:pPr>
      <w:r w:rsidRPr="003A04C5">
        <w:t>Číslo účtu:</w:t>
      </w:r>
      <w:r w:rsidRPr="003A04C5">
        <w:tab/>
      </w:r>
      <w:r w:rsidRPr="003A04C5">
        <w:tab/>
      </w:r>
      <w:r w:rsidRPr="003A04C5">
        <w:tab/>
        <w:t>48973004/2700</w:t>
      </w:r>
      <w:r w:rsidRPr="003A04C5">
        <w:tab/>
      </w:r>
      <w:r w:rsidRPr="003A04C5">
        <w:rPr>
          <w:iCs/>
          <w:color w:val="000000"/>
        </w:rPr>
        <w:tab/>
      </w:r>
    </w:p>
    <w:p w14:paraId="422D4CCA" w14:textId="2F48A433" w:rsidR="007221C2" w:rsidRPr="00940578" w:rsidRDefault="001E765D" w:rsidP="007221C2">
      <w:pPr>
        <w:jc w:val="both"/>
      </w:pPr>
      <w:r>
        <w:t>Kontaktní osoba</w:t>
      </w:r>
      <w:r w:rsidR="007221C2" w:rsidRPr="003A04C5">
        <w:t>:</w:t>
      </w:r>
      <w:r>
        <w:tab/>
      </w:r>
      <w:r>
        <w:tab/>
      </w:r>
      <w:r w:rsidR="007221C2" w:rsidRPr="003A04C5">
        <w:t xml:space="preserve"> </w:t>
      </w:r>
      <w:proofErr w:type="spellStart"/>
      <w:r w:rsidR="004964BC" w:rsidRPr="004964BC">
        <w:t>xxxxxxxxxxxxxx</w:t>
      </w:r>
      <w:proofErr w:type="spellEnd"/>
    </w:p>
    <w:p w14:paraId="5EE7BD78" w14:textId="77777777" w:rsidR="007221C2" w:rsidRPr="00940578" w:rsidRDefault="007221C2" w:rsidP="007221C2">
      <w:pPr>
        <w:jc w:val="both"/>
      </w:pPr>
      <w:r w:rsidRPr="00940578">
        <w:t>Telefonické a e-mailové spojení:</w:t>
      </w:r>
    </w:p>
    <w:p w14:paraId="7B5C877F" w14:textId="41BAB50D" w:rsidR="007221C2" w:rsidRPr="00940578" w:rsidRDefault="007221C2" w:rsidP="007221C2">
      <w:pPr>
        <w:jc w:val="both"/>
      </w:pPr>
      <w:r w:rsidRPr="00940578">
        <w:tab/>
      </w:r>
      <w:r w:rsidRPr="00940578">
        <w:tab/>
      </w:r>
      <w:r w:rsidRPr="00940578">
        <w:tab/>
      </w:r>
      <w:r w:rsidRPr="00940578">
        <w:tab/>
        <w:t xml:space="preserve">telefon: </w:t>
      </w:r>
      <w:r w:rsidR="00940578">
        <w:t>+</w:t>
      </w:r>
      <w:r w:rsidR="004964BC" w:rsidRPr="004964BC">
        <w:t xml:space="preserve"> </w:t>
      </w:r>
      <w:proofErr w:type="spellStart"/>
      <w:r w:rsidR="004964BC" w:rsidRPr="004964BC">
        <w:t>xxxxxxxxxxxxxx</w:t>
      </w:r>
      <w:proofErr w:type="spellEnd"/>
      <w:r w:rsidRPr="00940578">
        <w:tab/>
        <w:t xml:space="preserve"> </w:t>
      </w:r>
    </w:p>
    <w:p w14:paraId="7A54342C" w14:textId="08AD6FC9" w:rsidR="007221C2" w:rsidRDefault="007221C2" w:rsidP="004964BC">
      <w:pPr>
        <w:jc w:val="both"/>
        <w:rPr>
          <w:bCs/>
          <w:i/>
          <w:lang w:eastAsia="en-US"/>
        </w:rPr>
      </w:pPr>
      <w:r w:rsidRPr="00940578">
        <w:tab/>
      </w:r>
      <w:r w:rsidRPr="00940578">
        <w:tab/>
      </w:r>
      <w:r w:rsidRPr="00940578">
        <w:tab/>
      </w:r>
      <w:r w:rsidRPr="00940578">
        <w:tab/>
        <w:t>e-mail:</w:t>
      </w:r>
      <w:r w:rsidRPr="00940578">
        <w:tab/>
        <w:t xml:space="preserve"> </w:t>
      </w:r>
      <w:proofErr w:type="spellStart"/>
      <w:r w:rsidR="004964BC" w:rsidRPr="004964BC">
        <w:t>xxxxxxxxxxxxxx</w:t>
      </w:r>
      <w:proofErr w:type="spellEnd"/>
      <w:r w:rsidR="004964BC" w:rsidRPr="004964BC">
        <w:t xml:space="preserve"> </w:t>
      </w:r>
      <w:r w:rsidRPr="003A04C5">
        <w:rPr>
          <w:bCs/>
        </w:rPr>
        <w:t>(dále jen</w:t>
      </w:r>
      <w:r w:rsidRPr="003A04C5">
        <w:rPr>
          <w:b/>
        </w:rPr>
        <w:t xml:space="preserve"> </w:t>
      </w:r>
      <w:r w:rsidRPr="003A04C5">
        <w:rPr>
          <w:bCs/>
        </w:rPr>
        <w:t>„</w:t>
      </w:r>
      <w:r>
        <w:rPr>
          <w:bCs/>
        </w:rPr>
        <w:t>dodavatel</w:t>
      </w:r>
      <w:r w:rsidRPr="003A04C5">
        <w:rPr>
          <w:bCs/>
        </w:rPr>
        <w:t>“)</w:t>
      </w:r>
      <w:r w:rsidRPr="003A04C5">
        <w:rPr>
          <w:bCs/>
          <w:i/>
          <w:lang w:eastAsia="en-US"/>
        </w:rPr>
        <w:t xml:space="preserve"> </w:t>
      </w:r>
    </w:p>
    <w:p w14:paraId="0B6265DD" w14:textId="77777777" w:rsidR="007221C2" w:rsidRDefault="007221C2" w:rsidP="007221C2">
      <w:pPr>
        <w:pStyle w:val="Zpat"/>
        <w:tabs>
          <w:tab w:val="clear" w:pos="4536"/>
          <w:tab w:val="clear" w:pos="9072"/>
          <w:tab w:val="left" w:pos="2160"/>
        </w:tabs>
        <w:rPr>
          <w:bCs/>
          <w:i/>
          <w:lang w:eastAsia="en-US"/>
        </w:rPr>
      </w:pPr>
    </w:p>
    <w:p w14:paraId="58EA75B9" w14:textId="77777777" w:rsidR="007221C2" w:rsidRPr="003A04C5" w:rsidRDefault="007221C2" w:rsidP="007221C2">
      <w:pPr>
        <w:pStyle w:val="Zpat"/>
        <w:tabs>
          <w:tab w:val="clear" w:pos="4536"/>
          <w:tab w:val="clear" w:pos="9072"/>
          <w:tab w:val="left" w:pos="2160"/>
        </w:tabs>
        <w:rPr>
          <w:bCs/>
          <w:i/>
          <w:lang w:eastAsia="en-US"/>
        </w:rPr>
      </w:pPr>
    </w:p>
    <w:p w14:paraId="35B31B04" w14:textId="06EFC90C" w:rsidR="005D2AA3" w:rsidRDefault="006D43AE" w:rsidP="00AA1C7C">
      <w:pPr>
        <w:spacing w:line="240" w:lineRule="auto"/>
        <w:jc w:val="both"/>
      </w:pPr>
      <w:r>
        <w:t>s</w:t>
      </w:r>
      <w:r w:rsidR="00237411">
        <w:t xml:space="preserve">e níže uvedeného dne, měsíce a roku </w:t>
      </w:r>
      <w:r w:rsidR="00425E99">
        <w:t xml:space="preserve">na základě vzájemného konsenzu dohodly na uzavření </w:t>
      </w:r>
      <w:r w:rsidR="008073BD">
        <w:t xml:space="preserve">Dodatku č. </w:t>
      </w:r>
      <w:r w:rsidR="00273E0D">
        <w:t>1</w:t>
      </w:r>
      <w:r w:rsidR="00EA668C">
        <w:t>2</w:t>
      </w:r>
      <w:r w:rsidR="002C4269">
        <w:t xml:space="preserve"> ke „Smlouvě o údržbě programového vybavení PIS </w:t>
      </w:r>
      <w:proofErr w:type="spellStart"/>
      <w:r w:rsidR="002C4269">
        <w:t>OKinfo</w:t>
      </w:r>
      <w:proofErr w:type="spellEnd"/>
      <w:r w:rsidR="002C4269">
        <w:t xml:space="preserve">“, ve znění Dodatku č. 1 ze dne 16. 10. 2007, </w:t>
      </w:r>
      <w:r w:rsidR="00E71E13">
        <w:t>Dodatku č. 2 ze dne 28. 8. 2008, Dodatku č. 3</w:t>
      </w:r>
      <w:r w:rsidR="00EF594A">
        <w:t xml:space="preserve"> ze dne 2</w:t>
      </w:r>
      <w:r w:rsidR="00C52D77">
        <w:t>9</w:t>
      </w:r>
      <w:r w:rsidR="00EF594A">
        <w:t>. 6. 2010, Do</w:t>
      </w:r>
      <w:r w:rsidR="009B1E96">
        <w:t>datku č. 4 ze dne 1</w:t>
      </w:r>
      <w:r w:rsidR="00C52D77">
        <w:t>2</w:t>
      </w:r>
      <w:r w:rsidR="009B1E96">
        <w:t xml:space="preserve">. 12. 2012, </w:t>
      </w:r>
      <w:r w:rsidR="008073BD">
        <w:t>Dodatku č. 5 ze dne 8. 4. 2015,</w:t>
      </w:r>
      <w:r w:rsidR="009B1E96">
        <w:t xml:space="preserve"> Dodatku č. 6 ze dne </w:t>
      </w:r>
      <w:r w:rsidR="005B5119">
        <w:br/>
      </w:r>
      <w:r w:rsidR="009B1E96">
        <w:t>1. 6. 2016</w:t>
      </w:r>
      <w:r w:rsidR="002C3DFF">
        <w:t xml:space="preserve">, </w:t>
      </w:r>
      <w:r w:rsidR="008073BD">
        <w:t xml:space="preserve">Dodatku č. 7 ze dne </w:t>
      </w:r>
      <w:r w:rsidR="00B844E2">
        <w:t>7</w:t>
      </w:r>
      <w:r w:rsidR="008073BD">
        <w:t xml:space="preserve">. </w:t>
      </w:r>
      <w:r w:rsidR="007F6AA8">
        <w:t>1</w:t>
      </w:r>
      <w:r w:rsidR="00B844E2">
        <w:t>2</w:t>
      </w:r>
      <w:r w:rsidR="008073BD">
        <w:t>. 2017</w:t>
      </w:r>
      <w:r w:rsidR="00273E0D">
        <w:t xml:space="preserve">, </w:t>
      </w:r>
      <w:r w:rsidR="002C3DFF" w:rsidRPr="006A102A">
        <w:t xml:space="preserve">Dodatku č.8 ze dne </w:t>
      </w:r>
      <w:r w:rsidR="006A102A" w:rsidRPr="006A102A">
        <w:t>27. 12. 2021</w:t>
      </w:r>
      <w:r w:rsidR="00DC742C">
        <w:t>,</w:t>
      </w:r>
      <w:r w:rsidR="00273E0D">
        <w:t xml:space="preserve"> </w:t>
      </w:r>
      <w:r w:rsidR="00273E0D" w:rsidRPr="006A102A">
        <w:t>Dodatku č.</w:t>
      </w:r>
      <w:r w:rsidR="00273E0D">
        <w:t>9</w:t>
      </w:r>
      <w:r w:rsidR="00273E0D" w:rsidRPr="006A102A">
        <w:t xml:space="preserve"> ze dne </w:t>
      </w:r>
      <w:r w:rsidR="00DC742C">
        <w:t>31</w:t>
      </w:r>
      <w:r w:rsidR="00DC742C" w:rsidRPr="005465EE">
        <w:t xml:space="preserve">. </w:t>
      </w:r>
      <w:r w:rsidR="00DC742C">
        <w:t>8</w:t>
      </w:r>
      <w:r w:rsidR="00DC742C" w:rsidRPr="005465EE">
        <w:t>. 202</w:t>
      </w:r>
      <w:r w:rsidR="00DC742C">
        <w:t>2</w:t>
      </w:r>
      <w:r w:rsidR="00627F1E">
        <w:t>, D</w:t>
      </w:r>
      <w:r w:rsidR="00DC742C" w:rsidRPr="005465EE">
        <w:t xml:space="preserve">odatku č. </w:t>
      </w:r>
      <w:r w:rsidR="00DC742C">
        <w:t>10</w:t>
      </w:r>
      <w:r w:rsidR="00DC742C" w:rsidRPr="005465EE">
        <w:t xml:space="preserve"> ze dne </w:t>
      </w:r>
      <w:r w:rsidR="00DC742C">
        <w:t>29</w:t>
      </w:r>
      <w:r w:rsidR="00DC742C" w:rsidRPr="005465EE">
        <w:t xml:space="preserve">. </w:t>
      </w:r>
      <w:r w:rsidR="00DC742C">
        <w:t>3</w:t>
      </w:r>
      <w:r w:rsidR="00DC742C" w:rsidRPr="005465EE">
        <w:t>. 202</w:t>
      </w:r>
      <w:r w:rsidR="00DC742C">
        <w:t>3</w:t>
      </w:r>
      <w:r w:rsidR="00627F1E">
        <w:t xml:space="preserve"> a D</w:t>
      </w:r>
      <w:r w:rsidR="00627F1E" w:rsidRPr="005465EE">
        <w:t xml:space="preserve">odatku č. </w:t>
      </w:r>
      <w:r w:rsidR="00627F1E">
        <w:t>11</w:t>
      </w:r>
      <w:r w:rsidR="00627F1E" w:rsidRPr="005465EE">
        <w:t xml:space="preserve"> ze dne </w:t>
      </w:r>
      <w:r w:rsidR="00627F1E">
        <w:t>2</w:t>
      </w:r>
      <w:r w:rsidR="00633621">
        <w:t>1</w:t>
      </w:r>
      <w:r w:rsidR="00627F1E" w:rsidRPr="005465EE">
        <w:t xml:space="preserve">. </w:t>
      </w:r>
      <w:r w:rsidR="00633621">
        <w:t>12</w:t>
      </w:r>
      <w:r w:rsidR="00627F1E" w:rsidRPr="005465EE">
        <w:t>. 202</w:t>
      </w:r>
      <w:r w:rsidR="00627F1E">
        <w:t>3</w:t>
      </w:r>
      <w:r w:rsidR="00DC742C" w:rsidRPr="005465EE">
        <w:t>.</w:t>
      </w:r>
    </w:p>
    <w:p w14:paraId="33203601" w14:textId="77777777" w:rsidR="00001874" w:rsidRDefault="00001874" w:rsidP="00AA1C7C">
      <w:pPr>
        <w:spacing w:line="240" w:lineRule="auto"/>
        <w:jc w:val="both"/>
      </w:pPr>
    </w:p>
    <w:p w14:paraId="75C49E20" w14:textId="391D3190" w:rsidR="00001874" w:rsidRDefault="00237411" w:rsidP="00AA1C7C">
      <w:pPr>
        <w:spacing w:line="240" w:lineRule="auto"/>
        <w:jc w:val="center"/>
        <w:rPr>
          <w:b/>
        </w:rPr>
      </w:pPr>
      <w:r>
        <w:rPr>
          <w:b/>
        </w:rPr>
        <w:t>I</w:t>
      </w:r>
      <w:r w:rsidR="006D2FE5">
        <w:rPr>
          <w:b/>
        </w:rPr>
        <w:t>.</w:t>
      </w:r>
    </w:p>
    <w:p w14:paraId="12F322B2" w14:textId="77777777" w:rsidR="0091379B" w:rsidRDefault="00EF594A" w:rsidP="0091379B">
      <w:pPr>
        <w:jc w:val="center"/>
        <w:rPr>
          <w:b/>
        </w:rPr>
      </w:pPr>
      <w:r>
        <w:rPr>
          <w:b/>
        </w:rPr>
        <w:t>Úvodní ustanovení</w:t>
      </w:r>
    </w:p>
    <w:p w14:paraId="1486BDE4" w14:textId="77777777" w:rsidR="0091379B" w:rsidRDefault="0091379B" w:rsidP="0091379B">
      <w:pPr>
        <w:jc w:val="center"/>
        <w:rPr>
          <w:b/>
        </w:rPr>
      </w:pPr>
    </w:p>
    <w:p w14:paraId="102F8249" w14:textId="13867251" w:rsidR="0091379B" w:rsidRDefault="008073BD" w:rsidP="008A0D7D">
      <w:pPr>
        <w:jc w:val="both"/>
      </w:pPr>
      <w:r>
        <w:t xml:space="preserve">Dodatek č. </w:t>
      </w:r>
      <w:r w:rsidR="00273E0D">
        <w:t>1</w:t>
      </w:r>
      <w:r w:rsidR="00367EC5">
        <w:t>2</w:t>
      </w:r>
      <w:r w:rsidR="002C3DFF">
        <w:t xml:space="preserve"> </w:t>
      </w:r>
      <w:r w:rsidR="00EF594A">
        <w:t xml:space="preserve">ke „Smlouvě o údržbě programového vybavení PIS </w:t>
      </w:r>
      <w:proofErr w:type="spellStart"/>
      <w:r w:rsidR="00EF594A">
        <w:t>OKinfo</w:t>
      </w:r>
      <w:proofErr w:type="spellEnd"/>
      <w:r w:rsidR="00EF594A">
        <w:t>“ (dále jen „Smlouva“) se uz</w:t>
      </w:r>
      <w:r w:rsidR="00A9535E">
        <w:t>avírá v souvislosti</w:t>
      </w:r>
      <w:r>
        <w:t xml:space="preserve"> s</w:t>
      </w:r>
      <w:r w:rsidR="009A0B2F">
        <w:t xml:space="preserve"> ukončením podpory modulu Dohody a souvisejícím </w:t>
      </w:r>
      <w:r w:rsidR="00367EC5">
        <w:t>ponížením</w:t>
      </w:r>
      <w:r w:rsidR="00EF594A">
        <w:t xml:space="preserve"> ročního finančního objemu za údržbu programového vybavení PIS </w:t>
      </w:r>
      <w:proofErr w:type="spellStart"/>
      <w:r w:rsidR="00EF594A">
        <w:t>OKbase</w:t>
      </w:r>
      <w:proofErr w:type="spellEnd"/>
      <w:r w:rsidR="00EF594A">
        <w:t>.</w:t>
      </w:r>
    </w:p>
    <w:p w14:paraId="61DCD89B" w14:textId="77777777" w:rsidR="00E47FDC" w:rsidRDefault="00E47FDC" w:rsidP="008A0D7D">
      <w:pPr>
        <w:jc w:val="both"/>
      </w:pPr>
    </w:p>
    <w:p w14:paraId="706E9E0E" w14:textId="77777777" w:rsidR="00E47FDC" w:rsidRDefault="00E47FDC" w:rsidP="008A0D7D">
      <w:pPr>
        <w:jc w:val="both"/>
      </w:pPr>
    </w:p>
    <w:p w14:paraId="5EB26091" w14:textId="77777777" w:rsidR="00E47FDC" w:rsidRDefault="00E47FDC" w:rsidP="008A0D7D">
      <w:pPr>
        <w:jc w:val="both"/>
      </w:pPr>
    </w:p>
    <w:p w14:paraId="7C2F80A6" w14:textId="77777777" w:rsidR="00E47FDC" w:rsidRPr="00CF0860" w:rsidRDefault="00E47FDC" w:rsidP="008A0D7D">
      <w:pPr>
        <w:jc w:val="both"/>
      </w:pPr>
    </w:p>
    <w:p w14:paraId="1920D28A" w14:textId="77777777" w:rsidR="00873319" w:rsidRDefault="00873319" w:rsidP="00AA1C7C">
      <w:pPr>
        <w:spacing w:line="240" w:lineRule="auto"/>
        <w:jc w:val="center"/>
        <w:rPr>
          <w:b/>
        </w:rPr>
      </w:pPr>
    </w:p>
    <w:p w14:paraId="1B39C9A8" w14:textId="3003219A" w:rsidR="0091379B" w:rsidRDefault="00237411" w:rsidP="00AA1C7C">
      <w:pPr>
        <w:spacing w:line="240" w:lineRule="auto"/>
        <w:jc w:val="center"/>
        <w:rPr>
          <w:b/>
        </w:rPr>
      </w:pPr>
      <w:r>
        <w:rPr>
          <w:b/>
        </w:rPr>
        <w:lastRenderedPageBreak/>
        <w:t>II</w:t>
      </w:r>
      <w:r w:rsidR="0091379B">
        <w:rPr>
          <w:b/>
        </w:rPr>
        <w:t>.</w:t>
      </w:r>
    </w:p>
    <w:p w14:paraId="12F9FD7D" w14:textId="77777777" w:rsidR="00001874" w:rsidRDefault="00EF594A" w:rsidP="00EF594A">
      <w:pPr>
        <w:pStyle w:val="Nadpiselnku"/>
        <w:jc w:val="center"/>
        <w:rPr>
          <w:u w:val="none"/>
        </w:rPr>
      </w:pPr>
      <w:r w:rsidRPr="00EF594A">
        <w:rPr>
          <w:u w:val="none"/>
        </w:rPr>
        <w:t>Změny, zrušení či doplnění smlouvy</w:t>
      </w:r>
    </w:p>
    <w:p w14:paraId="51E68806" w14:textId="12058B6C" w:rsidR="00484C9B" w:rsidRDefault="001E765D" w:rsidP="000527CC">
      <w:pPr>
        <w:pStyle w:val="Tlotextu"/>
        <w:spacing w:after="120"/>
        <w:jc w:val="left"/>
        <w:rPr>
          <w:szCs w:val="24"/>
        </w:rPr>
      </w:pPr>
      <w:r>
        <w:rPr>
          <w:b/>
          <w:szCs w:val="24"/>
        </w:rPr>
        <w:t>1</w:t>
      </w:r>
      <w:r w:rsidR="00BA771B" w:rsidRPr="00701087">
        <w:rPr>
          <w:b/>
          <w:szCs w:val="24"/>
        </w:rPr>
        <w:t>.</w:t>
      </w:r>
      <w:r w:rsidR="00BA771B">
        <w:rPr>
          <w:szCs w:val="24"/>
        </w:rPr>
        <w:t xml:space="preserve"> Smluvní strany se dohodly na změně Článku </w:t>
      </w:r>
      <w:r w:rsidR="00701087">
        <w:rPr>
          <w:szCs w:val="24"/>
        </w:rPr>
        <w:t>5</w:t>
      </w:r>
      <w:r w:rsidR="00484C9B">
        <w:rPr>
          <w:szCs w:val="24"/>
        </w:rPr>
        <w:t xml:space="preserve"> Smlouvy</w:t>
      </w:r>
      <w:r w:rsidR="00237411">
        <w:rPr>
          <w:szCs w:val="24"/>
        </w:rPr>
        <w:t>, který se tímto mění a nadále zní takto:</w:t>
      </w:r>
    </w:p>
    <w:p w14:paraId="21CDBDDD" w14:textId="33AF37D2" w:rsidR="00701087" w:rsidRPr="002F0694" w:rsidRDefault="00701087" w:rsidP="00701087">
      <w:pPr>
        <w:pStyle w:val="Tlotextu"/>
        <w:spacing w:line="240" w:lineRule="auto"/>
        <w:jc w:val="center"/>
        <w:rPr>
          <w:b/>
          <w:i/>
          <w:szCs w:val="24"/>
        </w:rPr>
      </w:pPr>
      <w:r w:rsidRPr="002F0694">
        <w:rPr>
          <w:b/>
          <w:i/>
          <w:szCs w:val="24"/>
        </w:rPr>
        <w:t xml:space="preserve">Článek </w:t>
      </w:r>
      <w:r w:rsidR="001E765D">
        <w:rPr>
          <w:b/>
          <w:i/>
          <w:szCs w:val="24"/>
        </w:rPr>
        <w:t>5</w:t>
      </w:r>
    </w:p>
    <w:p w14:paraId="6CF99642" w14:textId="12C6B4EE" w:rsidR="00701087" w:rsidRPr="002F0694" w:rsidRDefault="00701087" w:rsidP="00701087">
      <w:pPr>
        <w:pStyle w:val="Tlotextu"/>
        <w:spacing w:line="24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>Předmět smlouvy</w:t>
      </w:r>
    </w:p>
    <w:p w14:paraId="1973716B" w14:textId="4D006EC8" w:rsidR="00701087" w:rsidRPr="001C6035" w:rsidRDefault="00701087" w:rsidP="007440B5">
      <w:pPr>
        <w:pStyle w:val="Tlotextu"/>
        <w:spacing w:after="120"/>
        <w:rPr>
          <w:iCs/>
          <w:szCs w:val="24"/>
        </w:rPr>
      </w:pPr>
      <w:r w:rsidRPr="001C6035">
        <w:rPr>
          <w:iCs/>
          <w:szCs w:val="24"/>
        </w:rPr>
        <w:t xml:space="preserve">Předmět Smlouvy je závazek dodavatele poskytovat uživateli služby spojené s údržbou PIS </w:t>
      </w:r>
      <w:proofErr w:type="spellStart"/>
      <w:r w:rsidR="001C6035" w:rsidRPr="001C6035">
        <w:rPr>
          <w:iCs/>
          <w:szCs w:val="24"/>
        </w:rPr>
        <w:t>OKbase</w:t>
      </w:r>
      <w:proofErr w:type="spellEnd"/>
      <w:r w:rsidRPr="001C6035">
        <w:rPr>
          <w:iCs/>
          <w:szCs w:val="24"/>
        </w:rPr>
        <w:t xml:space="preserve"> a poskytovat další služby v rozsahu a způsobem daným touto Smlouvou, a tomu odpovídající závazek uživatele platit mu cenu stanovenou v této Smlouvě.</w:t>
      </w:r>
    </w:p>
    <w:p w14:paraId="13FD31EA" w14:textId="77777777" w:rsidR="00873319" w:rsidRPr="00484C9B" w:rsidRDefault="00873319" w:rsidP="00873319">
      <w:pPr>
        <w:pStyle w:val="Tlotextu"/>
        <w:spacing w:line="240" w:lineRule="auto"/>
        <w:jc w:val="left"/>
        <w:rPr>
          <w:i/>
        </w:rPr>
      </w:pPr>
      <w:r w:rsidRPr="00484C9B">
        <w:rPr>
          <w:i/>
        </w:rPr>
        <w:t xml:space="preserve">Rozsah práv užití PIS </w:t>
      </w:r>
      <w:proofErr w:type="spellStart"/>
      <w:r w:rsidRPr="00484C9B">
        <w:rPr>
          <w:i/>
        </w:rPr>
        <w:t>OKbase</w:t>
      </w:r>
      <w:proofErr w:type="spellEnd"/>
      <w:r w:rsidRPr="00484C9B">
        <w:rPr>
          <w:i/>
        </w:rPr>
        <w:t xml:space="preserve"> poskytnutých uživateli: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1"/>
        <w:gridCol w:w="1282"/>
        <w:gridCol w:w="2253"/>
        <w:gridCol w:w="2244"/>
      </w:tblGrid>
      <w:tr w:rsidR="00873319" w14:paraId="0384972E" w14:textId="77777777" w:rsidTr="00AE48CB">
        <w:tc>
          <w:tcPr>
            <w:tcW w:w="3369" w:type="dxa"/>
          </w:tcPr>
          <w:p w14:paraId="7370886A" w14:textId="77777777" w:rsidR="00873319" w:rsidRPr="00F86FA9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  <w:r w:rsidRPr="00F86FA9">
              <w:rPr>
                <w:i/>
                <w:szCs w:val="24"/>
              </w:rPr>
              <w:t>Popis licence</w:t>
            </w:r>
          </w:p>
        </w:tc>
        <w:tc>
          <w:tcPr>
            <w:tcW w:w="1237" w:type="dxa"/>
          </w:tcPr>
          <w:p w14:paraId="3F2E435E" w14:textId="77777777" w:rsidR="00873319" w:rsidRPr="00F86FA9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  <w:r w:rsidRPr="00F86FA9">
              <w:rPr>
                <w:i/>
                <w:szCs w:val="24"/>
              </w:rPr>
              <w:t>Počet kmenových záznamů</w:t>
            </w:r>
          </w:p>
        </w:tc>
        <w:tc>
          <w:tcPr>
            <w:tcW w:w="2303" w:type="dxa"/>
          </w:tcPr>
          <w:p w14:paraId="6CDB4689" w14:textId="77777777" w:rsidR="00873319" w:rsidRPr="00F86FA9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  <w:r w:rsidRPr="00F86FA9">
              <w:rPr>
                <w:i/>
                <w:szCs w:val="24"/>
              </w:rPr>
              <w:t>Počet jiných záznamů (dohody)</w:t>
            </w:r>
          </w:p>
        </w:tc>
        <w:tc>
          <w:tcPr>
            <w:tcW w:w="2303" w:type="dxa"/>
          </w:tcPr>
          <w:p w14:paraId="332DEA5C" w14:textId="77777777" w:rsidR="00873319" w:rsidRPr="00F86FA9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  <w:r w:rsidRPr="00F86FA9">
              <w:rPr>
                <w:i/>
                <w:szCs w:val="24"/>
              </w:rPr>
              <w:t>Počet uživatelů (</w:t>
            </w:r>
            <w:proofErr w:type="spellStart"/>
            <w:r w:rsidRPr="00F86FA9">
              <w:rPr>
                <w:i/>
                <w:szCs w:val="24"/>
              </w:rPr>
              <w:t>Named</w:t>
            </w:r>
            <w:proofErr w:type="spellEnd"/>
            <w:r w:rsidRPr="00F86FA9">
              <w:rPr>
                <w:i/>
                <w:szCs w:val="24"/>
              </w:rPr>
              <w:t xml:space="preserve"> </w:t>
            </w:r>
            <w:proofErr w:type="spellStart"/>
            <w:r w:rsidRPr="00F86FA9">
              <w:rPr>
                <w:i/>
                <w:szCs w:val="24"/>
              </w:rPr>
              <w:t>Users</w:t>
            </w:r>
            <w:proofErr w:type="spellEnd"/>
            <w:r w:rsidRPr="00F86FA9">
              <w:rPr>
                <w:i/>
                <w:szCs w:val="24"/>
              </w:rPr>
              <w:t>)</w:t>
            </w:r>
          </w:p>
        </w:tc>
      </w:tr>
      <w:tr w:rsidR="00873319" w14:paraId="494AEB59" w14:textId="77777777" w:rsidTr="00AE48CB">
        <w:tc>
          <w:tcPr>
            <w:tcW w:w="3369" w:type="dxa"/>
          </w:tcPr>
          <w:p w14:paraId="035E0928" w14:textId="39D884A4" w:rsidR="00873319" w:rsidRDefault="00873319" w:rsidP="00AE48CB">
            <w:pPr>
              <w:pStyle w:val="Tlotextu"/>
              <w:spacing w:line="240" w:lineRule="auto"/>
              <w:jc w:val="left"/>
              <w:rPr>
                <w:i/>
                <w:szCs w:val="24"/>
              </w:rPr>
            </w:pPr>
            <w:r w:rsidRPr="00BA771B">
              <w:rPr>
                <w:i/>
                <w:szCs w:val="24"/>
              </w:rPr>
              <w:t xml:space="preserve">Časově neomezená licence </w:t>
            </w:r>
            <w:proofErr w:type="spellStart"/>
            <w:r w:rsidRPr="00BA771B">
              <w:rPr>
                <w:i/>
                <w:szCs w:val="24"/>
              </w:rPr>
              <w:t>OKbase</w:t>
            </w:r>
            <w:proofErr w:type="spellEnd"/>
            <w:r w:rsidRPr="00BA771B">
              <w:rPr>
                <w:i/>
                <w:szCs w:val="24"/>
              </w:rPr>
              <w:t xml:space="preserve"> v rozsahu modulů: Platový modul (</w:t>
            </w:r>
            <w:proofErr w:type="spellStart"/>
            <w:r w:rsidRPr="00BA771B">
              <w:rPr>
                <w:i/>
                <w:szCs w:val="24"/>
              </w:rPr>
              <w:t>OKbase</w:t>
            </w:r>
            <w:proofErr w:type="spellEnd"/>
            <w:r w:rsidRPr="00BA771B">
              <w:rPr>
                <w:i/>
                <w:szCs w:val="24"/>
              </w:rPr>
              <w:t xml:space="preserve"> P), Personální modul (</w:t>
            </w:r>
            <w:proofErr w:type="spellStart"/>
            <w:r w:rsidRPr="00BA771B">
              <w:rPr>
                <w:i/>
                <w:szCs w:val="24"/>
              </w:rPr>
              <w:t>OKbase</w:t>
            </w:r>
            <w:proofErr w:type="spellEnd"/>
            <w:r w:rsidRPr="00BA771B">
              <w:rPr>
                <w:i/>
                <w:szCs w:val="24"/>
              </w:rPr>
              <w:t xml:space="preserve"> H), Docházka (</w:t>
            </w:r>
            <w:proofErr w:type="spellStart"/>
            <w:r w:rsidRPr="00BA771B">
              <w:rPr>
                <w:i/>
                <w:szCs w:val="24"/>
              </w:rPr>
              <w:t>OKbase</w:t>
            </w:r>
            <w:proofErr w:type="spellEnd"/>
            <w:r w:rsidRPr="00BA771B">
              <w:rPr>
                <w:i/>
                <w:szCs w:val="24"/>
              </w:rPr>
              <w:t xml:space="preserve"> D), Elektronické výplatní pásky (licence pro kmenové zaměstnance a dohody), Rejstřík státních zaměstnanců, Hodnocení</w:t>
            </w:r>
            <w:r>
              <w:rPr>
                <w:i/>
                <w:szCs w:val="24"/>
              </w:rPr>
              <w:t xml:space="preserve">, Insolvenční Rejstřík, </w:t>
            </w:r>
            <w:proofErr w:type="spellStart"/>
            <w:r>
              <w:rPr>
                <w:i/>
                <w:szCs w:val="24"/>
              </w:rPr>
              <w:t>submodul</w:t>
            </w:r>
            <w:proofErr w:type="spellEnd"/>
            <w:r>
              <w:rPr>
                <w:i/>
                <w:szCs w:val="24"/>
              </w:rPr>
              <w:t xml:space="preserve"> OSYS</w:t>
            </w:r>
            <w:r w:rsidR="008B382E">
              <w:rPr>
                <w:i/>
                <w:szCs w:val="24"/>
              </w:rPr>
              <w:t>, modul Evidence souhlasů</w:t>
            </w:r>
            <w:r w:rsidR="001E765D">
              <w:rPr>
                <w:i/>
                <w:szCs w:val="24"/>
              </w:rPr>
              <w:t>,</w:t>
            </w:r>
            <w:r w:rsidR="002C3DFF">
              <w:rPr>
                <w:i/>
                <w:szCs w:val="24"/>
              </w:rPr>
              <w:t xml:space="preserve"> modul</w:t>
            </w:r>
            <w:r w:rsidR="001E765D">
              <w:rPr>
                <w:i/>
                <w:szCs w:val="24"/>
              </w:rPr>
              <w:t xml:space="preserve"> Výstupní list</w:t>
            </w:r>
            <w:r w:rsidR="002C3DFF">
              <w:rPr>
                <w:i/>
                <w:szCs w:val="24"/>
              </w:rPr>
              <w:t xml:space="preserve"> MŠMT</w:t>
            </w:r>
          </w:p>
          <w:p w14:paraId="5060D706" w14:textId="769A1C90" w:rsidR="00865889" w:rsidRDefault="00973F1B" w:rsidP="00AE48CB">
            <w:pPr>
              <w:pStyle w:val="Tlotextu"/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m</w:t>
            </w:r>
            <w:r w:rsidR="00865889">
              <w:rPr>
                <w:i/>
                <w:szCs w:val="24"/>
              </w:rPr>
              <w:t>odul Pracovní cesty tuzemské</w:t>
            </w:r>
            <w:r w:rsidR="00CF24B8">
              <w:rPr>
                <w:i/>
                <w:szCs w:val="24"/>
              </w:rPr>
              <w:t>,</w:t>
            </w:r>
          </w:p>
          <w:p w14:paraId="10A86554" w14:textId="72249F6D" w:rsidR="00160C90" w:rsidRPr="00BA771B" w:rsidRDefault="00160C90" w:rsidP="00AE48CB">
            <w:pPr>
              <w:pStyle w:val="Tlotextu"/>
              <w:spacing w:line="240" w:lineRule="auto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modul Plánování směn</w:t>
            </w:r>
          </w:p>
        </w:tc>
        <w:tc>
          <w:tcPr>
            <w:tcW w:w="1237" w:type="dxa"/>
          </w:tcPr>
          <w:p w14:paraId="27440209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</w:p>
          <w:p w14:paraId="770EE7C9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</w:p>
          <w:p w14:paraId="11DF0607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</w:p>
          <w:p w14:paraId="33F705B2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  <w:r w:rsidRPr="00BA771B">
              <w:rPr>
                <w:i/>
                <w:szCs w:val="24"/>
              </w:rPr>
              <w:t>1100</w:t>
            </w:r>
          </w:p>
        </w:tc>
        <w:tc>
          <w:tcPr>
            <w:tcW w:w="2303" w:type="dxa"/>
          </w:tcPr>
          <w:p w14:paraId="26A25EA0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</w:p>
          <w:p w14:paraId="3E14D540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</w:p>
          <w:p w14:paraId="4045C9C6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</w:p>
          <w:p w14:paraId="505A7C62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n</w:t>
            </w:r>
            <w:r w:rsidRPr="00BA771B">
              <w:rPr>
                <w:i/>
                <w:szCs w:val="24"/>
              </w:rPr>
              <w:t>eomezeně</w:t>
            </w:r>
          </w:p>
        </w:tc>
        <w:tc>
          <w:tcPr>
            <w:tcW w:w="2303" w:type="dxa"/>
          </w:tcPr>
          <w:p w14:paraId="3A629212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</w:p>
          <w:p w14:paraId="728A878A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</w:p>
          <w:p w14:paraId="477EB284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</w:p>
          <w:p w14:paraId="629355AE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  <w:r w:rsidRPr="00BA771B">
              <w:rPr>
                <w:i/>
                <w:szCs w:val="24"/>
              </w:rPr>
              <w:t>15</w:t>
            </w:r>
          </w:p>
        </w:tc>
      </w:tr>
      <w:tr w:rsidR="00873319" w14:paraId="14F47376" w14:textId="77777777" w:rsidTr="00AE48CB">
        <w:tc>
          <w:tcPr>
            <w:tcW w:w="3369" w:type="dxa"/>
          </w:tcPr>
          <w:p w14:paraId="5A3387D4" w14:textId="77777777" w:rsidR="00873319" w:rsidRPr="00BA771B" w:rsidRDefault="00873319" w:rsidP="00AE48CB">
            <w:pPr>
              <w:pStyle w:val="Tlotextu"/>
              <w:spacing w:line="240" w:lineRule="auto"/>
              <w:jc w:val="left"/>
              <w:rPr>
                <w:i/>
                <w:szCs w:val="24"/>
              </w:rPr>
            </w:pPr>
            <w:r w:rsidRPr="00BA771B">
              <w:rPr>
                <w:i/>
                <w:szCs w:val="24"/>
              </w:rPr>
              <w:t xml:space="preserve">Oracle </w:t>
            </w:r>
            <w:proofErr w:type="spellStart"/>
            <w:r w:rsidRPr="00BA771B">
              <w:rPr>
                <w:i/>
                <w:szCs w:val="24"/>
              </w:rPr>
              <w:t>Forms</w:t>
            </w:r>
            <w:proofErr w:type="spellEnd"/>
            <w:r w:rsidRPr="00BA771B">
              <w:rPr>
                <w:i/>
                <w:szCs w:val="24"/>
              </w:rPr>
              <w:t xml:space="preserve"> &amp; </w:t>
            </w:r>
            <w:proofErr w:type="spellStart"/>
            <w:r w:rsidRPr="00BA771B">
              <w:rPr>
                <w:i/>
                <w:szCs w:val="24"/>
              </w:rPr>
              <w:t>Reports</w:t>
            </w:r>
            <w:proofErr w:type="spellEnd"/>
            <w:r w:rsidRPr="00BA771B">
              <w:rPr>
                <w:i/>
                <w:szCs w:val="24"/>
              </w:rPr>
              <w:t xml:space="preserve"> ASFU, NU</w:t>
            </w:r>
          </w:p>
        </w:tc>
        <w:tc>
          <w:tcPr>
            <w:tcW w:w="1237" w:type="dxa"/>
          </w:tcPr>
          <w:p w14:paraId="05EEA956" w14:textId="77777777" w:rsidR="00873319" w:rsidRPr="00BA771B" w:rsidRDefault="00873319" w:rsidP="00AE48CB">
            <w:pPr>
              <w:pStyle w:val="Tlotextu"/>
              <w:spacing w:line="240" w:lineRule="auto"/>
              <w:jc w:val="center"/>
              <w:rPr>
                <w:i/>
                <w:szCs w:val="24"/>
              </w:rPr>
            </w:pPr>
            <w:r w:rsidRPr="00BA771B">
              <w:rPr>
                <w:i/>
                <w:szCs w:val="24"/>
              </w:rPr>
              <w:t>20</w:t>
            </w:r>
          </w:p>
        </w:tc>
        <w:tc>
          <w:tcPr>
            <w:tcW w:w="2303" w:type="dxa"/>
          </w:tcPr>
          <w:p w14:paraId="2FE2E923" w14:textId="77777777" w:rsidR="00873319" w:rsidRDefault="00873319" w:rsidP="00AE48CB">
            <w:pPr>
              <w:pStyle w:val="Tlotextu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--------------------------</w:t>
            </w:r>
          </w:p>
        </w:tc>
        <w:tc>
          <w:tcPr>
            <w:tcW w:w="2303" w:type="dxa"/>
          </w:tcPr>
          <w:p w14:paraId="2F16B397" w14:textId="77777777" w:rsidR="00873319" w:rsidRDefault="00873319" w:rsidP="00AE48CB">
            <w:pPr>
              <w:pStyle w:val="Tlotextu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---------------------------</w:t>
            </w:r>
          </w:p>
        </w:tc>
      </w:tr>
    </w:tbl>
    <w:p w14:paraId="00FE33E9" w14:textId="77777777" w:rsidR="00873319" w:rsidRDefault="00873319" w:rsidP="000527CC">
      <w:pPr>
        <w:pStyle w:val="Tlotextu"/>
        <w:spacing w:after="120"/>
        <w:jc w:val="left"/>
      </w:pPr>
    </w:p>
    <w:p w14:paraId="2076A99A" w14:textId="03554BE5" w:rsidR="00701087" w:rsidRDefault="00701087" w:rsidP="000527CC">
      <w:pPr>
        <w:pStyle w:val="Tlotextu"/>
        <w:spacing w:after="120"/>
        <w:jc w:val="left"/>
      </w:pPr>
      <w:r>
        <w:t>3. Smluvní strany se dále dohodly na změně Článku 8 Smlouvy, který se tímto mění a nadále zní takto:</w:t>
      </w:r>
    </w:p>
    <w:p w14:paraId="331A3468" w14:textId="302C50A4" w:rsidR="00484C9B" w:rsidRPr="002F0694" w:rsidRDefault="00484C9B" w:rsidP="00484C9B">
      <w:pPr>
        <w:pStyle w:val="Tlotextu"/>
        <w:spacing w:line="240" w:lineRule="auto"/>
        <w:jc w:val="center"/>
        <w:rPr>
          <w:b/>
          <w:i/>
          <w:szCs w:val="24"/>
        </w:rPr>
      </w:pPr>
      <w:r w:rsidRPr="002F0694">
        <w:rPr>
          <w:b/>
          <w:i/>
          <w:szCs w:val="24"/>
        </w:rPr>
        <w:t xml:space="preserve">Článek </w:t>
      </w:r>
      <w:r w:rsidR="00DA05BF">
        <w:rPr>
          <w:b/>
          <w:i/>
          <w:szCs w:val="24"/>
        </w:rPr>
        <w:t>8</w:t>
      </w:r>
    </w:p>
    <w:p w14:paraId="0F594D8E" w14:textId="77777777" w:rsidR="00484C9B" w:rsidRPr="002F0694" w:rsidRDefault="00484C9B" w:rsidP="00484C9B">
      <w:pPr>
        <w:pStyle w:val="Tlotextu"/>
        <w:spacing w:line="240" w:lineRule="auto"/>
        <w:jc w:val="center"/>
        <w:rPr>
          <w:b/>
          <w:i/>
          <w:szCs w:val="24"/>
        </w:rPr>
      </w:pPr>
      <w:r w:rsidRPr="002F0694">
        <w:rPr>
          <w:b/>
          <w:i/>
          <w:szCs w:val="24"/>
        </w:rPr>
        <w:t>Cena a platební podmínky</w:t>
      </w:r>
    </w:p>
    <w:p w14:paraId="70010268" w14:textId="3FBB63AC" w:rsidR="00BA771B" w:rsidRPr="00484C9B" w:rsidRDefault="00DA05BF" w:rsidP="00AA1C7C">
      <w:pPr>
        <w:pStyle w:val="Tlotextu"/>
        <w:spacing w:line="240" w:lineRule="auto"/>
        <w:jc w:val="left"/>
        <w:rPr>
          <w:b/>
          <w:i/>
          <w:szCs w:val="24"/>
        </w:rPr>
      </w:pPr>
      <w:r>
        <w:rPr>
          <w:b/>
          <w:i/>
          <w:szCs w:val="24"/>
        </w:rPr>
        <w:t>8</w:t>
      </w:r>
      <w:r w:rsidR="002F0694" w:rsidRPr="00484C9B">
        <w:rPr>
          <w:b/>
          <w:i/>
          <w:szCs w:val="24"/>
        </w:rPr>
        <w:t>.1.</w:t>
      </w:r>
    </w:p>
    <w:p w14:paraId="71C652B7" w14:textId="70B0421D" w:rsidR="002F0694" w:rsidRDefault="002F0694" w:rsidP="008A0D7D">
      <w:pPr>
        <w:pStyle w:val="Tlotextu"/>
        <w:spacing w:line="240" w:lineRule="auto"/>
        <w:rPr>
          <w:iCs/>
          <w:szCs w:val="24"/>
        </w:rPr>
      </w:pPr>
      <w:r w:rsidRPr="00B666A9">
        <w:rPr>
          <w:iCs/>
          <w:szCs w:val="24"/>
        </w:rPr>
        <w:t>Roční poplatek za údržbu podle odstavce 6.1. této Smlouvy</w:t>
      </w:r>
      <w:r w:rsidR="00E47FDC" w:rsidRPr="00B666A9">
        <w:rPr>
          <w:iCs/>
          <w:szCs w:val="24"/>
        </w:rPr>
        <w:t xml:space="preserve"> </w:t>
      </w:r>
      <w:r w:rsidR="00FB2D87" w:rsidRPr="00B666A9">
        <w:rPr>
          <w:iCs/>
          <w:szCs w:val="24"/>
        </w:rPr>
        <w:t xml:space="preserve">se </w:t>
      </w:r>
      <w:r w:rsidR="00D91278">
        <w:rPr>
          <w:iCs/>
          <w:szCs w:val="24"/>
        </w:rPr>
        <w:t>ponižuje</w:t>
      </w:r>
      <w:r w:rsidR="00FB2D87" w:rsidRPr="00B666A9">
        <w:rPr>
          <w:iCs/>
          <w:szCs w:val="24"/>
        </w:rPr>
        <w:t xml:space="preserve"> </w:t>
      </w:r>
      <w:r w:rsidR="00B45DB0" w:rsidRPr="00B666A9">
        <w:rPr>
          <w:iCs/>
          <w:szCs w:val="24"/>
        </w:rPr>
        <w:t xml:space="preserve">o </w:t>
      </w:r>
      <w:r w:rsidR="00E47FDC" w:rsidRPr="00B666A9">
        <w:rPr>
          <w:iCs/>
          <w:szCs w:val="24"/>
        </w:rPr>
        <w:t>cenu údržby za</w:t>
      </w:r>
      <w:r w:rsidR="00973F1B" w:rsidRPr="00B666A9">
        <w:rPr>
          <w:iCs/>
          <w:szCs w:val="24"/>
        </w:rPr>
        <w:t> </w:t>
      </w:r>
      <w:r w:rsidR="00E47FDC" w:rsidRPr="00B666A9">
        <w:rPr>
          <w:iCs/>
          <w:szCs w:val="24"/>
        </w:rPr>
        <w:t xml:space="preserve">modul </w:t>
      </w:r>
      <w:r w:rsidR="00D91278">
        <w:rPr>
          <w:iCs/>
          <w:szCs w:val="24"/>
        </w:rPr>
        <w:t>Dohody MŠMT</w:t>
      </w:r>
      <w:r w:rsidR="003F74C9" w:rsidRPr="00B666A9">
        <w:rPr>
          <w:iCs/>
        </w:rPr>
        <w:t xml:space="preserve"> </w:t>
      </w:r>
      <w:r w:rsidR="00891E32">
        <w:rPr>
          <w:iCs/>
        </w:rPr>
        <w:t xml:space="preserve">o </w:t>
      </w:r>
      <w:r w:rsidR="00A249D3">
        <w:rPr>
          <w:iCs/>
        </w:rPr>
        <w:t>1</w:t>
      </w:r>
      <w:r w:rsidR="002745C1" w:rsidRPr="00B666A9">
        <w:rPr>
          <w:iCs/>
        </w:rPr>
        <w:t>5</w:t>
      </w:r>
      <w:r w:rsidR="00BF7EA5">
        <w:rPr>
          <w:iCs/>
        </w:rPr>
        <w:t>8</w:t>
      </w:r>
      <w:r w:rsidR="00734783">
        <w:rPr>
          <w:iCs/>
          <w:szCs w:val="24"/>
        </w:rPr>
        <w:t> </w:t>
      </w:r>
      <w:r w:rsidR="00BF7EA5">
        <w:rPr>
          <w:iCs/>
          <w:szCs w:val="24"/>
        </w:rPr>
        <w:t>712</w:t>
      </w:r>
      <w:r w:rsidR="00734783">
        <w:rPr>
          <w:iCs/>
          <w:szCs w:val="24"/>
        </w:rPr>
        <w:t>,-</w:t>
      </w:r>
      <w:r w:rsidR="001E765D" w:rsidRPr="00B666A9">
        <w:rPr>
          <w:iCs/>
          <w:szCs w:val="24"/>
        </w:rPr>
        <w:t xml:space="preserve"> Kč bez DPH ročně</w:t>
      </w:r>
      <w:r w:rsidR="002C3DFF" w:rsidRPr="00B666A9">
        <w:rPr>
          <w:iCs/>
          <w:szCs w:val="24"/>
        </w:rPr>
        <w:t>. N</w:t>
      </w:r>
      <w:r w:rsidR="00E47FDC" w:rsidRPr="00B666A9">
        <w:rPr>
          <w:iCs/>
          <w:szCs w:val="24"/>
        </w:rPr>
        <w:t xml:space="preserve">ově tedy celkem </w:t>
      </w:r>
      <w:r w:rsidR="00701087" w:rsidRPr="00B666A9">
        <w:rPr>
          <w:iCs/>
          <w:szCs w:val="24"/>
        </w:rPr>
        <w:t xml:space="preserve">činí </w:t>
      </w:r>
      <w:r w:rsidR="00B4600C">
        <w:rPr>
          <w:iCs/>
          <w:szCs w:val="24"/>
        </w:rPr>
        <w:t xml:space="preserve">cena údržby </w:t>
      </w:r>
      <w:r w:rsidR="00F12B6B">
        <w:rPr>
          <w:iCs/>
          <w:szCs w:val="24"/>
        </w:rPr>
        <w:t>98</w:t>
      </w:r>
      <w:r w:rsidR="00133B0C">
        <w:rPr>
          <w:iCs/>
          <w:szCs w:val="24"/>
        </w:rPr>
        <w:t>1</w:t>
      </w:r>
      <w:r w:rsidR="00F12B6B">
        <w:rPr>
          <w:iCs/>
          <w:szCs w:val="24"/>
        </w:rPr>
        <w:t> </w:t>
      </w:r>
      <w:r w:rsidR="00C16C19">
        <w:rPr>
          <w:iCs/>
          <w:szCs w:val="24"/>
        </w:rPr>
        <w:t>228</w:t>
      </w:r>
      <w:r w:rsidR="00F12B6B">
        <w:rPr>
          <w:iCs/>
          <w:szCs w:val="24"/>
        </w:rPr>
        <w:t>,-</w:t>
      </w:r>
      <w:r w:rsidR="00FB2D87" w:rsidRPr="00B666A9">
        <w:rPr>
          <w:iCs/>
          <w:szCs w:val="24"/>
        </w:rPr>
        <w:t xml:space="preserve"> </w:t>
      </w:r>
      <w:r w:rsidRPr="00B666A9">
        <w:rPr>
          <w:iCs/>
          <w:szCs w:val="24"/>
        </w:rPr>
        <w:t xml:space="preserve">Kč bez DPH, tj. </w:t>
      </w:r>
      <w:r w:rsidR="00FB2D87" w:rsidRPr="00B666A9">
        <w:rPr>
          <w:iCs/>
          <w:szCs w:val="24"/>
        </w:rPr>
        <w:t>1 </w:t>
      </w:r>
      <w:r w:rsidR="00B4600C">
        <w:rPr>
          <w:iCs/>
          <w:szCs w:val="24"/>
        </w:rPr>
        <w:t>1</w:t>
      </w:r>
      <w:r w:rsidR="00C16C19">
        <w:rPr>
          <w:iCs/>
          <w:szCs w:val="24"/>
        </w:rPr>
        <w:t>8</w:t>
      </w:r>
      <w:r w:rsidR="00133B0C">
        <w:rPr>
          <w:iCs/>
          <w:szCs w:val="24"/>
        </w:rPr>
        <w:t>7</w:t>
      </w:r>
      <w:r w:rsidR="00FB2D87" w:rsidRPr="00B666A9">
        <w:rPr>
          <w:iCs/>
          <w:szCs w:val="24"/>
        </w:rPr>
        <w:t> </w:t>
      </w:r>
      <w:r w:rsidR="00133B0C">
        <w:rPr>
          <w:iCs/>
          <w:szCs w:val="24"/>
        </w:rPr>
        <w:t>28</w:t>
      </w:r>
      <w:r w:rsidR="00C16C19">
        <w:rPr>
          <w:iCs/>
          <w:szCs w:val="24"/>
        </w:rPr>
        <w:t>5</w:t>
      </w:r>
      <w:r w:rsidR="00FB2D87" w:rsidRPr="00B666A9">
        <w:rPr>
          <w:iCs/>
          <w:szCs w:val="24"/>
        </w:rPr>
        <w:t>,</w:t>
      </w:r>
      <w:r w:rsidR="00C16C19">
        <w:rPr>
          <w:iCs/>
          <w:szCs w:val="24"/>
        </w:rPr>
        <w:t>88</w:t>
      </w:r>
      <w:r w:rsidR="00FB2D87" w:rsidRPr="00B666A9">
        <w:rPr>
          <w:iCs/>
          <w:szCs w:val="24"/>
        </w:rPr>
        <w:t xml:space="preserve"> </w:t>
      </w:r>
      <w:r w:rsidRPr="00B666A9">
        <w:rPr>
          <w:iCs/>
          <w:szCs w:val="24"/>
        </w:rPr>
        <w:t>Kč včetně 21</w:t>
      </w:r>
      <w:r w:rsidR="00B45DB0" w:rsidRPr="00B666A9">
        <w:rPr>
          <w:iCs/>
          <w:szCs w:val="24"/>
        </w:rPr>
        <w:t xml:space="preserve"> </w:t>
      </w:r>
      <w:r w:rsidRPr="00B666A9">
        <w:rPr>
          <w:iCs/>
          <w:szCs w:val="24"/>
        </w:rPr>
        <w:t>% DPH</w:t>
      </w:r>
      <w:r w:rsidR="00B4600C">
        <w:rPr>
          <w:iCs/>
          <w:szCs w:val="24"/>
        </w:rPr>
        <w:t xml:space="preserve"> ročně</w:t>
      </w:r>
      <w:r w:rsidRPr="00B666A9">
        <w:rPr>
          <w:iCs/>
          <w:szCs w:val="24"/>
        </w:rPr>
        <w:t>.</w:t>
      </w:r>
    </w:p>
    <w:p w14:paraId="0AFABD65" w14:textId="77777777" w:rsidR="00E36A9F" w:rsidRDefault="00E36A9F" w:rsidP="008A0D7D">
      <w:pPr>
        <w:pStyle w:val="Tlotextu"/>
        <w:spacing w:line="240" w:lineRule="auto"/>
        <w:rPr>
          <w:iCs/>
          <w:szCs w:val="24"/>
        </w:rPr>
      </w:pPr>
    </w:p>
    <w:p w14:paraId="74D67C01" w14:textId="19B2CD72" w:rsidR="009D7039" w:rsidRPr="001C6035" w:rsidRDefault="003330F7" w:rsidP="008A0D7D">
      <w:pPr>
        <w:pStyle w:val="Tlotextu"/>
        <w:spacing w:line="240" w:lineRule="auto"/>
        <w:rPr>
          <w:iCs/>
          <w:szCs w:val="24"/>
        </w:rPr>
      </w:pPr>
      <w:r>
        <w:rPr>
          <w:iCs/>
          <w:szCs w:val="24"/>
        </w:rPr>
        <w:t>Ponížená c</w:t>
      </w:r>
      <w:r w:rsidR="009D7039">
        <w:rPr>
          <w:iCs/>
          <w:szCs w:val="24"/>
        </w:rPr>
        <w:t xml:space="preserve">ena údržby za modul </w:t>
      </w:r>
      <w:r>
        <w:rPr>
          <w:iCs/>
          <w:szCs w:val="24"/>
        </w:rPr>
        <w:t>Dohody MŠMT</w:t>
      </w:r>
      <w:r w:rsidR="009D7039">
        <w:rPr>
          <w:iCs/>
          <w:szCs w:val="24"/>
        </w:rPr>
        <w:t xml:space="preserve"> bude zahrnuta do ročního poplatku za údržbu po oboustrann</w:t>
      </w:r>
      <w:r w:rsidR="00444549">
        <w:rPr>
          <w:iCs/>
          <w:szCs w:val="24"/>
        </w:rPr>
        <w:t xml:space="preserve">ě odsouhlasené </w:t>
      </w:r>
      <w:r w:rsidR="009D7039">
        <w:rPr>
          <w:iCs/>
          <w:szCs w:val="24"/>
        </w:rPr>
        <w:t xml:space="preserve">akceptaci </w:t>
      </w:r>
      <w:r>
        <w:rPr>
          <w:iCs/>
          <w:szCs w:val="24"/>
        </w:rPr>
        <w:t>a podpisu tohoto dodatku.</w:t>
      </w:r>
    </w:p>
    <w:p w14:paraId="60603389" w14:textId="77777777" w:rsidR="002F0694" w:rsidRPr="001C6035" w:rsidRDefault="002F0694" w:rsidP="008A0D7D">
      <w:pPr>
        <w:pStyle w:val="Tlotextu"/>
        <w:spacing w:line="240" w:lineRule="auto"/>
        <w:rPr>
          <w:iCs/>
          <w:szCs w:val="24"/>
        </w:rPr>
      </w:pPr>
    </w:p>
    <w:p w14:paraId="65A5EEC0" w14:textId="647DB600" w:rsidR="002F0694" w:rsidRPr="00892BEC" w:rsidRDefault="002F0694" w:rsidP="00450F19">
      <w:pPr>
        <w:pStyle w:val="Tlotextu"/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9724B7">
        <w:rPr>
          <w:iCs/>
        </w:rPr>
        <w:t>Úhrada ročního poplatku za údržbu bude prováděna stejnými čtvrtletními splátkami ve výši</w:t>
      </w:r>
      <w:r w:rsidR="00DA6D53" w:rsidRPr="009724B7">
        <w:rPr>
          <w:iCs/>
        </w:rPr>
        <w:t xml:space="preserve"> 2</w:t>
      </w:r>
      <w:r w:rsidR="00041D81">
        <w:rPr>
          <w:iCs/>
        </w:rPr>
        <w:t>45</w:t>
      </w:r>
      <w:r w:rsidR="00DA6D53" w:rsidRPr="009724B7">
        <w:rPr>
          <w:iCs/>
        </w:rPr>
        <w:t> </w:t>
      </w:r>
      <w:r w:rsidR="00133B0C">
        <w:rPr>
          <w:iCs/>
        </w:rPr>
        <w:t>30</w:t>
      </w:r>
      <w:r w:rsidR="00041D81">
        <w:rPr>
          <w:iCs/>
        </w:rPr>
        <w:t>7</w:t>
      </w:r>
      <w:r w:rsidR="00DA6D53" w:rsidRPr="009724B7">
        <w:rPr>
          <w:iCs/>
        </w:rPr>
        <w:t>,</w:t>
      </w:r>
      <w:r w:rsidR="004D7724" w:rsidRPr="009724B7">
        <w:rPr>
          <w:iCs/>
        </w:rPr>
        <w:t>-</w:t>
      </w:r>
      <w:r w:rsidR="00DA6D53" w:rsidRPr="009724B7">
        <w:rPr>
          <w:iCs/>
        </w:rPr>
        <w:t xml:space="preserve"> </w:t>
      </w:r>
      <w:r w:rsidR="00FB2D87" w:rsidRPr="009724B7">
        <w:rPr>
          <w:iCs/>
        </w:rPr>
        <w:t xml:space="preserve">Kč bez DPH, tj. </w:t>
      </w:r>
      <w:r w:rsidR="00CF24B8" w:rsidRPr="009724B7">
        <w:rPr>
          <w:iCs/>
        </w:rPr>
        <w:t> </w:t>
      </w:r>
      <w:r w:rsidR="00EE0A8F" w:rsidRPr="009724B7">
        <w:rPr>
          <w:iCs/>
        </w:rPr>
        <w:t>2</w:t>
      </w:r>
      <w:r w:rsidR="00282F69">
        <w:rPr>
          <w:iCs/>
        </w:rPr>
        <w:t>96</w:t>
      </w:r>
      <w:r w:rsidR="00DA6D53" w:rsidRPr="009724B7">
        <w:rPr>
          <w:iCs/>
        </w:rPr>
        <w:t> </w:t>
      </w:r>
      <w:r w:rsidR="00133B0C">
        <w:rPr>
          <w:iCs/>
        </w:rPr>
        <w:t>821</w:t>
      </w:r>
      <w:r w:rsidR="00DA6D53" w:rsidRPr="009724B7">
        <w:rPr>
          <w:iCs/>
        </w:rPr>
        <w:t>,</w:t>
      </w:r>
      <w:r w:rsidR="00133B0C">
        <w:rPr>
          <w:iCs/>
        </w:rPr>
        <w:t>4</w:t>
      </w:r>
      <w:r w:rsidR="00282F69">
        <w:rPr>
          <w:iCs/>
        </w:rPr>
        <w:t>7</w:t>
      </w:r>
      <w:r w:rsidR="00FB2D87" w:rsidRPr="009724B7">
        <w:rPr>
          <w:iCs/>
        </w:rPr>
        <w:t xml:space="preserve"> </w:t>
      </w:r>
      <w:r w:rsidRPr="009724B7">
        <w:rPr>
          <w:iCs/>
        </w:rPr>
        <w:t>Kč včetně 21</w:t>
      </w:r>
      <w:r w:rsidR="00B45DB0" w:rsidRPr="009724B7">
        <w:rPr>
          <w:iCs/>
        </w:rPr>
        <w:t xml:space="preserve"> </w:t>
      </w:r>
      <w:r w:rsidRPr="009724B7">
        <w:rPr>
          <w:iCs/>
        </w:rPr>
        <w:t>% DPH. Faktury budou vystavovány zpětně vždy k 1. 4., 1.</w:t>
      </w:r>
      <w:r w:rsidR="00484C9B" w:rsidRPr="009724B7">
        <w:rPr>
          <w:iCs/>
        </w:rPr>
        <w:t xml:space="preserve"> </w:t>
      </w:r>
      <w:r w:rsidRPr="009724B7">
        <w:rPr>
          <w:iCs/>
        </w:rPr>
        <w:t>7., 1.</w:t>
      </w:r>
      <w:r w:rsidR="00484C9B" w:rsidRPr="009724B7">
        <w:rPr>
          <w:iCs/>
        </w:rPr>
        <w:t xml:space="preserve"> </w:t>
      </w:r>
      <w:r w:rsidRPr="009724B7">
        <w:rPr>
          <w:iCs/>
        </w:rPr>
        <w:t>10.</w:t>
      </w:r>
      <w:r w:rsidR="00FB2D87" w:rsidRPr="009724B7">
        <w:rPr>
          <w:iCs/>
        </w:rPr>
        <w:t xml:space="preserve"> </w:t>
      </w:r>
      <w:r w:rsidRPr="009724B7">
        <w:rPr>
          <w:iCs/>
        </w:rPr>
        <w:t>a 8.</w:t>
      </w:r>
      <w:r w:rsidR="00484C9B" w:rsidRPr="009724B7">
        <w:rPr>
          <w:iCs/>
        </w:rPr>
        <w:t xml:space="preserve"> </w:t>
      </w:r>
      <w:r w:rsidRPr="009724B7">
        <w:rPr>
          <w:iCs/>
        </w:rPr>
        <w:t>12. kalendářního roku.</w:t>
      </w:r>
    </w:p>
    <w:p w14:paraId="29C52FBE" w14:textId="77777777" w:rsidR="002F0694" w:rsidRPr="001C6035" w:rsidRDefault="002F0694" w:rsidP="008A0D7D">
      <w:pPr>
        <w:pStyle w:val="Tlotextu"/>
        <w:spacing w:line="240" w:lineRule="auto"/>
        <w:rPr>
          <w:iCs/>
          <w:szCs w:val="24"/>
        </w:rPr>
      </w:pPr>
    </w:p>
    <w:p w14:paraId="0CC54665" w14:textId="77777777" w:rsidR="002F0694" w:rsidRPr="001C6035" w:rsidRDefault="002F0694" w:rsidP="008A0D7D">
      <w:pPr>
        <w:pStyle w:val="Tlotextu"/>
        <w:spacing w:line="240" w:lineRule="auto"/>
        <w:rPr>
          <w:iCs/>
          <w:szCs w:val="24"/>
        </w:rPr>
      </w:pPr>
      <w:r w:rsidRPr="001C6035">
        <w:rPr>
          <w:iCs/>
          <w:szCs w:val="24"/>
        </w:rPr>
        <w:t>V případě jiné sazby DPH bude dodavatel účtovat uživateli sazbu DPH ve výši odpovídající platným a účinným právním předpisům.</w:t>
      </w:r>
    </w:p>
    <w:p w14:paraId="072A5747" w14:textId="77777777" w:rsidR="002F0694" w:rsidRPr="001C6035" w:rsidRDefault="002F0694" w:rsidP="008A0D7D">
      <w:pPr>
        <w:pStyle w:val="Tlotextu"/>
        <w:spacing w:line="240" w:lineRule="auto"/>
        <w:rPr>
          <w:iCs/>
          <w:szCs w:val="24"/>
        </w:rPr>
      </w:pPr>
    </w:p>
    <w:p w14:paraId="7E62F650" w14:textId="77777777" w:rsidR="002F0694" w:rsidRPr="001C6035" w:rsidRDefault="002F0694" w:rsidP="008A0D7D">
      <w:pPr>
        <w:pStyle w:val="Tlotextu"/>
        <w:spacing w:line="240" w:lineRule="auto"/>
        <w:rPr>
          <w:iCs/>
          <w:szCs w:val="24"/>
        </w:rPr>
      </w:pPr>
      <w:r w:rsidRPr="001C6035">
        <w:rPr>
          <w:iCs/>
          <w:szCs w:val="24"/>
        </w:rPr>
        <w:t>Výše ročního</w:t>
      </w:r>
      <w:r w:rsidR="00484C9B" w:rsidRPr="001C6035">
        <w:rPr>
          <w:iCs/>
          <w:szCs w:val="24"/>
        </w:rPr>
        <w:t xml:space="preserve"> poplatku může být každoročně v průběhu 1. čtvrtletí valorizována podle indexu růstu spotřebitelských cen stanoveného Českým statistickým úřadem za uplynulý kalendářní rok s tím, že příslušné navýšení cen se bude rovnat násobku procentní sazby indexu a výše uvedené úhrady. </w:t>
      </w:r>
    </w:p>
    <w:p w14:paraId="35904BC1" w14:textId="77777777" w:rsidR="00BA771B" w:rsidRPr="001C6035" w:rsidRDefault="00BA771B" w:rsidP="00AA1C7C">
      <w:pPr>
        <w:pStyle w:val="Tlotextu"/>
        <w:spacing w:line="240" w:lineRule="auto"/>
        <w:jc w:val="left"/>
        <w:rPr>
          <w:b/>
          <w:iCs/>
          <w:szCs w:val="24"/>
        </w:rPr>
      </w:pPr>
    </w:p>
    <w:p w14:paraId="7BB70C24" w14:textId="73A5F67C" w:rsidR="00237411" w:rsidRPr="001C6035" w:rsidRDefault="00DA05BF" w:rsidP="00AA1C7C">
      <w:pPr>
        <w:pStyle w:val="Tlotextu"/>
        <w:spacing w:line="240" w:lineRule="auto"/>
        <w:jc w:val="left"/>
        <w:rPr>
          <w:b/>
          <w:iCs/>
          <w:szCs w:val="24"/>
        </w:rPr>
      </w:pPr>
      <w:r>
        <w:rPr>
          <w:b/>
          <w:iCs/>
          <w:szCs w:val="24"/>
        </w:rPr>
        <w:t>8</w:t>
      </w:r>
      <w:r w:rsidR="00237411" w:rsidRPr="001C6035">
        <w:rPr>
          <w:b/>
          <w:iCs/>
          <w:szCs w:val="24"/>
        </w:rPr>
        <w:t xml:space="preserve">.2. </w:t>
      </w:r>
    </w:p>
    <w:p w14:paraId="3859C9E6" w14:textId="77777777" w:rsidR="00237411" w:rsidRPr="001C6035" w:rsidRDefault="00237411" w:rsidP="00DB06FD">
      <w:pPr>
        <w:pStyle w:val="Tlotextu"/>
        <w:spacing w:line="240" w:lineRule="auto"/>
        <w:rPr>
          <w:iCs/>
          <w:szCs w:val="24"/>
        </w:rPr>
      </w:pPr>
      <w:r w:rsidRPr="001C6035">
        <w:rPr>
          <w:iCs/>
          <w:szCs w:val="24"/>
        </w:rPr>
        <w:t>Platba za další služby. Cena za poskytování dalších služeb podle odstavce 6.2. bude kalkulována dle aktuálního ceníku služeb.</w:t>
      </w:r>
    </w:p>
    <w:p w14:paraId="67A34A1A" w14:textId="77777777" w:rsidR="00DB06FD" w:rsidRPr="001C6035" w:rsidRDefault="00DB06FD" w:rsidP="00DB06FD">
      <w:pPr>
        <w:pStyle w:val="Tlotextu"/>
        <w:spacing w:line="240" w:lineRule="auto"/>
        <w:rPr>
          <w:iCs/>
          <w:szCs w:val="24"/>
        </w:rPr>
      </w:pPr>
    </w:p>
    <w:p w14:paraId="7E5EC792" w14:textId="77777777" w:rsidR="00237411" w:rsidRPr="001C6035" w:rsidRDefault="00237411" w:rsidP="00DB06FD">
      <w:pPr>
        <w:pStyle w:val="Tlotextu"/>
        <w:spacing w:line="240" w:lineRule="auto"/>
        <w:rPr>
          <w:iCs/>
          <w:szCs w:val="24"/>
        </w:rPr>
      </w:pPr>
      <w:r w:rsidRPr="001C6035">
        <w:rPr>
          <w:iCs/>
          <w:szCs w:val="24"/>
        </w:rPr>
        <w:t>Fakturace za poskytování dalších služeb bude prováděna na základě protokolu o provedení prací a služeb, podepsaného oprávněným zástupcem uživatele.</w:t>
      </w:r>
    </w:p>
    <w:p w14:paraId="151B1D1C" w14:textId="77777777" w:rsidR="007221C2" w:rsidRPr="001C6035" w:rsidRDefault="007221C2" w:rsidP="00AA1C7C">
      <w:pPr>
        <w:pStyle w:val="Tlotextu"/>
        <w:spacing w:line="240" w:lineRule="auto"/>
        <w:jc w:val="left"/>
        <w:rPr>
          <w:b/>
          <w:iCs/>
          <w:szCs w:val="24"/>
        </w:rPr>
      </w:pPr>
    </w:p>
    <w:p w14:paraId="4C387265" w14:textId="02046250" w:rsidR="00484C9B" w:rsidRPr="001C6035" w:rsidRDefault="00DA05BF" w:rsidP="00AA1C7C">
      <w:pPr>
        <w:pStyle w:val="Tlotextu"/>
        <w:spacing w:line="240" w:lineRule="auto"/>
        <w:jc w:val="left"/>
        <w:rPr>
          <w:b/>
          <w:iCs/>
          <w:szCs w:val="24"/>
        </w:rPr>
      </w:pPr>
      <w:r>
        <w:rPr>
          <w:b/>
          <w:iCs/>
          <w:szCs w:val="24"/>
        </w:rPr>
        <w:t>8</w:t>
      </w:r>
      <w:r w:rsidR="00484C9B" w:rsidRPr="001C6035">
        <w:rPr>
          <w:b/>
          <w:iCs/>
          <w:szCs w:val="24"/>
        </w:rPr>
        <w:t xml:space="preserve">.3. </w:t>
      </w:r>
    </w:p>
    <w:p w14:paraId="2C896183" w14:textId="77777777" w:rsidR="00484C9B" w:rsidRPr="001C6035" w:rsidRDefault="00484C9B" w:rsidP="008A0D7D">
      <w:pPr>
        <w:pStyle w:val="Tlotextu"/>
        <w:spacing w:line="240" w:lineRule="auto"/>
        <w:rPr>
          <w:iCs/>
          <w:szCs w:val="24"/>
        </w:rPr>
      </w:pPr>
      <w:r w:rsidRPr="001C6035">
        <w:rPr>
          <w:iCs/>
          <w:szCs w:val="24"/>
        </w:rPr>
        <w:t>Splatnost faktury je stanovena na 30 dní od data doručení faktury uživateli.</w:t>
      </w:r>
    </w:p>
    <w:p w14:paraId="2D6EA9BF" w14:textId="77777777" w:rsidR="00484C9B" w:rsidRPr="001C6035" w:rsidRDefault="00484C9B" w:rsidP="008A0D7D">
      <w:pPr>
        <w:pStyle w:val="Tlotextu"/>
        <w:spacing w:line="240" w:lineRule="auto"/>
        <w:rPr>
          <w:iCs/>
          <w:szCs w:val="24"/>
        </w:rPr>
      </w:pPr>
    </w:p>
    <w:p w14:paraId="0972BEFC" w14:textId="0C04CA31" w:rsidR="00484C9B" w:rsidRPr="001C6035" w:rsidRDefault="00484C9B" w:rsidP="008A0D7D">
      <w:pPr>
        <w:pStyle w:val="Tlotextu"/>
        <w:spacing w:line="240" w:lineRule="auto"/>
        <w:rPr>
          <w:iCs/>
          <w:szCs w:val="24"/>
        </w:rPr>
      </w:pPr>
      <w:r w:rsidRPr="001C6035">
        <w:rPr>
          <w:iCs/>
          <w:szCs w:val="24"/>
        </w:rPr>
        <w:t>Faktury vystavené dodavatelem musí obsahovat veškeré náležitosti daňového dokladu uvedené v § 2</w:t>
      </w:r>
      <w:r w:rsidR="00530A5C">
        <w:rPr>
          <w:iCs/>
          <w:szCs w:val="24"/>
        </w:rPr>
        <w:t>9</w:t>
      </w:r>
      <w:r w:rsidRPr="001C6035">
        <w:rPr>
          <w:iCs/>
          <w:szCs w:val="24"/>
        </w:rPr>
        <w:t xml:space="preserve"> odst. č. 23</w:t>
      </w:r>
      <w:r w:rsidR="00530A5C">
        <w:rPr>
          <w:iCs/>
          <w:szCs w:val="24"/>
        </w:rPr>
        <w:t>5</w:t>
      </w:r>
      <w:r w:rsidRPr="001C6035">
        <w:rPr>
          <w:iCs/>
          <w:szCs w:val="24"/>
        </w:rPr>
        <w:t xml:space="preserve">/2004 Sb., o </w:t>
      </w:r>
      <w:r w:rsidR="00530A5C">
        <w:rPr>
          <w:iCs/>
          <w:szCs w:val="24"/>
        </w:rPr>
        <w:t>dani z přidané hodnoty, ve znění pozdějších předpisů</w:t>
      </w:r>
      <w:r w:rsidRPr="001C6035">
        <w:rPr>
          <w:iCs/>
          <w:szCs w:val="24"/>
        </w:rPr>
        <w:t xml:space="preserve"> a musí obsahovat odkaz na tuto Smlouvu.</w:t>
      </w:r>
    </w:p>
    <w:p w14:paraId="12157EAD" w14:textId="77777777" w:rsidR="00873319" w:rsidRDefault="00873319" w:rsidP="0091379B">
      <w:pPr>
        <w:pStyle w:val="Tlotextu"/>
        <w:spacing w:line="240" w:lineRule="auto"/>
        <w:jc w:val="center"/>
        <w:rPr>
          <w:b/>
          <w:szCs w:val="24"/>
        </w:rPr>
      </w:pPr>
    </w:p>
    <w:p w14:paraId="5DA95E01" w14:textId="6C57BCC7" w:rsidR="0091379B" w:rsidRDefault="00DB06FD" w:rsidP="0091379B">
      <w:pPr>
        <w:pStyle w:val="Tlotextu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I</w:t>
      </w:r>
      <w:r w:rsidR="00B217F5">
        <w:rPr>
          <w:b/>
          <w:szCs w:val="24"/>
        </w:rPr>
        <w:t>II</w:t>
      </w:r>
      <w:r w:rsidR="0091379B" w:rsidRPr="0091379B">
        <w:rPr>
          <w:b/>
          <w:szCs w:val="24"/>
        </w:rPr>
        <w:t>.</w:t>
      </w:r>
    </w:p>
    <w:p w14:paraId="45883E2E" w14:textId="77777777" w:rsidR="00484C9B" w:rsidRPr="0091379B" w:rsidRDefault="00484C9B" w:rsidP="0091379B">
      <w:pPr>
        <w:pStyle w:val="Tlotextu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Ostatní ustanovení</w:t>
      </w:r>
    </w:p>
    <w:p w14:paraId="16C6412E" w14:textId="77777777" w:rsidR="0091379B" w:rsidRDefault="0091379B" w:rsidP="0091379B">
      <w:pPr>
        <w:pStyle w:val="Tlotextu"/>
        <w:spacing w:line="240" w:lineRule="auto"/>
        <w:jc w:val="center"/>
        <w:rPr>
          <w:szCs w:val="24"/>
        </w:rPr>
      </w:pPr>
    </w:p>
    <w:p w14:paraId="4EBF4CB7" w14:textId="77777777" w:rsidR="0091379B" w:rsidRDefault="00484C9B" w:rsidP="008A0D7D">
      <w:pPr>
        <w:pStyle w:val="Tlotextu"/>
        <w:spacing w:line="240" w:lineRule="auto"/>
        <w:rPr>
          <w:b/>
        </w:rPr>
      </w:pPr>
      <w:r>
        <w:t xml:space="preserve">Smluvní strany se dohodly a shodně konstatují, že ostatní ujednání Smlouvy se nemění </w:t>
      </w:r>
      <w:r w:rsidR="00873319">
        <w:br/>
      </w:r>
      <w:r>
        <w:t xml:space="preserve">a zůstávají </w:t>
      </w:r>
      <w:r w:rsidR="00DB06FD">
        <w:t>v platnosti</w:t>
      </w:r>
      <w:r>
        <w:t>.</w:t>
      </w:r>
    </w:p>
    <w:p w14:paraId="1BEEDB81" w14:textId="77777777" w:rsidR="0091379B" w:rsidRDefault="0091379B" w:rsidP="0091379B">
      <w:pPr>
        <w:pStyle w:val="Tlotextu"/>
        <w:spacing w:line="240" w:lineRule="auto"/>
        <w:jc w:val="center"/>
        <w:rPr>
          <w:szCs w:val="24"/>
        </w:rPr>
      </w:pPr>
    </w:p>
    <w:p w14:paraId="3567A13B" w14:textId="7CF20638" w:rsidR="000F5EEB" w:rsidRDefault="00B217F5" w:rsidP="000F5EEB">
      <w:pPr>
        <w:pStyle w:val="Tlotextu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I</w:t>
      </w:r>
      <w:r w:rsidR="00DB06FD">
        <w:rPr>
          <w:b/>
          <w:szCs w:val="24"/>
        </w:rPr>
        <w:t>V</w:t>
      </w:r>
      <w:r w:rsidR="000F5EEB" w:rsidRPr="000F5EEB">
        <w:rPr>
          <w:b/>
          <w:szCs w:val="24"/>
        </w:rPr>
        <w:t>.</w:t>
      </w:r>
    </w:p>
    <w:p w14:paraId="63A12534" w14:textId="77777777" w:rsidR="007C2A18" w:rsidRDefault="00484C9B" w:rsidP="007C2A18">
      <w:pPr>
        <w:pStyle w:val="Tlotextu"/>
        <w:spacing w:line="240" w:lineRule="auto"/>
        <w:jc w:val="center"/>
        <w:rPr>
          <w:b/>
          <w:szCs w:val="24"/>
        </w:rPr>
      </w:pPr>
      <w:r w:rsidRPr="00484C9B">
        <w:rPr>
          <w:b/>
          <w:szCs w:val="24"/>
        </w:rPr>
        <w:t>Závěrečná ustanovení</w:t>
      </w:r>
    </w:p>
    <w:p w14:paraId="381D34C0" w14:textId="77777777" w:rsidR="00484C9B" w:rsidRPr="00484C9B" w:rsidRDefault="00484C9B" w:rsidP="007C2A18">
      <w:pPr>
        <w:pStyle w:val="Tlotextu"/>
        <w:spacing w:line="240" w:lineRule="auto"/>
        <w:jc w:val="center"/>
        <w:rPr>
          <w:b/>
          <w:szCs w:val="24"/>
        </w:rPr>
      </w:pPr>
    </w:p>
    <w:p w14:paraId="537D8310" w14:textId="39E68AFF" w:rsidR="007C2A18" w:rsidRDefault="008B382E" w:rsidP="008A0D7D">
      <w:pPr>
        <w:pStyle w:val="Tlotextu"/>
        <w:spacing w:line="240" w:lineRule="auto"/>
        <w:rPr>
          <w:szCs w:val="24"/>
        </w:rPr>
      </w:pPr>
      <w:r>
        <w:rPr>
          <w:szCs w:val="24"/>
        </w:rPr>
        <w:t xml:space="preserve">Tento Dodatek č. </w:t>
      </w:r>
      <w:r w:rsidR="00273E0D">
        <w:rPr>
          <w:szCs w:val="24"/>
        </w:rPr>
        <w:t>1</w:t>
      </w:r>
      <w:r w:rsidR="000E00EC">
        <w:rPr>
          <w:szCs w:val="24"/>
        </w:rPr>
        <w:t>2</w:t>
      </w:r>
      <w:r w:rsidR="00484C9B">
        <w:rPr>
          <w:szCs w:val="24"/>
        </w:rPr>
        <w:t xml:space="preserve"> je vyhotoven </w:t>
      </w:r>
      <w:r w:rsidR="00D75EEB">
        <w:rPr>
          <w:szCs w:val="24"/>
        </w:rPr>
        <w:t>v elektronické formě.</w:t>
      </w:r>
    </w:p>
    <w:p w14:paraId="4911B953" w14:textId="77777777" w:rsidR="00E67741" w:rsidRDefault="00E67741" w:rsidP="008A0D7D">
      <w:pPr>
        <w:pStyle w:val="Tlotextu"/>
        <w:spacing w:line="240" w:lineRule="auto"/>
        <w:rPr>
          <w:szCs w:val="24"/>
        </w:rPr>
      </w:pPr>
    </w:p>
    <w:p w14:paraId="47FF8822" w14:textId="2FB9D1F6" w:rsidR="00E67741" w:rsidRDefault="00E67741" w:rsidP="008A0D7D">
      <w:pPr>
        <w:pStyle w:val="Tlotextu"/>
        <w:spacing w:line="240" w:lineRule="auto"/>
        <w:rPr>
          <w:szCs w:val="24"/>
        </w:rPr>
      </w:pPr>
      <w:r>
        <w:rPr>
          <w:szCs w:val="24"/>
        </w:rPr>
        <w:t xml:space="preserve">Tento Dodatek č. </w:t>
      </w:r>
      <w:r w:rsidR="00273E0D">
        <w:rPr>
          <w:szCs w:val="24"/>
        </w:rPr>
        <w:t>1</w:t>
      </w:r>
      <w:r w:rsidR="000E00EC">
        <w:rPr>
          <w:szCs w:val="24"/>
        </w:rPr>
        <w:t>2</w:t>
      </w:r>
      <w:r>
        <w:rPr>
          <w:szCs w:val="24"/>
        </w:rPr>
        <w:t xml:space="preserve"> nabývá platnosti dnem jeho podpisu oběma smluvními stranami a účinnosti dnem jeho zveřejnění v registru smluv podle zákona č. 340/2018 Sb., zákon o zvláštních podmínkách účinnosti některých smluv, uveřejňování těchto smluv a o registru smluv. </w:t>
      </w:r>
    </w:p>
    <w:p w14:paraId="1119EA70" w14:textId="77777777" w:rsidR="00484C9B" w:rsidRDefault="00484C9B" w:rsidP="008A0D7D">
      <w:pPr>
        <w:pStyle w:val="Tlotextu"/>
        <w:spacing w:line="240" w:lineRule="auto"/>
        <w:rPr>
          <w:szCs w:val="24"/>
        </w:rPr>
      </w:pPr>
    </w:p>
    <w:p w14:paraId="2A437433" w14:textId="3B396E11" w:rsidR="00484C9B" w:rsidRDefault="00484C9B" w:rsidP="008A0D7D">
      <w:pPr>
        <w:pStyle w:val="Tlotextu"/>
        <w:spacing w:line="240" w:lineRule="auto"/>
        <w:rPr>
          <w:szCs w:val="24"/>
        </w:rPr>
      </w:pPr>
      <w:r>
        <w:rPr>
          <w:szCs w:val="24"/>
        </w:rPr>
        <w:t xml:space="preserve">Smluvní strany po přečtení Dodatku č. </w:t>
      </w:r>
      <w:r w:rsidR="00273E0D">
        <w:rPr>
          <w:szCs w:val="24"/>
        </w:rPr>
        <w:t>1</w:t>
      </w:r>
      <w:r w:rsidR="000E00EC">
        <w:rPr>
          <w:szCs w:val="24"/>
        </w:rPr>
        <w:t>2</w:t>
      </w:r>
      <w:r>
        <w:rPr>
          <w:szCs w:val="24"/>
        </w:rPr>
        <w:t xml:space="preserve"> prohlašují, že souhlasí s jejím obsahem, že </w:t>
      </w:r>
      <w:r w:rsidR="00DB06FD">
        <w:rPr>
          <w:szCs w:val="24"/>
        </w:rPr>
        <w:t xml:space="preserve">byl </w:t>
      </w:r>
      <w:r>
        <w:rPr>
          <w:szCs w:val="24"/>
        </w:rPr>
        <w:t>sepsán na základě pravdivých údajů, jejich pravé a svobodné vůl</w:t>
      </w:r>
      <w:r w:rsidR="005D42FA">
        <w:rPr>
          <w:szCs w:val="24"/>
        </w:rPr>
        <w:t>e</w:t>
      </w:r>
      <w:r>
        <w:rPr>
          <w:szCs w:val="24"/>
        </w:rPr>
        <w:t xml:space="preserve"> a nebyl ujednán v tísni ani za jinak jednostranně nevýhodných podmínek.</w:t>
      </w:r>
    </w:p>
    <w:p w14:paraId="78CD9420" w14:textId="77777777" w:rsidR="000F5EEB" w:rsidRPr="000F5EEB" w:rsidRDefault="000F5EEB" w:rsidP="000F5EEB">
      <w:pPr>
        <w:pStyle w:val="Tlotextu"/>
        <w:spacing w:line="240" w:lineRule="auto"/>
        <w:jc w:val="left"/>
      </w:pPr>
    </w:p>
    <w:p w14:paraId="04FFA40E" w14:textId="77777777" w:rsidR="007440B5" w:rsidRDefault="007440B5" w:rsidP="007440B5">
      <w:pPr>
        <w:jc w:val="both"/>
      </w:pPr>
    </w:p>
    <w:p w14:paraId="137E7D3C" w14:textId="6E522D09" w:rsidR="008B382E" w:rsidRDefault="008B382E" w:rsidP="008B382E">
      <w:pPr>
        <w:spacing w:line="256" w:lineRule="auto"/>
        <w:jc w:val="both"/>
      </w:pPr>
      <w:r>
        <w:t xml:space="preserve">V Praze </w:t>
      </w:r>
      <w:r w:rsidR="008B5B19">
        <w:t>dne 22.3.2024</w:t>
      </w:r>
      <w:r w:rsidR="00D75EEB">
        <w:tab/>
      </w:r>
      <w:r w:rsidR="00D75EEB">
        <w:tab/>
      </w:r>
      <w:r>
        <w:tab/>
      </w:r>
      <w:r>
        <w:tab/>
      </w:r>
      <w:r>
        <w:tab/>
      </w:r>
      <w:r>
        <w:tab/>
        <w:t xml:space="preserve">V Praze </w:t>
      </w:r>
      <w:r w:rsidR="009A1E9D">
        <w:t>dne 25.3.2024</w:t>
      </w:r>
    </w:p>
    <w:p w14:paraId="21E150EA" w14:textId="77777777" w:rsidR="00DA3A03" w:rsidRDefault="00DA3A03">
      <w:pPr>
        <w:jc w:val="both"/>
      </w:pPr>
    </w:p>
    <w:p w14:paraId="5BE9EE55" w14:textId="77777777" w:rsidR="00DA3A03" w:rsidRDefault="00DA3A03">
      <w:pPr>
        <w:jc w:val="both"/>
      </w:pPr>
    </w:p>
    <w:p w14:paraId="24A7DC3B" w14:textId="77777777" w:rsidR="007440B5" w:rsidRDefault="007440B5">
      <w:pPr>
        <w:jc w:val="both"/>
      </w:pPr>
    </w:p>
    <w:p w14:paraId="38691E1A" w14:textId="080AB621" w:rsidR="00001874" w:rsidRDefault="006D2FE5">
      <w:pPr>
        <w:pStyle w:val="Odstavecseseznamem"/>
        <w:ind w:hanging="862"/>
        <w:jc w:val="both"/>
      </w:pPr>
      <w:r>
        <w:t xml:space="preserve">…………………………….                                                               …………………………      </w:t>
      </w:r>
    </w:p>
    <w:p w14:paraId="33B4A283" w14:textId="27DC586E" w:rsidR="00001874" w:rsidRDefault="006D2FE5">
      <w:pPr>
        <w:jc w:val="both"/>
      </w:pPr>
      <w:r>
        <w:t xml:space="preserve">     Za </w:t>
      </w:r>
      <w:r w:rsidR="00484C9B">
        <w:t>dodavatele</w:t>
      </w:r>
      <w:r>
        <w:t xml:space="preserve">                                                                        </w:t>
      </w:r>
      <w:r w:rsidR="004F29CA">
        <w:t xml:space="preserve"> </w:t>
      </w:r>
      <w:r>
        <w:t xml:space="preserve">      </w:t>
      </w:r>
      <w:r w:rsidR="00C023AA">
        <w:tab/>
      </w:r>
      <w:r>
        <w:t xml:space="preserve">Za </w:t>
      </w:r>
      <w:r w:rsidR="00484C9B">
        <w:t>uživatele</w:t>
      </w:r>
    </w:p>
    <w:p w14:paraId="3BC632C6" w14:textId="5F5946F0" w:rsidR="00D75EEB" w:rsidRDefault="00D75EEB">
      <w:pPr>
        <w:jc w:val="both"/>
      </w:pPr>
      <w:r>
        <w:t xml:space="preserve">Ing. Vítězslav </w:t>
      </w:r>
      <w:proofErr w:type="spellStart"/>
      <w:r>
        <w:t>Ciml</w:t>
      </w:r>
      <w:proofErr w:type="spellEnd"/>
      <w:r>
        <w:tab/>
      </w:r>
      <w:r>
        <w:tab/>
      </w:r>
      <w:r w:rsidR="004F29CA"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 w:rsidR="000E00EC">
        <w:t xml:space="preserve">        </w:t>
      </w:r>
      <w:r w:rsidRPr="00892BEC">
        <w:t>Ing.</w:t>
      </w:r>
      <w:r w:rsidR="004F29CA" w:rsidRPr="00892BEC">
        <w:t xml:space="preserve"> </w:t>
      </w:r>
      <w:r w:rsidR="000E00EC">
        <w:t>Václav Jelen</w:t>
      </w:r>
    </w:p>
    <w:sectPr w:rsidR="00D75EEB" w:rsidSect="007A5510">
      <w:headerReference w:type="default" r:id="rId8"/>
      <w:footerReference w:type="default" r:id="rId9"/>
      <w:pgSz w:w="11906" w:h="16838"/>
      <w:pgMar w:top="1134" w:right="1418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C577" w14:textId="77777777" w:rsidR="007A5510" w:rsidRDefault="007A5510" w:rsidP="00001874">
      <w:pPr>
        <w:spacing w:line="240" w:lineRule="auto"/>
      </w:pPr>
      <w:r>
        <w:separator/>
      </w:r>
    </w:p>
  </w:endnote>
  <w:endnote w:type="continuationSeparator" w:id="0">
    <w:p w14:paraId="15A15423" w14:textId="77777777" w:rsidR="007A5510" w:rsidRDefault="007A5510" w:rsidP="00001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0BC6" w14:textId="77777777" w:rsidR="001A6DA9" w:rsidRDefault="00AC7A65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E67741">
      <w:rPr>
        <w:noProof/>
      </w:rPr>
      <w:t>3</w:t>
    </w:r>
    <w:r>
      <w:rPr>
        <w:noProof/>
      </w:rPr>
      <w:fldChar w:fldCharType="end"/>
    </w:r>
  </w:p>
  <w:p w14:paraId="45246620" w14:textId="77777777" w:rsidR="001A6DA9" w:rsidRDefault="001A6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715B" w14:textId="77777777" w:rsidR="007A5510" w:rsidRDefault="007A5510" w:rsidP="00001874">
      <w:pPr>
        <w:spacing w:line="240" w:lineRule="auto"/>
      </w:pPr>
      <w:r>
        <w:separator/>
      </w:r>
    </w:p>
  </w:footnote>
  <w:footnote w:type="continuationSeparator" w:id="0">
    <w:p w14:paraId="1B021A88" w14:textId="77777777" w:rsidR="007A5510" w:rsidRDefault="007A5510" w:rsidP="000018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DBD8" w14:textId="77777777" w:rsidR="009004CA" w:rsidRDefault="009004CA" w:rsidP="009004CA">
    <w:pPr>
      <w:pStyle w:val="Zhlav"/>
      <w:rPr>
        <w:sz w:val="20"/>
      </w:rPr>
    </w:pPr>
  </w:p>
  <w:p w14:paraId="139DC01E" w14:textId="77777777" w:rsidR="009004CA" w:rsidRDefault="009004CA" w:rsidP="009004CA">
    <w:pPr>
      <w:pStyle w:val="Zhlav"/>
      <w:rPr>
        <w:sz w:val="20"/>
      </w:rPr>
    </w:pPr>
  </w:p>
  <w:p w14:paraId="25DFFFCA" w14:textId="77777777" w:rsidR="009004CA" w:rsidRPr="00DE575A" w:rsidRDefault="009004CA" w:rsidP="009004CA">
    <w:pPr>
      <w:pStyle w:val="Zhlav"/>
      <w:rPr>
        <w:sz w:val="20"/>
      </w:rPr>
    </w:pPr>
  </w:p>
  <w:p w14:paraId="1D64A766" w14:textId="77777777" w:rsidR="009004CA" w:rsidRDefault="009004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6D4"/>
    <w:multiLevelType w:val="multilevel"/>
    <w:tmpl w:val="6D548C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7D4BC4"/>
    <w:multiLevelType w:val="multilevel"/>
    <w:tmpl w:val="A6A47E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D629A"/>
    <w:multiLevelType w:val="multilevel"/>
    <w:tmpl w:val="E76248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C4AAE"/>
    <w:multiLevelType w:val="multilevel"/>
    <w:tmpl w:val="645216B2"/>
    <w:lvl w:ilvl="0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E370EBB"/>
    <w:multiLevelType w:val="multilevel"/>
    <w:tmpl w:val="BF000E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9D33408"/>
    <w:multiLevelType w:val="multilevel"/>
    <w:tmpl w:val="9ED4A8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7785C"/>
    <w:multiLevelType w:val="multilevel"/>
    <w:tmpl w:val="614867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012A98"/>
    <w:multiLevelType w:val="multilevel"/>
    <w:tmpl w:val="93300F2C"/>
    <w:lvl w:ilvl="0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7970817">
    <w:abstractNumId w:val="0"/>
  </w:num>
  <w:num w:numId="2" w16cid:durableId="1186671679">
    <w:abstractNumId w:val="6"/>
  </w:num>
  <w:num w:numId="3" w16cid:durableId="1068653969">
    <w:abstractNumId w:val="5"/>
  </w:num>
  <w:num w:numId="4" w16cid:durableId="731193259">
    <w:abstractNumId w:val="1"/>
  </w:num>
  <w:num w:numId="5" w16cid:durableId="2099014395">
    <w:abstractNumId w:val="2"/>
  </w:num>
  <w:num w:numId="6" w16cid:durableId="2110540987">
    <w:abstractNumId w:val="3"/>
  </w:num>
  <w:num w:numId="7" w16cid:durableId="580680474">
    <w:abstractNumId w:val="7"/>
  </w:num>
  <w:num w:numId="8" w16cid:durableId="1751655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74"/>
    <w:rsid w:val="00001874"/>
    <w:rsid w:val="00041D81"/>
    <w:rsid w:val="000527CC"/>
    <w:rsid w:val="00057138"/>
    <w:rsid w:val="0007693C"/>
    <w:rsid w:val="000815BF"/>
    <w:rsid w:val="00087996"/>
    <w:rsid w:val="000B7E15"/>
    <w:rsid w:val="000E00EC"/>
    <w:rsid w:val="000F5EEB"/>
    <w:rsid w:val="00133B0C"/>
    <w:rsid w:val="00136CE9"/>
    <w:rsid w:val="00152BE3"/>
    <w:rsid w:val="00160C90"/>
    <w:rsid w:val="00192892"/>
    <w:rsid w:val="001A6DA9"/>
    <w:rsid w:val="001B7F45"/>
    <w:rsid w:val="001C6035"/>
    <w:rsid w:val="001D1931"/>
    <w:rsid w:val="001E2EE8"/>
    <w:rsid w:val="001E765D"/>
    <w:rsid w:val="002229C5"/>
    <w:rsid w:val="0023269C"/>
    <w:rsid w:val="00237411"/>
    <w:rsid w:val="0025549A"/>
    <w:rsid w:val="0026005E"/>
    <w:rsid w:val="00273E0D"/>
    <w:rsid w:val="002745C1"/>
    <w:rsid w:val="00282F69"/>
    <w:rsid w:val="002C3DFF"/>
    <w:rsid w:val="002C4269"/>
    <w:rsid w:val="002F0694"/>
    <w:rsid w:val="003330F7"/>
    <w:rsid w:val="00367EC5"/>
    <w:rsid w:val="003A1122"/>
    <w:rsid w:val="003C64F5"/>
    <w:rsid w:val="003F74C9"/>
    <w:rsid w:val="00425E99"/>
    <w:rsid w:val="00444549"/>
    <w:rsid w:val="00446230"/>
    <w:rsid w:val="00450F19"/>
    <w:rsid w:val="004602E1"/>
    <w:rsid w:val="004817C1"/>
    <w:rsid w:val="00484C9B"/>
    <w:rsid w:val="004964BC"/>
    <w:rsid w:val="004A1E7B"/>
    <w:rsid w:val="004D7724"/>
    <w:rsid w:val="004F29CA"/>
    <w:rsid w:val="00530A5C"/>
    <w:rsid w:val="00543EDA"/>
    <w:rsid w:val="0056022F"/>
    <w:rsid w:val="00566E56"/>
    <w:rsid w:val="005740D7"/>
    <w:rsid w:val="00575A31"/>
    <w:rsid w:val="00587599"/>
    <w:rsid w:val="005B5119"/>
    <w:rsid w:val="005D2AA3"/>
    <w:rsid w:val="005D42FA"/>
    <w:rsid w:val="005D6CEB"/>
    <w:rsid w:val="00626824"/>
    <w:rsid w:val="00627F1E"/>
    <w:rsid w:val="00633621"/>
    <w:rsid w:val="006A102A"/>
    <w:rsid w:val="006B11EB"/>
    <w:rsid w:val="006B4F56"/>
    <w:rsid w:val="006D2FE5"/>
    <w:rsid w:val="006D43AE"/>
    <w:rsid w:val="00701087"/>
    <w:rsid w:val="007221C2"/>
    <w:rsid w:val="00734783"/>
    <w:rsid w:val="00740D2F"/>
    <w:rsid w:val="007440B5"/>
    <w:rsid w:val="0075691D"/>
    <w:rsid w:val="007A5510"/>
    <w:rsid w:val="007C2A18"/>
    <w:rsid w:val="007F6AA8"/>
    <w:rsid w:val="008073BD"/>
    <w:rsid w:val="00820A9C"/>
    <w:rsid w:val="00823A36"/>
    <w:rsid w:val="00823F60"/>
    <w:rsid w:val="008366A5"/>
    <w:rsid w:val="00842A97"/>
    <w:rsid w:val="00853789"/>
    <w:rsid w:val="008549D1"/>
    <w:rsid w:val="00865889"/>
    <w:rsid w:val="00873319"/>
    <w:rsid w:val="008915F6"/>
    <w:rsid w:val="00891E32"/>
    <w:rsid w:val="00892BEC"/>
    <w:rsid w:val="008A0D7D"/>
    <w:rsid w:val="008B382E"/>
    <w:rsid w:val="008B5B19"/>
    <w:rsid w:val="008E2DC7"/>
    <w:rsid w:val="008F59A7"/>
    <w:rsid w:val="009004CA"/>
    <w:rsid w:val="0091379B"/>
    <w:rsid w:val="00926903"/>
    <w:rsid w:val="00940578"/>
    <w:rsid w:val="009724B7"/>
    <w:rsid w:val="00973F1B"/>
    <w:rsid w:val="009A0694"/>
    <w:rsid w:val="009A0B2F"/>
    <w:rsid w:val="009A1677"/>
    <w:rsid w:val="009A1E9D"/>
    <w:rsid w:val="009B1E96"/>
    <w:rsid w:val="009B2E35"/>
    <w:rsid w:val="009C43AD"/>
    <w:rsid w:val="009D7039"/>
    <w:rsid w:val="00A249D3"/>
    <w:rsid w:val="00A5614E"/>
    <w:rsid w:val="00A77BE2"/>
    <w:rsid w:val="00A90787"/>
    <w:rsid w:val="00A9535E"/>
    <w:rsid w:val="00AA1C7C"/>
    <w:rsid w:val="00AA298C"/>
    <w:rsid w:val="00AA3B2E"/>
    <w:rsid w:val="00AB4F5D"/>
    <w:rsid w:val="00AB6BCC"/>
    <w:rsid w:val="00AC7A65"/>
    <w:rsid w:val="00AF3DDC"/>
    <w:rsid w:val="00AF4E8E"/>
    <w:rsid w:val="00B16EB4"/>
    <w:rsid w:val="00B217F5"/>
    <w:rsid w:val="00B45DB0"/>
    <w:rsid w:val="00B4600C"/>
    <w:rsid w:val="00B666A9"/>
    <w:rsid w:val="00B844E2"/>
    <w:rsid w:val="00BA771B"/>
    <w:rsid w:val="00BD216D"/>
    <w:rsid w:val="00BE637B"/>
    <w:rsid w:val="00BF7EA5"/>
    <w:rsid w:val="00C023AA"/>
    <w:rsid w:val="00C16C19"/>
    <w:rsid w:val="00C52D77"/>
    <w:rsid w:val="00C77D51"/>
    <w:rsid w:val="00C82CD6"/>
    <w:rsid w:val="00CA31E9"/>
    <w:rsid w:val="00CB1094"/>
    <w:rsid w:val="00CD5E44"/>
    <w:rsid w:val="00CF24B0"/>
    <w:rsid w:val="00CF24B8"/>
    <w:rsid w:val="00CF5E0B"/>
    <w:rsid w:val="00D75EEB"/>
    <w:rsid w:val="00D8049F"/>
    <w:rsid w:val="00D91278"/>
    <w:rsid w:val="00DA05BF"/>
    <w:rsid w:val="00DA3A03"/>
    <w:rsid w:val="00DA6D53"/>
    <w:rsid w:val="00DB06FD"/>
    <w:rsid w:val="00DC742C"/>
    <w:rsid w:val="00DF3855"/>
    <w:rsid w:val="00E02AAF"/>
    <w:rsid w:val="00E36A9F"/>
    <w:rsid w:val="00E4262E"/>
    <w:rsid w:val="00E47FDC"/>
    <w:rsid w:val="00E613F8"/>
    <w:rsid w:val="00E66FA6"/>
    <w:rsid w:val="00E67741"/>
    <w:rsid w:val="00E70A45"/>
    <w:rsid w:val="00E7115F"/>
    <w:rsid w:val="00E71E13"/>
    <w:rsid w:val="00E72A5E"/>
    <w:rsid w:val="00E76215"/>
    <w:rsid w:val="00E84B6C"/>
    <w:rsid w:val="00E93AF0"/>
    <w:rsid w:val="00EA668C"/>
    <w:rsid w:val="00EE0A8F"/>
    <w:rsid w:val="00EF594A"/>
    <w:rsid w:val="00F12B6B"/>
    <w:rsid w:val="00F210CC"/>
    <w:rsid w:val="00F7282D"/>
    <w:rsid w:val="00F73F5C"/>
    <w:rsid w:val="00F86FA9"/>
    <w:rsid w:val="00F97D7F"/>
    <w:rsid w:val="00FB2D87"/>
    <w:rsid w:val="00F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E09D"/>
  <w15:docId w15:val="{22F30011-3329-4E22-8520-EE5B03A7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0187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rsid w:val="00001874"/>
    <w:pPr>
      <w:keepNext/>
      <w:widowControl w:val="0"/>
      <w:jc w:val="both"/>
      <w:outlineLvl w:val="0"/>
    </w:pPr>
    <w:rPr>
      <w:b/>
      <w:szCs w:val="20"/>
    </w:rPr>
  </w:style>
  <w:style w:type="paragraph" w:styleId="Nadpis5">
    <w:name w:val="heading 5"/>
    <w:basedOn w:val="Normln"/>
    <w:rsid w:val="00001874"/>
    <w:pPr>
      <w:keepNext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rsid w:val="0000187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Internetovodkaz">
    <w:name w:val="Internetový odkaz"/>
    <w:basedOn w:val="Standardnpsmoodstavce"/>
    <w:rsid w:val="00001874"/>
    <w:rPr>
      <w:color w:val="0000FF"/>
      <w:u w:val="single"/>
    </w:rPr>
  </w:style>
  <w:style w:type="character" w:customStyle="1" w:styleId="ZkladntextChar">
    <w:name w:val="Základní text Char"/>
    <w:basedOn w:val="Standardnpsmoodstavce"/>
    <w:rsid w:val="0000187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rsid w:val="0000187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rsid w:val="0000187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rsid w:val="00001874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00187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sid w:val="0000187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rsid w:val="0000187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rsid w:val="000018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rsid w:val="000018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rsid w:val="00001874"/>
    <w:rPr>
      <w:b w:val="0"/>
    </w:rPr>
  </w:style>
  <w:style w:type="character" w:customStyle="1" w:styleId="ListLabel2">
    <w:name w:val="ListLabel 2"/>
    <w:rsid w:val="00001874"/>
    <w:rPr>
      <w:b/>
      <w:i w:val="0"/>
    </w:rPr>
  </w:style>
  <w:style w:type="paragraph" w:customStyle="1" w:styleId="Nadpis">
    <w:name w:val="Nadpis"/>
    <w:basedOn w:val="Normln"/>
    <w:next w:val="Tlotextu"/>
    <w:rsid w:val="000018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rsid w:val="00001874"/>
    <w:pPr>
      <w:spacing w:line="240" w:lineRule="atLeast"/>
      <w:jc w:val="both"/>
    </w:pPr>
    <w:rPr>
      <w:szCs w:val="20"/>
    </w:rPr>
  </w:style>
  <w:style w:type="paragraph" w:styleId="Seznam">
    <w:name w:val="List"/>
    <w:basedOn w:val="Tlotextu"/>
    <w:rsid w:val="00001874"/>
    <w:rPr>
      <w:rFonts w:cs="Mangal"/>
    </w:rPr>
  </w:style>
  <w:style w:type="paragraph" w:customStyle="1" w:styleId="Popisek">
    <w:name w:val="Popisek"/>
    <w:basedOn w:val="Normln"/>
    <w:rsid w:val="0000187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001874"/>
    <w:pPr>
      <w:suppressLineNumbers/>
    </w:pPr>
    <w:rPr>
      <w:rFonts w:cs="Mangal"/>
    </w:rPr>
  </w:style>
  <w:style w:type="paragraph" w:styleId="Nzev">
    <w:name w:val="Title"/>
    <w:basedOn w:val="Normln"/>
    <w:rsid w:val="00001874"/>
    <w:pPr>
      <w:jc w:val="center"/>
    </w:pPr>
    <w:rPr>
      <w:b/>
      <w:sz w:val="32"/>
      <w:szCs w:val="20"/>
    </w:rPr>
  </w:style>
  <w:style w:type="paragraph" w:styleId="Odstavecseseznamem">
    <w:name w:val="List Paragraph"/>
    <w:basedOn w:val="Normln"/>
    <w:rsid w:val="00001874"/>
    <w:pPr>
      <w:ind w:left="720"/>
      <w:contextualSpacing/>
    </w:pPr>
  </w:style>
  <w:style w:type="paragraph" w:customStyle="1" w:styleId="zkladntext">
    <w:name w:val="zkladntext"/>
    <w:basedOn w:val="Normln"/>
    <w:rsid w:val="00001874"/>
    <w:pPr>
      <w:spacing w:before="280" w:after="280"/>
    </w:pPr>
  </w:style>
  <w:style w:type="paragraph" w:customStyle="1" w:styleId="Nadpiselnku">
    <w:name w:val="Nadpis elánku"/>
    <w:basedOn w:val="Normln"/>
    <w:rsid w:val="00001874"/>
    <w:pPr>
      <w:jc w:val="both"/>
    </w:pPr>
    <w:rPr>
      <w:b/>
      <w:szCs w:val="20"/>
      <w:u w:val="single"/>
    </w:rPr>
  </w:style>
  <w:style w:type="paragraph" w:customStyle="1" w:styleId="Zkladntext0">
    <w:name w:val="Základní text["/>
    <w:basedOn w:val="Normln"/>
    <w:rsid w:val="00001874"/>
    <w:pPr>
      <w:jc w:val="both"/>
    </w:pPr>
    <w:rPr>
      <w:szCs w:val="20"/>
    </w:rPr>
  </w:style>
  <w:style w:type="paragraph" w:customStyle="1" w:styleId="Zkladntext21">
    <w:name w:val="Základní text 21"/>
    <w:basedOn w:val="Normln"/>
    <w:rsid w:val="00001874"/>
    <w:pPr>
      <w:tabs>
        <w:tab w:val="left" w:pos="426"/>
      </w:tabs>
      <w:jc w:val="both"/>
    </w:pPr>
    <w:rPr>
      <w:szCs w:val="20"/>
    </w:rPr>
  </w:style>
  <w:style w:type="paragraph" w:styleId="Textkomente">
    <w:name w:val="annotation text"/>
    <w:basedOn w:val="Normln"/>
    <w:rsid w:val="00001874"/>
    <w:rPr>
      <w:sz w:val="20"/>
      <w:szCs w:val="20"/>
    </w:rPr>
  </w:style>
  <w:style w:type="paragraph" w:styleId="Pedmtkomente">
    <w:name w:val="annotation subject"/>
    <w:basedOn w:val="Textkomente"/>
    <w:rsid w:val="00001874"/>
    <w:rPr>
      <w:b/>
      <w:bCs/>
    </w:rPr>
  </w:style>
  <w:style w:type="paragraph" w:styleId="Textbubliny">
    <w:name w:val="Balloon Text"/>
    <w:basedOn w:val="Normln"/>
    <w:rsid w:val="00001874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018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01874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152BE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8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 1"/>
    <w:basedOn w:val="Normln"/>
    <w:rsid w:val="007221C2"/>
    <w:pPr>
      <w:suppressAutoHyphens w:val="0"/>
      <w:spacing w:line="240" w:lineRule="auto"/>
      <w:jc w:val="both"/>
    </w:pPr>
    <w:rPr>
      <w:szCs w:val="20"/>
    </w:rPr>
  </w:style>
  <w:style w:type="paragraph" w:styleId="Revize">
    <w:name w:val="Revision"/>
    <w:hidden/>
    <w:uiPriority w:val="99"/>
    <w:semiHidden/>
    <w:rsid w:val="00B4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83CE-7C57-4006-9EB1-A384E88B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4963</Characters>
  <DocSecurity>0</DocSecurity>
  <Lines>330</Lines>
  <Paragraphs>164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2015-05-12T14:31:00Z</cp:lastPrinted>
  <dcterms:created xsi:type="dcterms:W3CDTF">2024-03-25T10:48:00Z</dcterms:created>
  <dcterms:modified xsi:type="dcterms:W3CDTF">2024-03-25T10:48:00Z</dcterms:modified>
</cp:coreProperties>
</file>