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left"/>
        <w:rPr>
          <w:rFonts w:ascii="Trebuchet MS" w:cs="Trebuchet MS" w:eastAsia="Trebuchet MS" w:hAnsi="Trebuchet MS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Kupní smlouva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uzavřená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dle ustanovení § 2079 a násl. z.č. 89/2012 Sb. občanského zákoníku , ve znění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pozdějších předpisů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Smluvní strany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1.</w:t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Jan Heran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se sídlem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 </w:t>
        <w:tab/>
        <w:tab/>
        <w:t xml:space="preserve">Teplická 27, 40502 Děčín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zastoupená:</w:t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Janem Heranem - majitelem firmy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bankovní spojení:</w:t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Československá obchodní banka a.s.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číslo účtu:</w:t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415350213/0300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IČ:</w:t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46792635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DIČ:</w:t>
        <w:tab/>
        <w:tab/>
        <w:tab/>
        <w:t xml:space="preserve">CZ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6508140914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Zapsán u Obecního Ž.Ú. v Děčíně 05.06.1992 Č.J. 1936/07/Ž/Be a E.č. 350201-406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(dále jen „prodávající“)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2.</w:t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Ústav pro péči o matku a dítě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se sídlem </w:t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Podolské nábřeží 157, 147 00 Praha 4 - Podolí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zastoupen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ý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:</w:t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doc. MUDr. Jaroslavem Feyereislem, CSc.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bankovní spojení:</w:t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Česká národní banka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číslo účtu:</w:t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20001-42238041/0710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IČO:</w:t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00023698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DIČ:</w:t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CZ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00023698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(dále jen „kupující“)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Účel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Účelem této smlouvy je realizace dodávek PC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ostatní IT techniky (dále též  “zboží”)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na základě výběru dodavatele realizovaného pomocí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e-tržiště tendermarket.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Prodávající podpisem této smlouvy garantuje kupujícímu splnění všech podmínek obsažených ve výzvě k podání nabídek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veřejné zakázky č.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T004/17V/00016794: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Dodávka tiskáren - smlouva s postupným plněním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Předmět plnění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Předmětem plnění této smlouvy jsou dodávky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zboží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dle výsledků veřejné zakázky uvedené v čl. II této smlouvy na základě dílčích písemných objednávek.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Prodávající se zavazuje dodat kupujícímu zboží na základě dílčích písemných objednávek do místa dodání, jímž j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pracoviště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oddělení IT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v areál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kupujícího, na adres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Ústav pro péči o matku a dítě, Podolské nábřeží 157, 147 00 Praha 4 - Podolí.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Kupující se touto smlouvou zavazuje zboží od prodávajícího převzít a zaplatit dohodnutou kupní cenu.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Množství předmětu plnění uvedené v příloze č.1 této smlouvy je množství stanovené jako maximální.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K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upující je oprávněn určovat konkrétní množství předmětu plnění jednotlivých dílčích dodávek podle svých okamžitých, resp. aktuálních potřeb bez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sankcí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či jiného postihu ze strany prodávajícího. Prodávající není oprávněn stanovit minimální finanční limit objednávky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ani minimální objem předmětu plnění této smlouvy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  <w:b w:val="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Kupní cena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Celková kupní cena zboží činí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155000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 Kč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bez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 DPH.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Její detailní specifikace je uvedena v příloze č. 1 této kupní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Ke kupní ceně bude přičtena příslušná sazba DPH dle zákona č. 235/2004 Sb., o dani z přidané hodnoty, ve znění pozdějších předpisů.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Kupní cena je garantována jako cena nejvýše přípustná po celou dobu plnění.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Kupní cena obsahuje veškeré náklady prodávajícího jako například dopravné, balné, pojištění, celní a daňové poplatky, poplatky za elektroodpad, autorské poplatky a další náklady prodávajícího.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Při poklesu nákupních cen se prodávající zavazuje promítnout toto snížení do prodejní ceny pro kupujícího. Změny oznámí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neprodleně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prodávající kupujícímu písemně nebo elektronickou cestou.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Doba, místo a způsob plnění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Dodávky budou realizovány průběžně na základě dílčích písemných objednávek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Oddělení IT Ústavu pro péči o matku a dítě (dále též ÚPMD)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Místem plnění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je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pracoviště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Oddělení IT ÚPMD v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areál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kupujícího, konkrétně ve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druhém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patře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hla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vního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objektu v areálu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ÚPMD, Podolské nábřeží 157, 147 00 Praha 4 - Podolí.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Platební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Prodávající vystaví kupujícímu daňový doklad (fakturu), který předá kupujícímu spolu se zbožím.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Splatnost faktur je stanovena na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0 dní od data jejich vystavení.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Úhradu za dodané zboží provede kupující v české měně.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Kupující neposkytne prodávajícímu během realizace dodávek žádné zálohové platby.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Prodávající se zavazuje, že jím vystavené faktury budou obsahovat všechny náležitosti, které jsou stanoveny obecně závaznými právními předpisy a smluvními ujednáními. Na faktuře bude uvedeno také číslo objednávky kupujícího.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V případě, že vystavená faktura obsahuje nesprávné cenové údaje, nesprávné náležitosti nebo chybí na faktuře některé z náležitostí uvedených v předchozích odstavcích, je kupující oprávněn fakturu vrátit prodávajícímu do doby její splatnosti. V takovém případě je prodávající povinen vystavit fakturu novou. Doba splatnosti opravené nebo doplněné faktury počne běžet dnem jejího doručení kupujícímu.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Za zaplacení kupní ceny se považuje předání neodvolatelného platebního příkazu ze strany kupujícího bance.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Dodací podmínky, </w:t>
      </w: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odpovědnost za vady, záruka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Jednotlivé dílčí dodávky budou kupujícímu dodávány na základě závazné objednávky odeslané kupujícím písemně elektronickou poštou. Termín dodání je nejpozději do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14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kalendářních dní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po obdržení objednávky v pracovní dny.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Každé PC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či ostatní IT technika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(zboží)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bude označeno štítkem s výrobním číslem nebo servisním číslem.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Záruční doba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zboží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činí minimálně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36 měsíců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v případě, že nebude dohodnuto jinak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Záruční servis je poskytován výrobcem zařízení nebo jeho autorizovaným servisním partnerem. Telefonní číslo pro hlášení reklamací je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412 151 100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Reklamace vadného zboží se provádí v servisním středisku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oddělení IT ÚPMD, Podolské nábřeží 157, 147 00 Praha 4 - Podolí nebo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dle určení zadavatele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 případě, že nebude dohodnuto jinak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Při reklamaci není požadována faktura ani dodací list, oprávněnost reklamace z hlediska záruční doby se prokazuje štítkem zmíněným v 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bodě 3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tohoto článku.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Prodávající prohlašuje, že jím nabízené a dodávané výrobky splňují veškeré požadavky na zdravotní nezávadnost a bezpečnost dle zák.č.102/2001Sb. o obecné bezpečnosti výrobků, event. dalších platných zákonů a předpisů, a že byla přezkoumána jejich shoda podle zák.č.22/1997Sb. o technických požadavcích na výrobky.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Prodávajíc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í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jišťuje tímto kupujícího, že výrobce nebo dovozce vydal k výrobkům platné prohlášení o shodě.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Prodávající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si je plně vědom své právní i věcné odpovědnosti za škodu vzniklou kupujícímu v případě, že uvedl nepravdivé údaje.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Prodávající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je povinen dodržovat konfiguraci PC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či ostatní IT techniky (zboží)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, která je uvedena v příloze č.1 této smlouvy. Konfigurace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zboží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se může měnit maximálně 1x za 3 měsíce podle vývoje techniky po odsouhlasení obou stran. Pro návrh změny konfigurace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zboží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se stanovuje, že cena uvedená v této smlouvě je stanovena jako maximální, výkonové a funkční parametry dodávan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ého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zboží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uvedené v příloze č.1 této smlouvy jsou stanoveny jako minimální. Nová konfigurace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zboží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bude stanovena formou dodatku k této smlouvě.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0" w:hanging="435"/>
        <w:contextualSpacing w:val="1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Obě smluvní strany výslovně prohlašují, že ve věcech plnění této kupní smlouvy, jakož i dílčích kupních smluv, je: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 osobu prodávajícího pověřen: Martin Kout, tel: 412 151 100 email: obchod@heran.cz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15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 osobu kupujícího pověřen:</w:t>
        <w:tab/>
        <w:t xml:space="preserve">Josef Plíhal, tel: 296 511 429, email: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hyperlink r:id="rId5">
        <w:r w:rsidDel="00000000" w:rsidR="00000000" w:rsidRPr="00000000">
          <w:rPr>
            <w:rFonts w:ascii="Trebuchet MS" w:cs="Trebuchet MS" w:eastAsia="Trebuchet MS" w:hAnsi="Trebuchet MS"/>
            <w:rtl w:val="0"/>
          </w:rPr>
          <w:t xml:space="preserve">josef.plihal@upmd.eu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0" w:hanging="435"/>
        <w:contextualSpacing w:val="1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Prodávající má za povinnost před dodáním zboží si telefonicky zajistit s kontaktní osobou uvedenou na objednávce čas a místo plnění. Objednávka bude obsahovat podrobnější specifikaci zboží, zejména co do množství, druhu, kvality a jeho ceny.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0" w:hanging="435"/>
        <w:contextualSpacing w:val="1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0" w:hanging="435"/>
        <w:contextualSpacing w:val="1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Neurčí-li dílčí kupní smlouva jinak, je prodávající povinen zboží opatřit takovým obalem pro přepravu, který zabezpečuje řádné uchování a ochranu zboží před jeho poškozením. Kupující je oprávněn odmítnout zboží převzít , bude-li na něm či jeho části  se vyskytovat v okamžiku  předání vada. Kupující je též oprávněn odmítnout převzetí zboží v případě, že nebyly splněny všechny povinnosti prodávajícího dle tohoto článku nebo v případě, že zkušební provoz  neproběhl bez závad. Zboží se považuje za dodané a závazek prodávajícího dodat zboží je splněn okamžikem převzetí zboží kupujícím bez vad.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0" w:hanging="435"/>
        <w:contextualSpacing w:val="1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Prodávající je povinen předat kupujícímu zboží v množství a kvalitě odpovídající této smlouvě a účelu dodávek, právním předpisům a příslušným technickým normám. Vadou , která má za následek porušení smlouvy podstatným způsobem se rozumí neúplnost dodávek, nefunkčnost zařízení nebo jeho části , právní vady nebo neplnění výrobcem nebo prodávajícím proklamované hodnoty technickým parametrů zařízení. Nároky z vad zboží se řídí ust. § 2099 a násl. občanského zákoníku. Prodávající poskytne ve smyslu ustanovení § 2113 občanského zákoníku kupujícímu záruku za jakost zboží po dobu 60 měsíců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 případě, že nebude dohodnuto jinak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Záruční doba začíná běžet ode dne protokolárního převzetí zboží. V rámci záruční doby jsou prováděny veškeré práce, včetně náhradních dílů zdarma.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  <w:b w:val="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Sankce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0" w:hanging="435"/>
        <w:contextualSpacing w:val="1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Pro případ prodlení prodávajícího s předáním zboží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dle článku VII. bod 1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sjednávají smluvní strany smluvní pokutu ve výši 1% z hodnoty plnění za každý den trvání prodlení.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0" w:hanging="435"/>
        <w:contextualSpacing w:val="1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Pro případ prodlení kupujícího s úhradou kupní ceny sjednávají smluvní strany úrok z prodlení ve výši 0, 05% z neuhrazené části kupní ceny za každý den trvání prodlení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po předchozím upozornění kupujícího a poskytnutí dodatečné lhůty splatnosti v délce alespoň 5 dní.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0" w:hanging="435"/>
        <w:contextualSpacing w:val="1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Smluvní pokuta je splatná do 10 dnů poté, co bude písemná výzva oprávněné strany doručena straně povinné.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Platnost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Smlouva se uzavírá na dobu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určitou a to na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12 měsíců od podpisu smlouvy oběma smluvními stranami.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Smlouva nabývá platnosti a účinnosti dnem jejího podpisu oběma smluvními stranami.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Ukončení platnosti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Kupující je oprávněn odstoupit od smlouvy v případě, že prodávající je opakovaně v prodlení s plněním dodávek o více než pětinásobek dodací lhůty nebo dodal nekvalitní zboží a, ač kupujícím upozorněn, neprodleně nezjednal nápravu.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Prodávající je oprávněn odstoupit od smlouvy v případě, že kupující nezaplatí kupní cenu do 30 dnů po uplynutí ujednané platební lhůty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 upozornění ze strany prodávajícího.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Účinky odstoupení nastávají dnem doručení oznámení o odstoupení.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Smluvní strany mají možnost smlouvu vypovědět bez udání důvodu. V takovém případě je stanovena jednoměsíční výpovědní lhůta, která začíná běžet prvního dne následujícího měsíce po dni podání výpovědi druhé smluvní straně.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Zvláštní u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jednání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Kupující nabývá vlastnického práva k předmětu dodávky dnem předání v místě plnění dle článku V. této smlouvy. Tímto dnem přechází na kupujícího nebezpečí škody na věcném plnění.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Prodávající prohlašuje, že věcné plnění smlouvy nemá právní vady a není zatíženo právy třetích osob.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Všechny vztahy touto smlouvou neupravené se řídí českým právním řádem,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zejména ustanoveními zák.č.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89/2011 Sb.  občanského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 zákoníku v platném znění.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Prodávající se nemůže dovolávat svých obecných dodacích, servisních či jiných obchodních podmínek nebo obdobných podmínek subdodavatelů.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Pozbude-li některé z ustanovení této smlouvy platnosti, zůstávají ostatní tímto nedotčena. Neúčinné ustanovení se nahradí takovým, které odpovídá nebo bude co nejblíže původnímu záměru ve věcném i ekonomickém smyslu.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Obě strany se dohodly, že veškeré případné spory, vzniklé v souvislosti s touto smlouvou, budou řešeny jednáním na úrovni statutárních zástupců smluvních stran. Nedojde-li k dohodě, k projednávání sporů mezi smluvními stranami jsou příslušné soudy země kupujícího, jejichž rozhodnutí bude konečné.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Pohledávky vyplývající z této smlouvy může prodávající převést na jinou osobu jen s předchozím písemným souhlasem kupujícího.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57" w:hanging="357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Smluvní strany a jejich zaměstnanci  se zavazují, že zachovají mlčenlivost o veškerých informacích, které o sobě a třetích stranách navzájem získaly v průběhu plnění předmětu této smlouvy a které nejsou veřejně přístupné nebo je pokládají za důvěrné. Za důvěrné a utajované informace ve smyslu tohoto článku se považují veškeré informace, které jsou jako důvěrné označeny nebo jsou takového charakteru, že mohou v případě zveřejnění přivodit kterékoliv smluvní straně újmu, bez ohledu na to, zda mají povahu osobních, obchodních či jiných informací. Závazek mlčenlivosti podléhá zvláště po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ž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adavkům zákona č. 101/2000 Sb. o ochraně osobních údajů v platném znění , zákona č. 372/2011 Sb. zákon o zdravotních službách , zákona č. 373/2011 Sb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o specifických zdravotních službách a vyhlášky č. 98/2012 Sb. o zdravotnické dokumentaci.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Pokud je součástí předmětu smlouvy dodávka softwarových produktů, pak se kupujícímu vyhrazuje časově neomezené, nikoliv však výhradní a přenosné, právo užívat tyto softwarové produkty na výrobku, se kterým byly dodány, v nezměněné formě a pro účely uvedené v popisu produktu. Softwarové produkty a k tomu patřící dokumentace nesmí být postoupeny třetím osobám. Kupující nesmí programy kopírovat, zpětně vyvíjet nebo zpětně překládat ani vyjímat jednotlivé části programu.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Úplata za užívání softwaru poskytnutého s předmětem smlouvy je obsažena v kupní ceně předmětu plnění.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57" w:hanging="357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Prodávající podpisem smlouvy souhlasí se zveřejněním všech náležitostí smluvního vztahu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včetně smlouvy.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Závěrečná ujednání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Tato smlouva je vyhotovena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ve třech vyhotoveních, z nichž prodávající obdrží jedno vyhotovení a kupující dvě vyhotovení.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Jakékoli změny a dodatky této smlouvy musí být učiněny písemně a schváleny podpisem obou smluvních stran. Tyto dodatky se stanou integrální součástí této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Integrální součástí této smlouvy jsou přílohy, které budou takto označeny a podepsány oběma stranami s uvedením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Obě smluvní strany prohlašují, že tato smlouva vyjadřuje jejich vůli a podepisují ji nikoli v tísni nebo za jinak jednostranně nevýhodných podmínek. Smluvní strany souhlasí bez výhrad s jejím obsahem a na důkaz toho připojují své podpisy.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Přílohy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Konfigurace a cena PC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ostatní IT techniky (zboží)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V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Děčíně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dne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9.6.2017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  <w:tab/>
        <w:tab/>
        <w:tab/>
        <w:t xml:space="preserve">V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Praze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dne ….……………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Prodávající:</w:t>
        <w:tab/>
        <w:tab/>
        <w:tab/>
        <w:tab/>
        <w:tab/>
        <w:tab/>
        <w:tab/>
        <w:t xml:space="preserve">Kupující: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Jan Heran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Ústav pro péči o matku a dítě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_____________________________</w:t>
        <w:tab/>
        <w:tab/>
        <w:tab/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Jan Heran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doc. MUDr. Jaroslav Feyereisl, CSc.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094.488188976378"/>
        </w:tabs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majitel firmy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  <w:t xml:space="preserve"> ředitel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Příloha č. 1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vertAlign w:val="baseline"/>
          <w:rtl w:val="0"/>
        </w:rPr>
        <w:t xml:space="preserve">Konfigurace a cena PC</w:t>
      </w: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a ostatní IT techniky</w:t>
      </w: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(zboží)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vertAlign w:val="baseline"/>
          <w:rtl w:val="0"/>
        </w:rPr>
        <w:t xml:space="preserve">Účel přílohy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Účelem této přílohy je vymezení konfigurace a ceny předmětu plnění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hanging="36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vertAlign w:val="baseline"/>
          <w:rtl w:val="0"/>
        </w:rPr>
        <w:t xml:space="preserve">Předmět smlouvy a smluvní ceny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540" w:hanging="54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Plnění předmětu smlouvy sestává z dodávky zboží dle následující detailní specifikace: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  laserová tiskárna černobílá</w:t>
        <w:tab/>
        <w:tab/>
        <w:tab/>
        <w:tab/>
        <w:tab/>
        <w:tab/>
        <w:tab/>
        <w:t xml:space="preserve">50,00  Kus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minimální specifikace: Laserová tiskárna černobílá, A4, až 25 stran za minutu, duplex, CPU 500MHz, 128MB, USB 2.0, LAN, WiFi, prioritní podavač na recepty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(ref. vzorek Samsung SL-M2835DW).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cena za ks</w:t>
        <w:tab/>
        <w:tab/>
        <w:tab/>
        <w:tab/>
        <w:tab/>
        <w:tab/>
        <w:tab/>
        <w:tab/>
        <w:tab/>
        <w:t xml:space="preserve">   3 100,- bez DPH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cena celkem </w:t>
        <w:tab/>
        <w:tab/>
        <w:tab/>
        <w:tab/>
        <w:tab/>
        <w:tab/>
        <w:tab/>
        <w:tab/>
        <w:tab/>
        <w:t xml:space="preserve">155 000,- bez DPH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contextualSpacing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contextualSpacing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1418" w:left="1418" w:right="8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firstLine="0"/>
      <w:contextualSpacing w:val="0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Strana </w:t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 (celkem </w:t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firstLine="0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firstLine="0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firstLine="0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Článek %1."/>
      <w:lvlJc w:val="left"/>
      <w:pPr>
        <w:ind w:left="0" w:firstLine="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2340" w:firstLine="1980"/>
      </w:pPr>
      <w:rPr>
        <w:rFonts w:ascii="Arial" w:cs="Arial" w:eastAsia="Arial" w:hAnsi="Arial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.000000000000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.000000000000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.999999999999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lvl w:ilvl="0">
      <w:start w:val="1"/>
      <w:numFmt w:val="upperRoman"/>
      <w:lvlText w:val="Článek %1."/>
      <w:lvlJc w:val="left"/>
      <w:pPr>
        <w:ind w:left="0" w:firstLine="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2340" w:firstLine="1980"/>
      </w:pPr>
      <w:rPr>
        <w:rFonts w:ascii="Arial" w:cs="Arial" w:eastAsia="Arial" w:hAnsi="Arial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osef.plihal@upmd.e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