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49A486DF"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0C6D6E">
        <w:rPr>
          <w:rFonts w:ascii="Arial" w:hAnsi="Arial" w:cs="Arial"/>
          <w:b/>
          <w:sz w:val="28"/>
          <w:szCs w:val="28"/>
        </w:rPr>
        <w:t>83</w:t>
      </w:r>
      <w:r w:rsidR="00567092" w:rsidRPr="002F3450">
        <w:rPr>
          <w:rFonts w:ascii="Arial" w:hAnsi="Arial" w:cs="Arial"/>
          <w:b/>
          <w:sz w:val="28"/>
          <w:szCs w:val="28"/>
        </w:rPr>
        <w:t>/20</w:t>
      </w:r>
      <w:r w:rsidR="00A26516">
        <w:rPr>
          <w:rFonts w:ascii="Arial" w:hAnsi="Arial" w:cs="Arial"/>
          <w:b/>
          <w:sz w:val="28"/>
          <w:szCs w:val="28"/>
        </w:rPr>
        <w:t>2</w:t>
      </w:r>
      <w:r w:rsidR="001D6DBE">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4638614F"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4C7F62D" w14:textId="289FA498" w:rsidR="00C664CD" w:rsidRPr="006641CC" w:rsidRDefault="006641CC" w:rsidP="00C664CD">
      <w:pPr>
        <w:jc w:val="both"/>
        <w:rPr>
          <w:rFonts w:ascii="Arial" w:hAnsi="Arial" w:cs="Arial"/>
          <w:b/>
        </w:rPr>
      </w:pPr>
      <w:r w:rsidRPr="006641CC">
        <w:rPr>
          <w:rFonts w:ascii="Arial" w:hAnsi="Arial" w:cs="Arial"/>
          <w:b/>
        </w:rPr>
        <w:t>Oblastní nemocnice Příbram, a.s.</w:t>
      </w:r>
    </w:p>
    <w:p w14:paraId="463BF1D7" w14:textId="0BEC4D7D" w:rsidR="00C664CD" w:rsidRPr="00D239FA" w:rsidRDefault="00C664CD" w:rsidP="00C664CD">
      <w:pPr>
        <w:jc w:val="both"/>
        <w:rPr>
          <w:rFonts w:ascii="Arial" w:hAnsi="Arial" w:cs="Arial"/>
        </w:rPr>
      </w:pPr>
      <w:r w:rsidRPr="00D239FA">
        <w:rPr>
          <w:rFonts w:ascii="Arial" w:hAnsi="Arial" w:cs="Arial"/>
        </w:rPr>
        <w:t>Se sídlem:</w:t>
      </w:r>
      <w:r w:rsidR="006641CC">
        <w:rPr>
          <w:rFonts w:ascii="Arial" w:hAnsi="Arial" w:cs="Arial"/>
        </w:rPr>
        <w:t xml:space="preserve"> Gen. R. Tesaříka 80, 261 01 Příbram</w:t>
      </w:r>
    </w:p>
    <w:p w14:paraId="04B9A89D" w14:textId="2E39EF50"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w:t>
      </w:r>
      <w:r w:rsidR="006641CC">
        <w:rPr>
          <w:rFonts w:ascii="Arial" w:hAnsi="Arial" w:cs="Arial"/>
        </w:rPr>
        <w:t xml:space="preserve"> 270 85 031</w:t>
      </w:r>
    </w:p>
    <w:p w14:paraId="61864AE7" w14:textId="0AF60C16" w:rsidR="00C664CD" w:rsidRDefault="00C664CD" w:rsidP="00C664CD">
      <w:pPr>
        <w:jc w:val="both"/>
        <w:rPr>
          <w:rFonts w:ascii="Arial" w:hAnsi="Arial" w:cs="Arial"/>
        </w:rPr>
      </w:pPr>
      <w:r w:rsidRPr="00D239FA">
        <w:rPr>
          <w:rFonts w:ascii="Arial" w:hAnsi="Arial" w:cs="Arial"/>
        </w:rPr>
        <w:t>DIČ:</w:t>
      </w:r>
      <w:r w:rsidR="006641CC">
        <w:rPr>
          <w:rFonts w:ascii="Arial" w:hAnsi="Arial" w:cs="Arial"/>
        </w:rPr>
        <w:t xml:space="preserve"> CZ 270 85 031</w:t>
      </w:r>
    </w:p>
    <w:p w14:paraId="044AB7C5" w14:textId="5DEDF5E6" w:rsidR="000C4C27" w:rsidRDefault="000C4C27" w:rsidP="00C664CD">
      <w:pPr>
        <w:jc w:val="both"/>
        <w:rPr>
          <w:rFonts w:ascii="Arial" w:hAnsi="Arial" w:cs="Arial"/>
        </w:rPr>
      </w:pPr>
      <w:r w:rsidRPr="004B6885">
        <w:rPr>
          <w:rFonts w:ascii="Arial" w:hAnsi="Arial" w:cs="Arial"/>
        </w:rPr>
        <w:t>Bankovní spojení</w:t>
      </w:r>
      <w:r w:rsidR="006641CC">
        <w:rPr>
          <w:rFonts w:ascii="Arial" w:hAnsi="Arial" w:cs="Arial"/>
        </w:rPr>
        <w:t>: 2006550002/6000</w:t>
      </w:r>
    </w:p>
    <w:p w14:paraId="74E4D07B" w14:textId="46336033" w:rsidR="00C664CD" w:rsidRDefault="00C664CD" w:rsidP="00C664CD">
      <w:pPr>
        <w:jc w:val="both"/>
        <w:rPr>
          <w:rFonts w:ascii="Arial" w:hAnsi="Arial" w:cs="Arial"/>
        </w:rPr>
      </w:pPr>
      <w:r w:rsidRPr="00D239FA">
        <w:rPr>
          <w:rFonts w:ascii="Arial" w:hAnsi="Arial" w:cs="Arial"/>
        </w:rPr>
        <w:t>Zapsaná v obchodním rejstříku vedeném</w:t>
      </w:r>
      <w:r w:rsidR="00470A2E">
        <w:rPr>
          <w:rFonts w:ascii="Arial" w:hAnsi="Arial" w:cs="Arial"/>
        </w:rPr>
        <w:t xml:space="preserve"> Městským soudem v Praze, </w:t>
      </w:r>
      <w:proofErr w:type="spellStart"/>
      <w:r w:rsidR="00470A2E">
        <w:rPr>
          <w:rFonts w:ascii="Arial" w:hAnsi="Arial" w:cs="Arial"/>
        </w:rPr>
        <w:t>sp</w:t>
      </w:r>
      <w:proofErr w:type="spellEnd"/>
      <w:r w:rsidR="00470A2E">
        <w:rPr>
          <w:rFonts w:ascii="Arial" w:hAnsi="Arial" w:cs="Arial"/>
        </w:rPr>
        <w:t>. Zn. B-8883</w:t>
      </w:r>
    </w:p>
    <w:p w14:paraId="79FDA24F" w14:textId="21C05EF0" w:rsidR="00470A2E" w:rsidRDefault="00C664CD" w:rsidP="00C664CD">
      <w:pPr>
        <w:rPr>
          <w:rFonts w:ascii="Arial" w:hAnsi="Arial" w:cs="Arial"/>
        </w:rPr>
      </w:pPr>
      <w:r>
        <w:rPr>
          <w:rFonts w:ascii="Arial" w:hAnsi="Arial" w:cs="Arial"/>
        </w:rPr>
        <w:t>Zastoupená:</w:t>
      </w:r>
      <w:r w:rsidR="00470A2E">
        <w:rPr>
          <w:rFonts w:ascii="Arial" w:hAnsi="Arial" w:cs="Arial"/>
        </w:rPr>
        <w:t xml:space="preserve"> </w:t>
      </w:r>
      <w:r w:rsidR="004604D8" w:rsidRPr="002F3450">
        <w:rPr>
          <w:rFonts w:ascii="Arial" w:hAnsi="Arial" w:cs="Arial"/>
        </w:rPr>
        <w:t>[OU OU]</w:t>
      </w:r>
      <w:r w:rsidR="00740DD1">
        <w:rPr>
          <w:rFonts w:ascii="Arial" w:hAnsi="Arial" w:cs="Arial"/>
        </w:rPr>
        <w:t xml:space="preserve">, </w:t>
      </w:r>
      <w:r w:rsidR="00470A2E">
        <w:rPr>
          <w:rFonts w:ascii="Arial" w:hAnsi="Arial" w:cs="Arial"/>
        </w:rPr>
        <w:t>předseda představenstva</w:t>
      </w:r>
      <w:r w:rsidR="000C6D6E">
        <w:rPr>
          <w:rFonts w:ascii="Arial" w:hAnsi="Arial" w:cs="Arial"/>
        </w:rPr>
        <w:t xml:space="preserve"> a </w:t>
      </w:r>
    </w:p>
    <w:p w14:paraId="538162F2" w14:textId="2E7F9F79" w:rsidR="000722A6" w:rsidRPr="00F6567E" w:rsidRDefault="00470A2E" w:rsidP="00C664CD">
      <w:pPr>
        <w:rPr>
          <w:rFonts w:ascii="Arial" w:hAnsi="Arial" w:cs="Arial"/>
          <w:b/>
        </w:rPr>
      </w:pPr>
      <w:r>
        <w:rPr>
          <w:rFonts w:ascii="Arial" w:hAnsi="Arial" w:cs="Arial"/>
        </w:rPr>
        <w:tab/>
        <w:t xml:space="preserve">        </w:t>
      </w:r>
      <w:r w:rsidR="004604D8" w:rsidRPr="002F3450">
        <w:rPr>
          <w:rFonts w:ascii="Arial" w:hAnsi="Arial" w:cs="Arial"/>
        </w:rPr>
        <w:t>[OU OU]</w:t>
      </w:r>
      <w:r>
        <w:rPr>
          <w:rFonts w:ascii="Arial" w:hAnsi="Arial" w:cs="Arial"/>
        </w:rPr>
        <w:t>, místopředseda představenstva</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2B19190E"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E72EFB">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8820DF2"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w:t>
      </w:r>
      <w:proofErr w:type="gramStart"/>
      <w:r w:rsidR="00CA5FD3" w:rsidRPr="00CA5FD3">
        <w:rPr>
          <w:rFonts w:ascii="Arial" w:hAnsi="Arial" w:cs="Arial"/>
          <w:sz w:val="20"/>
        </w:rPr>
        <w:t>vypočteného  </w:t>
      </w:r>
      <w:r w:rsidR="0027394B">
        <w:rPr>
          <w:rFonts w:ascii="Arial" w:hAnsi="Arial" w:cs="Arial"/>
          <w:sz w:val="20"/>
        </w:rPr>
        <w:t>podle</w:t>
      </w:r>
      <w:proofErr w:type="gramEnd"/>
      <w:r w:rsidR="0027394B">
        <w:rPr>
          <w:rFonts w:ascii="Arial" w:hAnsi="Arial" w:cs="Arial"/>
          <w:sz w:val="20"/>
        </w:rPr>
        <w:t xml:space="preserv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Bude-li Společnosti včas doručen návrh Zdravotnického zařízení na stanovení Bonusu v jiné </w:t>
      </w:r>
      <w:proofErr w:type="gramStart"/>
      <w:r w:rsidRPr="0027394B">
        <w:rPr>
          <w:rFonts w:ascii="Arial" w:hAnsi="Arial" w:cs="Arial"/>
          <w:sz w:val="20"/>
        </w:rPr>
        <w:t>výši</w:t>
      </w:r>
      <w:proofErr w:type="gramEnd"/>
      <w:r w:rsidRPr="0027394B">
        <w:rPr>
          <w:rFonts w:ascii="Arial" w:hAnsi="Arial" w:cs="Arial"/>
          <w:sz w:val="20"/>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jakékoliv objednávky Výrobků. Jestliže bude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proofErr w:type="gramStart"/>
      <w:r>
        <w:rPr>
          <w:rFonts w:ascii="Arial" w:hAnsi="Arial" w:cs="Arial"/>
          <w:sz w:val="20"/>
        </w:rPr>
        <w:t>Společnosti</w:t>
      </w:r>
      <w:proofErr w:type="gramEnd"/>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B58CBE2"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E72EFB">
      <w:pPr>
        <w:pStyle w:val="Odstavecseseznamem"/>
        <w:rPr>
          <w:rFonts w:ascii="Arial" w:hAnsi="Arial" w:cs="Arial"/>
        </w:rPr>
      </w:pPr>
    </w:p>
    <w:p w14:paraId="15EDD1F8" w14:textId="18928B2D" w:rsidR="00A26516" w:rsidRDefault="00A26516" w:rsidP="00A26516">
      <w:pPr>
        <w:pStyle w:val="Zkladntext2"/>
        <w:numPr>
          <w:ilvl w:val="0"/>
          <w:numId w:val="5"/>
        </w:numPr>
        <w:rPr>
          <w:rFonts w:ascii="Arial" w:hAnsi="Arial" w:cs="Arial"/>
          <w:sz w:val="20"/>
        </w:rPr>
      </w:pPr>
      <w:r>
        <w:rPr>
          <w:rFonts w:ascii="Arial" w:hAnsi="Arial" w:cs="Arial"/>
          <w:sz w:val="20"/>
        </w:rPr>
        <w:t xml:space="preserve">Smluvní strany při uzavření a/nebo plnění a/nebo změně a/nebo ukončení této smlouvy mohou vystupovat jako správci osobních údajů, jak tento pojem </w:t>
      </w:r>
      <w:r w:rsidR="00125CB6">
        <w:rPr>
          <w:rFonts w:ascii="Arial" w:hAnsi="Arial" w:cs="Arial"/>
          <w:sz w:val="20"/>
        </w:rPr>
        <w:t>definují</w:t>
      </w:r>
      <w:r>
        <w:rPr>
          <w:rFonts w:ascii="Arial" w:hAnsi="Arial" w:cs="Arial"/>
          <w:sz w:val="20"/>
        </w:rPr>
        <w:t xml:space="preserve">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487A4E8C" w:rsidR="00A26516" w:rsidRDefault="00A26516" w:rsidP="00A26516">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0C6D6E">
          <w:rPr>
            <w:rStyle w:val="Hypertextovodkaz"/>
            <w:rFonts w:eastAsia="Arial Unicode MS"/>
          </w:rPr>
          <w:t>https://www.zentiva.cz/gdpr</w:t>
        </w:r>
      </w:hyperlink>
      <w:r w:rsidR="000C6D6E">
        <w:rPr>
          <w:rFonts w:ascii="Arial" w:hAnsi="Arial" w:cs="Arial"/>
          <w:sz w:val="20"/>
        </w:rPr>
        <w:t>;</w:t>
      </w:r>
      <w:r>
        <w:rPr>
          <w:rFonts w:ascii="Arial" w:hAnsi="Arial" w:cs="Arial"/>
          <w:sz w:val="20"/>
        </w:rPr>
        <w:t xml:space="preserve">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adrese </w:t>
      </w:r>
      <w:r w:rsidR="00125CB6" w:rsidRPr="00125CB6">
        <w:rPr>
          <w:rFonts w:ascii="Arial" w:hAnsi="Arial" w:cs="Arial"/>
          <w:sz w:val="20"/>
        </w:rPr>
        <w:t>https://www.nemocnicepribram.cz/o-nas/717-ochrana-osobnich-udaju-gdpr</w:t>
      </w:r>
      <w:r>
        <w:rPr>
          <w:rFonts w:ascii="Arial" w:hAnsi="Arial" w:cs="Arial"/>
          <w:sz w:val="20"/>
        </w:rPr>
        <w:t xml:space="preserve">.  </w:t>
      </w:r>
    </w:p>
    <w:p w14:paraId="259224FE" w14:textId="1DB8A1B5" w:rsidR="00A26516" w:rsidRPr="00E359FE" w:rsidRDefault="00A26516" w:rsidP="00E72EFB">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4373DF8B" w14:textId="77777777" w:rsidR="00182BD7" w:rsidRDefault="00182BD7" w:rsidP="00182BD7">
      <w:pPr>
        <w:pStyle w:val="Zkladntext2"/>
        <w:jc w:val="center"/>
        <w:rPr>
          <w:rFonts w:ascii="Arial" w:hAnsi="Arial" w:cs="Arial"/>
          <w:b/>
          <w:sz w:val="20"/>
        </w:rPr>
      </w:pPr>
    </w:p>
    <w:p w14:paraId="4F53B1EF" w14:textId="77777777" w:rsidR="00182BD7" w:rsidRDefault="00182BD7" w:rsidP="00182BD7">
      <w:pPr>
        <w:pStyle w:val="Zkladntext2"/>
        <w:jc w:val="center"/>
        <w:rPr>
          <w:rFonts w:ascii="Arial" w:hAnsi="Arial" w:cs="Arial"/>
          <w:b/>
          <w:sz w:val="20"/>
        </w:rPr>
      </w:pPr>
      <w:r>
        <w:rPr>
          <w:rFonts w:ascii="Arial" w:hAnsi="Arial" w:cs="Arial"/>
          <w:b/>
          <w:sz w:val="20"/>
        </w:rPr>
        <w:t>V.</w:t>
      </w:r>
    </w:p>
    <w:p w14:paraId="58DE00E1" w14:textId="77777777" w:rsidR="00182BD7" w:rsidRDefault="00182BD7" w:rsidP="00182BD7">
      <w:pPr>
        <w:pStyle w:val="Zkladntext2"/>
        <w:jc w:val="center"/>
        <w:rPr>
          <w:rFonts w:ascii="Arial" w:hAnsi="Arial" w:cs="Arial"/>
          <w:b/>
          <w:sz w:val="20"/>
        </w:rPr>
      </w:pPr>
      <w:r>
        <w:rPr>
          <w:rFonts w:ascii="Arial" w:hAnsi="Arial" w:cs="Arial"/>
          <w:b/>
          <w:sz w:val="20"/>
        </w:rPr>
        <w:t>Protikorupční ustanovení</w:t>
      </w:r>
    </w:p>
    <w:p w14:paraId="57D49685" w14:textId="77777777" w:rsidR="00182BD7" w:rsidRDefault="00182BD7" w:rsidP="00182BD7">
      <w:pPr>
        <w:pStyle w:val="Zkladntext2"/>
        <w:rPr>
          <w:rFonts w:ascii="Arial" w:hAnsi="Arial" w:cs="Arial"/>
          <w:b/>
          <w:sz w:val="20"/>
        </w:rPr>
      </w:pPr>
    </w:p>
    <w:p w14:paraId="119F63E8" w14:textId="77777777" w:rsidR="00182BD7" w:rsidRDefault="00182BD7" w:rsidP="00182BD7">
      <w:pPr>
        <w:pStyle w:val="Zkladntext2"/>
        <w:numPr>
          <w:ilvl w:val="0"/>
          <w:numId w:val="13"/>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2AC86ADD" w14:textId="77777777" w:rsidR="00182BD7" w:rsidRDefault="00182BD7" w:rsidP="00182BD7">
      <w:pPr>
        <w:pStyle w:val="Zkladntext2"/>
        <w:ind w:left="1065"/>
        <w:rPr>
          <w:rFonts w:ascii="Arial" w:hAnsi="Arial" w:cs="Arial"/>
          <w:sz w:val="20"/>
        </w:rPr>
      </w:pPr>
    </w:p>
    <w:p w14:paraId="65B860DF" w14:textId="77777777" w:rsidR="00182BD7" w:rsidRDefault="00182BD7" w:rsidP="00182BD7">
      <w:pPr>
        <w:pStyle w:val="Zkladntext21"/>
        <w:numPr>
          <w:ilvl w:val="0"/>
          <w:numId w:val="13"/>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6D693AE1" w14:textId="77777777" w:rsidR="00182BD7" w:rsidRDefault="00182BD7" w:rsidP="00182BD7">
      <w:pPr>
        <w:pStyle w:val="Zkladntext2"/>
        <w:ind w:left="1065"/>
        <w:rPr>
          <w:rFonts w:ascii="Arial" w:hAnsi="Arial" w:cs="Arial"/>
          <w:sz w:val="20"/>
        </w:rPr>
      </w:pPr>
    </w:p>
    <w:p w14:paraId="7904AAD8" w14:textId="77777777" w:rsidR="00182BD7" w:rsidRDefault="00182BD7" w:rsidP="00182BD7">
      <w:pPr>
        <w:pStyle w:val="Zkladntext2"/>
        <w:numPr>
          <w:ilvl w:val="0"/>
          <w:numId w:val="13"/>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431B09E5" w14:textId="77777777" w:rsidR="00182BD7" w:rsidRDefault="00182BD7" w:rsidP="00182BD7">
      <w:pPr>
        <w:ind w:left="1068"/>
        <w:rPr>
          <w:rFonts w:ascii="Arial" w:hAnsi="Arial" w:cs="Arial"/>
        </w:rPr>
      </w:pPr>
    </w:p>
    <w:p w14:paraId="7F575F8B" w14:textId="77777777" w:rsidR="00182BD7" w:rsidRDefault="00182BD7" w:rsidP="00182BD7">
      <w:pPr>
        <w:ind w:left="1068"/>
        <w:rPr>
          <w:rFonts w:ascii="Arial" w:hAnsi="Arial" w:cs="Arial"/>
        </w:rPr>
      </w:pPr>
    </w:p>
    <w:p w14:paraId="5577560B" w14:textId="77777777" w:rsidR="000722A6" w:rsidRPr="00E359FE" w:rsidRDefault="000722A6" w:rsidP="000722A6">
      <w:pPr>
        <w:pStyle w:val="Zkladntext2"/>
        <w:jc w:val="center"/>
        <w:rPr>
          <w:rFonts w:ascii="Arial" w:hAnsi="Arial" w:cs="Arial"/>
          <w:b/>
          <w:sz w:val="20"/>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 xml:space="preserve">se stanou veřejně známými </w:t>
      </w:r>
      <w:proofErr w:type="gramStart"/>
      <w:r w:rsidRPr="00E359FE">
        <w:rPr>
          <w:rFonts w:ascii="Arial" w:hAnsi="Arial" w:cs="Arial"/>
          <w:sz w:val="20"/>
        </w:rPr>
        <w:t>jinak,</w:t>
      </w:r>
      <w:proofErr w:type="gramEnd"/>
      <w:r w:rsidRPr="00E359FE">
        <w:rPr>
          <w:rFonts w:ascii="Arial" w:hAnsi="Arial" w:cs="Arial"/>
          <w:sz w:val="20"/>
        </w:rPr>
        <w:t xml:space="preserve">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lastRenderedPageBreak/>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4D52E56F"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1D6DBE">
        <w:rPr>
          <w:rFonts w:ascii="Arial" w:hAnsi="Arial" w:cs="Arial"/>
          <w:sz w:val="20"/>
        </w:rPr>
        <w:t>4</w:t>
      </w:r>
      <w:r w:rsidR="00C664CD" w:rsidRPr="007E13B0">
        <w:rPr>
          <w:rFonts w:ascii="Arial" w:hAnsi="Arial" w:cs="Arial"/>
          <w:sz w:val="20"/>
        </w:rPr>
        <w:t xml:space="preserve"> do 31. 12. 20</w:t>
      </w:r>
      <w:r w:rsidR="00A26516">
        <w:rPr>
          <w:rFonts w:ascii="Arial" w:hAnsi="Arial" w:cs="Arial"/>
          <w:sz w:val="20"/>
        </w:rPr>
        <w:t>2</w:t>
      </w:r>
      <w:r w:rsidR="001D6DBE">
        <w:rPr>
          <w:rFonts w:ascii="Arial" w:hAnsi="Arial" w:cs="Arial"/>
          <w:sz w:val="20"/>
        </w:rPr>
        <w:t>4</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 xml:space="preserve">SAMOSTATNÉ </w:t>
      </w:r>
      <w:proofErr w:type="gramStart"/>
      <w:r w:rsidRPr="00034570">
        <w:rPr>
          <w:rFonts w:ascii="Arial" w:hAnsi="Arial" w:cs="Arial"/>
          <w:b/>
          <w:sz w:val="20"/>
        </w:rPr>
        <w:t>UJEDNÁNÍ - REGISTR</w:t>
      </w:r>
      <w:proofErr w:type="gramEnd"/>
      <w:r w:rsidRPr="00034570">
        <w:rPr>
          <w:rFonts w:ascii="Arial" w:hAnsi="Arial" w:cs="Arial"/>
          <w:b/>
          <w:sz w:val="20"/>
        </w:rPr>
        <w:t xml:space="preserve">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5097C88" w14:textId="46466C6B" w:rsidR="007C443A" w:rsidRDefault="007C443A" w:rsidP="000722A6">
      <w:pPr>
        <w:pStyle w:val="Zkladntext2"/>
        <w:rPr>
          <w:rFonts w:ascii="Arial" w:hAnsi="Arial" w:cs="Arial"/>
          <w:b/>
          <w:sz w:val="20"/>
        </w:rPr>
      </w:pPr>
    </w:p>
    <w:p w14:paraId="16BA120D" w14:textId="77777777" w:rsidR="007C443A" w:rsidRDefault="007C443A" w:rsidP="000722A6">
      <w:pPr>
        <w:pStyle w:val="Zkladntext2"/>
        <w:rPr>
          <w:rFonts w:ascii="Arial" w:hAnsi="Arial" w:cs="Arial"/>
          <w:b/>
          <w:sz w:val="20"/>
        </w:rPr>
      </w:pPr>
    </w:p>
    <w:p w14:paraId="7D4534ED" w14:textId="77777777" w:rsidR="007C443A" w:rsidRDefault="007C443A" w:rsidP="000722A6">
      <w:pPr>
        <w:pStyle w:val="Zkladntext2"/>
        <w:rPr>
          <w:rFonts w:ascii="Arial" w:hAnsi="Arial" w:cs="Arial"/>
          <w:b/>
          <w:sz w:val="20"/>
        </w:rPr>
      </w:pPr>
    </w:p>
    <w:p w14:paraId="5B83FE72" w14:textId="77FB42F9"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47409F">
        <w:rPr>
          <w:rFonts w:ascii="Arial" w:hAnsi="Arial" w:cs="Arial"/>
          <w:b/>
          <w:sz w:val="20"/>
        </w:rPr>
        <w:t>13.02.2024</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9904B8">
        <w:rPr>
          <w:rFonts w:ascii="Arial" w:hAnsi="Arial" w:cs="Arial"/>
          <w:b/>
          <w:sz w:val="20"/>
        </w:rPr>
        <w:t xml:space="preserve"> Příbrami</w:t>
      </w:r>
      <w:r w:rsidR="002F3450">
        <w:rPr>
          <w:rFonts w:ascii="Arial" w:hAnsi="Arial" w:cs="Arial"/>
          <w:b/>
          <w:sz w:val="20"/>
        </w:rPr>
        <w:t>,</w:t>
      </w:r>
      <w:r w:rsidRPr="00E359FE">
        <w:rPr>
          <w:rFonts w:ascii="Arial" w:hAnsi="Arial" w:cs="Arial"/>
          <w:b/>
          <w:sz w:val="20"/>
        </w:rPr>
        <w:t xml:space="preserve"> dne </w:t>
      </w:r>
      <w:r w:rsidR="0047409F">
        <w:rPr>
          <w:rFonts w:ascii="Arial" w:hAnsi="Arial" w:cs="Arial"/>
          <w:b/>
          <w:sz w:val="20"/>
        </w:rPr>
        <w:t>23.02.2024</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3D4F71E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16C446F2" w14:textId="4B32A14F"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rsidR="009904B8" w:rsidRPr="002F3450">
        <w:rPr>
          <w:rFonts w:ascii="Arial" w:hAnsi="Arial" w:cs="Arial"/>
          <w:sz w:val="20"/>
        </w:rPr>
        <w:t>na základě plné moci</w:t>
      </w:r>
      <w:r>
        <w:tab/>
      </w:r>
      <w:r w:rsidRPr="00784EAF">
        <w:rPr>
          <w:rFonts w:ascii="Arial" w:hAnsi="Arial" w:cs="Arial"/>
          <w:sz w:val="20"/>
        </w:rPr>
        <w:t>[</w:t>
      </w:r>
      <w:r>
        <w:rPr>
          <w:rFonts w:ascii="Arial" w:hAnsi="Arial" w:cs="Arial"/>
          <w:sz w:val="20"/>
        </w:rPr>
        <w:t xml:space="preserve">OU </w:t>
      </w:r>
      <w:proofErr w:type="spellStart"/>
      <w:proofErr w:type="gramStart"/>
      <w:r w:rsidRPr="00D51B6E">
        <w:rPr>
          <w:rFonts w:ascii="Arial" w:hAnsi="Arial" w:cs="Arial"/>
          <w:sz w:val="20"/>
        </w:rPr>
        <w:t>OU</w:t>
      </w:r>
      <w:proofErr w:type="spellEnd"/>
      <w:r w:rsidRPr="00D51B6E">
        <w:rPr>
          <w:rFonts w:ascii="Arial" w:hAnsi="Arial" w:cs="Arial"/>
          <w:sz w:val="20"/>
        </w:rPr>
        <w:t xml:space="preserve"> ]</w:t>
      </w:r>
      <w:proofErr w:type="gramEnd"/>
      <w:r w:rsidRPr="00D51B6E">
        <w:rPr>
          <w:rFonts w:ascii="Arial" w:hAnsi="Arial" w:cs="Arial"/>
          <w:i/>
          <w:sz w:val="20"/>
        </w:rPr>
        <w:t>,</w:t>
      </w:r>
      <w:r>
        <w:rPr>
          <w:rFonts w:ascii="Arial" w:hAnsi="Arial" w:cs="Arial"/>
          <w:i/>
          <w:sz w:val="20"/>
        </w:rPr>
        <w:t xml:space="preserve"> </w:t>
      </w:r>
      <w:r w:rsidR="009904B8">
        <w:rPr>
          <w:rFonts w:ascii="Arial" w:hAnsi="Arial" w:cs="Arial"/>
          <w:sz w:val="20"/>
        </w:rPr>
        <w:t>předseda představenstva</w:t>
      </w:r>
    </w:p>
    <w:p w14:paraId="6B681293" w14:textId="703A559E" w:rsidR="00740DD1" w:rsidRDefault="00740DD1" w:rsidP="00740DD1">
      <w:pPr>
        <w:pStyle w:val="Zkladntext2"/>
        <w:tabs>
          <w:tab w:val="left" w:pos="4820"/>
        </w:tabs>
        <w:spacing w:line="360" w:lineRule="auto"/>
        <w:ind w:left="-284" w:right="-567" w:firstLine="284"/>
        <w:rPr>
          <w:rFonts w:ascii="Arial" w:hAnsi="Arial" w:cs="Arial"/>
          <w:b/>
          <w:sz w:val="20"/>
        </w:rPr>
      </w:pPr>
      <w:r w:rsidRPr="00784EAF">
        <w:rPr>
          <w:rFonts w:ascii="Arial" w:hAnsi="Arial" w:cs="Arial"/>
          <w:b/>
          <w:sz w:val="20"/>
        </w:rPr>
        <w:tab/>
      </w:r>
    </w:p>
    <w:p w14:paraId="7DFCB26A" w14:textId="706335ED" w:rsidR="009904B8" w:rsidRDefault="009904B8" w:rsidP="009904B8">
      <w:pPr>
        <w:pStyle w:val="Zkladntext2"/>
        <w:tabs>
          <w:tab w:val="left" w:pos="4820"/>
        </w:tabs>
        <w:spacing w:line="360" w:lineRule="auto"/>
        <w:ind w:right="-567"/>
        <w:rPr>
          <w:rFonts w:ascii="Arial" w:hAnsi="Arial" w:cs="Arial"/>
          <w:i/>
          <w:sz w:val="20"/>
        </w:rPr>
      </w:pPr>
      <w:r>
        <w:rPr>
          <w:rFonts w:ascii="Arial" w:hAnsi="Arial" w:cs="Arial"/>
          <w:b/>
          <w:sz w:val="20"/>
        </w:rPr>
        <w:tab/>
      </w:r>
      <w:r w:rsidRPr="00784EAF">
        <w:rPr>
          <w:rFonts w:ascii="Arial" w:hAnsi="Arial" w:cs="Arial"/>
          <w:sz w:val="20"/>
        </w:rPr>
        <w:t>[</w:t>
      </w:r>
      <w:r>
        <w:rPr>
          <w:rFonts w:ascii="Arial" w:hAnsi="Arial" w:cs="Arial"/>
          <w:sz w:val="20"/>
        </w:rPr>
        <w:t xml:space="preserve">OU </w:t>
      </w:r>
      <w:proofErr w:type="spellStart"/>
      <w:proofErr w:type="gramStart"/>
      <w:r w:rsidRPr="002F3450">
        <w:rPr>
          <w:rFonts w:ascii="Arial" w:hAnsi="Arial" w:cs="Arial"/>
          <w:sz w:val="20"/>
        </w:rPr>
        <w:t>OU</w:t>
      </w:r>
      <w:proofErr w:type="spellEnd"/>
      <w:r w:rsidRPr="002F3450">
        <w:rPr>
          <w:rFonts w:ascii="Arial" w:hAnsi="Arial" w:cs="Arial"/>
          <w:sz w:val="20"/>
        </w:rPr>
        <w:t xml:space="preserve"> </w:t>
      </w:r>
      <w:r w:rsidRPr="00784EAF">
        <w:rPr>
          <w:rFonts w:ascii="Arial" w:hAnsi="Arial" w:cs="Arial"/>
          <w:sz w:val="20"/>
        </w:rPr>
        <w:t>]</w:t>
      </w:r>
      <w:proofErr w:type="gramEnd"/>
      <w:r>
        <w:rPr>
          <w:rFonts w:ascii="Arial" w:hAnsi="Arial" w:cs="Arial"/>
          <w:i/>
          <w:sz w:val="20"/>
        </w:rPr>
        <w:t xml:space="preserve">, </w:t>
      </w:r>
      <w:r>
        <w:rPr>
          <w:rFonts w:ascii="Arial" w:hAnsi="Arial" w:cs="Arial"/>
          <w:i/>
          <w:sz w:val="20"/>
        </w:rPr>
        <w:tab/>
      </w:r>
      <w:r>
        <w:rPr>
          <w:rFonts w:ascii="Arial" w:hAnsi="Arial" w:cs="Arial"/>
          <w:i/>
          <w:sz w:val="20"/>
        </w:rPr>
        <w:tab/>
      </w:r>
    </w:p>
    <w:p w14:paraId="597B0CBB" w14:textId="65EB286E" w:rsidR="009904B8" w:rsidRDefault="009904B8" w:rsidP="009904B8">
      <w:pPr>
        <w:pStyle w:val="Zkladntext2"/>
        <w:tabs>
          <w:tab w:val="left" w:pos="4820"/>
        </w:tabs>
        <w:spacing w:line="360" w:lineRule="auto"/>
        <w:ind w:right="-567"/>
      </w:pPr>
      <w:r>
        <w:rPr>
          <w:rFonts w:ascii="Arial" w:hAnsi="Arial" w:cs="Arial"/>
          <w:i/>
          <w:sz w:val="20"/>
        </w:rPr>
        <w:tab/>
      </w:r>
      <w:r w:rsidR="008609FC">
        <w:rPr>
          <w:rFonts w:ascii="Arial" w:hAnsi="Arial" w:cs="Arial"/>
          <w:sz w:val="20"/>
        </w:rPr>
        <w:t>místopř</w:t>
      </w:r>
      <w:r>
        <w:rPr>
          <w:rFonts w:ascii="Arial" w:hAnsi="Arial" w:cs="Arial"/>
          <w:sz w:val="20"/>
        </w:rPr>
        <w:t>edseda představenstva</w:t>
      </w:r>
    </w:p>
    <w:sectPr w:rsidR="009904B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280B" w14:textId="77777777" w:rsidR="00CD3E63" w:rsidRDefault="00CD3E63" w:rsidP="00784C0C">
      <w:r>
        <w:separator/>
      </w:r>
    </w:p>
  </w:endnote>
  <w:endnote w:type="continuationSeparator" w:id="0">
    <w:p w14:paraId="632E6F72" w14:textId="77777777" w:rsidR="00CD3E63" w:rsidRDefault="00CD3E63"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95C2" w14:textId="77777777" w:rsidR="00CD3E63" w:rsidRDefault="00CD3E63" w:rsidP="00784C0C">
      <w:r>
        <w:separator/>
      </w:r>
    </w:p>
  </w:footnote>
  <w:footnote w:type="continuationSeparator" w:id="0">
    <w:p w14:paraId="33AFA8C2" w14:textId="77777777" w:rsidR="00CD3E63" w:rsidRDefault="00CD3E63" w:rsidP="0078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FE2" w14:textId="481AC65B" w:rsidR="00784C0C" w:rsidRDefault="00784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4831839">
    <w:abstractNumId w:val="9"/>
  </w:num>
  <w:num w:numId="2" w16cid:durableId="141626461">
    <w:abstractNumId w:val="10"/>
  </w:num>
  <w:num w:numId="3" w16cid:durableId="302466006">
    <w:abstractNumId w:val="7"/>
  </w:num>
  <w:num w:numId="4" w16cid:durableId="1999067700">
    <w:abstractNumId w:val="3"/>
  </w:num>
  <w:num w:numId="5" w16cid:durableId="1670711385">
    <w:abstractNumId w:val="4"/>
  </w:num>
  <w:num w:numId="6" w16cid:durableId="1622879166">
    <w:abstractNumId w:val="11"/>
  </w:num>
  <w:num w:numId="7" w16cid:durableId="137453188">
    <w:abstractNumId w:val="8"/>
  </w:num>
  <w:num w:numId="8" w16cid:durableId="1262369798">
    <w:abstractNumId w:val="2"/>
  </w:num>
  <w:num w:numId="9" w16cid:durableId="914047353">
    <w:abstractNumId w:val="1"/>
  </w:num>
  <w:num w:numId="10" w16cid:durableId="882330229">
    <w:abstractNumId w:val="5"/>
  </w:num>
  <w:num w:numId="11" w16cid:durableId="1871407466">
    <w:abstractNumId w:val="0"/>
  </w:num>
  <w:num w:numId="12" w16cid:durableId="1986349033">
    <w:abstractNumId w:val="6"/>
  </w:num>
  <w:num w:numId="13" w16cid:durableId="1331787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3355"/>
    <w:rsid w:val="000722A6"/>
    <w:rsid w:val="000C4C27"/>
    <w:rsid w:val="000C4CF6"/>
    <w:rsid w:val="000C6D6E"/>
    <w:rsid w:val="001028EE"/>
    <w:rsid w:val="00107E46"/>
    <w:rsid w:val="00125CB6"/>
    <w:rsid w:val="001725AB"/>
    <w:rsid w:val="001747A9"/>
    <w:rsid w:val="00182BD7"/>
    <w:rsid w:val="00197238"/>
    <w:rsid w:val="001D6DBE"/>
    <w:rsid w:val="0025554E"/>
    <w:rsid w:val="0027394B"/>
    <w:rsid w:val="002D3E22"/>
    <w:rsid w:val="002E5B25"/>
    <w:rsid w:val="002F3450"/>
    <w:rsid w:val="00303EC7"/>
    <w:rsid w:val="0032105C"/>
    <w:rsid w:val="00371615"/>
    <w:rsid w:val="003956FD"/>
    <w:rsid w:val="003F6806"/>
    <w:rsid w:val="004263CE"/>
    <w:rsid w:val="00454A8E"/>
    <w:rsid w:val="004604D8"/>
    <w:rsid w:val="00470A2E"/>
    <w:rsid w:val="0047409F"/>
    <w:rsid w:val="004B3F8A"/>
    <w:rsid w:val="004C39A6"/>
    <w:rsid w:val="00522313"/>
    <w:rsid w:val="00557AFD"/>
    <w:rsid w:val="00567092"/>
    <w:rsid w:val="00593ED6"/>
    <w:rsid w:val="005A3277"/>
    <w:rsid w:val="005A3E3E"/>
    <w:rsid w:val="005B44C9"/>
    <w:rsid w:val="005C4292"/>
    <w:rsid w:val="005D332F"/>
    <w:rsid w:val="00621ED7"/>
    <w:rsid w:val="006318DC"/>
    <w:rsid w:val="00631FCF"/>
    <w:rsid w:val="006612CF"/>
    <w:rsid w:val="006641CC"/>
    <w:rsid w:val="006E0426"/>
    <w:rsid w:val="007314F0"/>
    <w:rsid w:val="007322F7"/>
    <w:rsid w:val="00740DD1"/>
    <w:rsid w:val="00784C0C"/>
    <w:rsid w:val="00795C1B"/>
    <w:rsid w:val="007B7AA5"/>
    <w:rsid w:val="007C3FDC"/>
    <w:rsid w:val="007C443A"/>
    <w:rsid w:val="007D1D1E"/>
    <w:rsid w:val="007D714D"/>
    <w:rsid w:val="007E13B0"/>
    <w:rsid w:val="007F0A7E"/>
    <w:rsid w:val="007F39AF"/>
    <w:rsid w:val="008402B5"/>
    <w:rsid w:val="0084721F"/>
    <w:rsid w:val="008609FC"/>
    <w:rsid w:val="008625EB"/>
    <w:rsid w:val="008F1224"/>
    <w:rsid w:val="00924026"/>
    <w:rsid w:val="00940724"/>
    <w:rsid w:val="009904B8"/>
    <w:rsid w:val="009C4763"/>
    <w:rsid w:val="00A21215"/>
    <w:rsid w:val="00A228BD"/>
    <w:rsid w:val="00A26516"/>
    <w:rsid w:val="00A32F23"/>
    <w:rsid w:val="00A35475"/>
    <w:rsid w:val="00A842DE"/>
    <w:rsid w:val="00A9102A"/>
    <w:rsid w:val="00AD7A0F"/>
    <w:rsid w:val="00AE66BD"/>
    <w:rsid w:val="00B34D6A"/>
    <w:rsid w:val="00B54F07"/>
    <w:rsid w:val="00B96310"/>
    <w:rsid w:val="00BD7244"/>
    <w:rsid w:val="00BF16B1"/>
    <w:rsid w:val="00C664CD"/>
    <w:rsid w:val="00CA5FD3"/>
    <w:rsid w:val="00CC20D5"/>
    <w:rsid w:val="00CD3E63"/>
    <w:rsid w:val="00CD57B9"/>
    <w:rsid w:val="00D2608C"/>
    <w:rsid w:val="00D379F2"/>
    <w:rsid w:val="00D51B6E"/>
    <w:rsid w:val="00D628C2"/>
    <w:rsid w:val="00DD72C0"/>
    <w:rsid w:val="00E51E59"/>
    <w:rsid w:val="00E72EFB"/>
    <w:rsid w:val="00E8640C"/>
    <w:rsid w:val="00EB50C1"/>
    <w:rsid w:val="00F17B6A"/>
    <w:rsid w:val="00F5188F"/>
    <w:rsid w:val="00F5217D"/>
    <w:rsid w:val="00FD5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8B4B-5D16-4457-BABE-774D6A5A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2806</Words>
  <Characters>16560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Anežka Kateřina Vondráková</cp:lastModifiedBy>
  <cp:revision>4</cp:revision>
  <dcterms:created xsi:type="dcterms:W3CDTF">2024-03-08T14:10:00Z</dcterms:created>
  <dcterms:modified xsi:type="dcterms:W3CDTF">2024-03-19T09:24:00Z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2024-03-08T14:07:38Z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25c3d6c2-ae7c-41f7-b4b7-4491f08ea321</vt:lpwstr>
  </property>
  <property fmtid="{D5CDD505-2E9C-101B-9397-08002B2CF9AE}" pid="9" name="MSIP_Label_c63a0701-319b-41bf-8431-58956e491e60_ContentBits">
    <vt:lpwstr>0</vt:lpwstr>
  </property>
</Properties>
</file>