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2B" w:rsidRDefault="00C50D2B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D2B" w:rsidRPr="00C854E0" w:rsidRDefault="00C50D2B" w:rsidP="00C50D2B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6428BFBC" wp14:editId="0A507EA5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4D173045" wp14:editId="0DA3A6F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C50D2B" w:rsidRPr="00C854E0" w:rsidRDefault="00C50D2B" w:rsidP="00C50D2B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C50D2B" w:rsidRPr="00C854E0" w:rsidRDefault="00C50D2B" w:rsidP="00C50D2B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BB295D" w:rsidRDefault="00BB295D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6A" w:rsidRPr="007C256A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FD2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56A" w:rsidRPr="003F3DEF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Číslo smlouvy pronajímatele:</w:t>
      </w:r>
      <w:r w:rsidR="00C50D2B">
        <w:rPr>
          <w:rFonts w:ascii="Times New Roman" w:hAnsi="Times New Roman" w:cs="Times New Roman"/>
          <w:b/>
          <w:sz w:val="24"/>
          <w:szCs w:val="24"/>
        </w:rPr>
        <w:t>329</w:t>
      </w:r>
      <w:r w:rsidR="00F46354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2450D">
        <w:rPr>
          <w:rFonts w:ascii="Times New Roman" w:hAnsi="Times New Roman" w:cs="Times New Roman"/>
          <w:b/>
          <w:sz w:val="24"/>
          <w:szCs w:val="24"/>
        </w:rPr>
        <w:t>3</w:t>
      </w:r>
    </w:p>
    <w:p w:rsidR="007C256A" w:rsidRPr="00F96604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4250E7" w:rsidRPr="00DD3C0B" w:rsidRDefault="004250E7" w:rsidP="00425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0B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DD3C0B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DD3C0B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IČ: 00873489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zastoupené: Mgr. Pavlínou Caisovou, ředitelkou školy </w:t>
      </w:r>
    </w:p>
    <w:p w:rsidR="008B6AD9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B6AD9">
        <w:rPr>
          <w:rFonts w:ascii="Times New Roman" w:hAnsi="Times New Roman" w:cs="Times New Roman"/>
          <w:sz w:val="24"/>
          <w:szCs w:val="24"/>
        </w:rPr>
        <w:t>XXXXX</w:t>
      </w:r>
    </w:p>
    <w:p w:rsidR="004250E7" w:rsidRPr="00DD3C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8B6AD9">
        <w:rPr>
          <w:rFonts w:ascii="Times New Roman" w:hAnsi="Times New Roman" w:cs="Times New Roman"/>
          <w:sz w:val="24"/>
          <w:szCs w:val="24"/>
        </w:rPr>
        <w:t>XXXXX</w:t>
      </w:r>
    </w:p>
    <w:p w:rsidR="004250E7" w:rsidRPr="00DD3C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8B6AD9">
        <w:rPr>
          <w:rFonts w:ascii="Times New Roman" w:hAnsi="Times New Roman" w:cs="Times New Roman"/>
          <w:sz w:val="24"/>
          <w:szCs w:val="24"/>
        </w:rPr>
        <w:t>XXXXX</w:t>
      </w:r>
    </w:p>
    <w:p w:rsidR="004250E7" w:rsidRPr="00DD3C0B" w:rsidRDefault="004250E7" w:rsidP="004250E7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8C560C">
        <w:rPr>
          <w:rFonts w:ascii="Times New Roman" w:hAnsi="Times New Roman" w:cs="Times New Roman"/>
          <w:i/>
          <w:sz w:val="24"/>
          <w:szCs w:val="24"/>
        </w:rPr>
        <w:t>„</w:t>
      </w:r>
      <w:r w:rsidRPr="008C560C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8C560C">
        <w:rPr>
          <w:rFonts w:ascii="Times New Roman" w:hAnsi="Times New Roman" w:cs="Times New Roman"/>
          <w:i/>
          <w:sz w:val="24"/>
          <w:szCs w:val="24"/>
        </w:rPr>
        <w:t>“</w:t>
      </w:r>
      <w:r w:rsidRPr="00DD3C0B">
        <w:rPr>
          <w:rFonts w:ascii="Times New Roman" w:hAnsi="Times New Roman" w:cs="Times New Roman"/>
          <w:sz w:val="24"/>
          <w:szCs w:val="24"/>
        </w:rPr>
        <w:t>)</w:t>
      </w:r>
    </w:p>
    <w:p w:rsidR="007C2AC4" w:rsidRDefault="007C2AC4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Default="007C256A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FE3963" w:rsidRPr="00F96604" w:rsidRDefault="00FE3963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221F">
        <w:rPr>
          <w:rFonts w:ascii="Times New Roman" w:hAnsi="Times New Roman" w:cs="Times New Roman"/>
          <w:b/>
          <w:sz w:val="24"/>
          <w:szCs w:val="24"/>
        </w:rPr>
        <w:t xml:space="preserve">TJ Spartak Příbram, z.s.   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se sídlem: Alšovo nám. 394, 261 01 Příbram II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2577</w:t>
      </w:r>
    </w:p>
    <w:p w:rsidR="00FD221F" w:rsidRPr="00FD221F" w:rsidRDefault="007355AA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Ing. Karlem Eliášem, předsedou výboru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IČ</w:t>
      </w:r>
      <w:r w:rsidR="008103FF">
        <w:rPr>
          <w:rFonts w:ascii="Times New Roman" w:hAnsi="Times New Roman" w:cs="Times New Roman"/>
          <w:sz w:val="24"/>
          <w:szCs w:val="24"/>
        </w:rPr>
        <w:t>O</w:t>
      </w:r>
      <w:r w:rsidRPr="00FD221F">
        <w:rPr>
          <w:rFonts w:ascii="Times New Roman" w:hAnsi="Times New Roman" w:cs="Times New Roman"/>
          <w:sz w:val="24"/>
          <w:szCs w:val="24"/>
        </w:rPr>
        <w:t>: 42727065</w:t>
      </w:r>
    </w:p>
    <w:p w:rsidR="008B6AD9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B6AD9">
        <w:rPr>
          <w:rFonts w:ascii="Times New Roman" w:hAnsi="Times New Roman" w:cs="Times New Roman"/>
          <w:sz w:val="24"/>
          <w:szCs w:val="24"/>
        </w:rPr>
        <w:t>XXXXXX</w:t>
      </w:r>
    </w:p>
    <w:bookmarkEnd w:id="0"/>
    <w:p w:rsidR="00FD221F" w:rsidRPr="00FD221F" w:rsidRDefault="008B6AD9" w:rsidP="00FD221F">
      <w:pPr>
        <w:tabs>
          <w:tab w:val="left" w:pos="563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 xml:space="preserve"> </w:t>
      </w:r>
      <w:r w:rsidR="00FD221F" w:rsidRPr="00FD221F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D221F" w:rsidRPr="008C560C">
        <w:rPr>
          <w:rFonts w:ascii="Times New Roman" w:hAnsi="Times New Roman" w:cs="Times New Roman"/>
          <w:i/>
          <w:sz w:val="24"/>
          <w:szCs w:val="24"/>
        </w:rPr>
        <w:t>„</w:t>
      </w:r>
      <w:r w:rsidR="00FD221F" w:rsidRPr="008C560C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="00FD221F" w:rsidRPr="00FD221F">
        <w:rPr>
          <w:rFonts w:ascii="Times New Roman" w:hAnsi="Times New Roman" w:cs="Times New Roman"/>
          <w:bCs/>
          <w:sz w:val="24"/>
          <w:szCs w:val="24"/>
        </w:rPr>
        <w:t>)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FE3963" w:rsidRPr="00F96604" w:rsidRDefault="00FE3963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8103FF" w:rsidRDefault="008103FF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FE3963" w:rsidRDefault="00FE3963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E3963" w:rsidRDefault="00FE3963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256A" w:rsidRPr="00F96604" w:rsidRDefault="007C2AC4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I</w:t>
      </w:r>
      <w:r w:rsidR="007C256A"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7C2AC4" w:rsidRDefault="007C2AC4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11" w:rsidRDefault="0001696F" w:rsidP="00B17D6C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90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014C9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003911" w:rsidRPr="00014C90">
        <w:rPr>
          <w:rFonts w:ascii="Times New Roman" w:hAnsi="Times New Roman" w:cs="Times New Roman"/>
          <w:b/>
          <w:sz w:val="24"/>
          <w:szCs w:val="24"/>
        </w:rPr>
        <w:t>4</w:t>
      </w:r>
      <w:r w:rsidRPr="00014C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3911" w:rsidRPr="00014C90">
        <w:rPr>
          <w:rFonts w:ascii="Times New Roman" w:hAnsi="Times New Roman" w:cs="Times New Roman"/>
          <w:b/>
          <w:sz w:val="24"/>
          <w:szCs w:val="24"/>
        </w:rPr>
        <w:t>9</w:t>
      </w:r>
      <w:r w:rsidRPr="00014C90">
        <w:rPr>
          <w:rFonts w:ascii="Times New Roman" w:hAnsi="Times New Roman" w:cs="Times New Roman"/>
          <w:b/>
          <w:sz w:val="24"/>
          <w:szCs w:val="24"/>
        </w:rPr>
        <w:t>. 2023 do 30. 6. 202</w:t>
      </w:r>
      <w:r w:rsidR="00003911" w:rsidRPr="00014C90">
        <w:rPr>
          <w:rFonts w:ascii="Times New Roman" w:hAnsi="Times New Roman" w:cs="Times New Roman"/>
          <w:b/>
          <w:sz w:val="24"/>
          <w:szCs w:val="24"/>
        </w:rPr>
        <w:t>4</w:t>
      </w:r>
      <w:r w:rsidRPr="00014C90">
        <w:rPr>
          <w:rFonts w:ascii="Times New Roman" w:hAnsi="Times New Roman" w:cs="Times New Roman"/>
          <w:sz w:val="24"/>
          <w:szCs w:val="24"/>
        </w:rPr>
        <w:t xml:space="preserve">. Tělocvična bude uzavřena v době školních prázdnin a státních svátků, tzn.: </w:t>
      </w:r>
      <w:r w:rsidR="00003911" w:rsidRPr="00014C90">
        <w:rPr>
          <w:rFonts w:ascii="Times New Roman" w:hAnsi="Times New Roman" w:cs="Times New Roman"/>
          <w:sz w:val="24"/>
          <w:szCs w:val="24"/>
        </w:rPr>
        <w:t>28.9</w:t>
      </w:r>
      <w:r w:rsidRPr="00014C90">
        <w:rPr>
          <w:rFonts w:ascii="Times New Roman" w:hAnsi="Times New Roman" w:cs="Times New Roman"/>
          <w:sz w:val="24"/>
          <w:szCs w:val="24"/>
        </w:rPr>
        <w:t xml:space="preserve">. 2023, </w:t>
      </w:r>
      <w:r w:rsidR="00A35886" w:rsidRPr="00014C90">
        <w:rPr>
          <w:rFonts w:ascii="Times New Roman" w:hAnsi="Times New Roman" w:cs="Times New Roman"/>
          <w:sz w:val="24"/>
          <w:szCs w:val="24"/>
        </w:rPr>
        <w:t>26.10</w:t>
      </w:r>
      <w:r w:rsidR="00014C90" w:rsidRPr="00014C90">
        <w:rPr>
          <w:rFonts w:ascii="Times New Roman" w:hAnsi="Times New Roman" w:cs="Times New Roman"/>
          <w:sz w:val="24"/>
          <w:szCs w:val="24"/>
        </w:rPr>
        <w:t>.</w:t>
      </w:r>
      <w:r w:rsidR="00DF1265">
        <w:rPr>
          <w:rFonts w:ascii="Times New Roman" w:hAnsi="Times New Roman" w:cs="Times New Roman"/>
          <w:sz w:val="24"/>
          <w:szCs w:val="24"/>
        </w:rPr>
        <w:t xml:space="preserve"> </w:t>
      </w:r>
      <w:r w:rsidR="00014C90" w:rsidRPr="00014C90">
        <w:rPr>
          <w:rFonts w:ascii="Times New Roman" w:hAnsi="Times New Roman" w:cs="Times New Roman"/>
          <w:sz w:val="24"/>
          <w:szCs w:val="24"/>
        </w:rPr>
        <w:t>-</w:t>
      </w:r>
      <w:r w:rsidR="00DF1265">
        <w:rPr>
          <w:rFonts w:ascii="Times New Roman" w:hAnsi="Times New Roman" w:cs="Times New Roman"/>
          <w:sz w:val="24"/>
          <w:szCs w:val="24"/>
        </w:rPr>
        <w:t xml:space="preserve"> </w:t>
      </w:r>
      <w:r w:rsidR="00014C90" w:rsidRPr="00014C90">
        <w:rPr>
          <w:rFonts w:ascii="Times New Roman" w:hAnsi="Times New Roman" w:cs="Times New Roman"/>
          <w:sz w:val="24"/>
          <w:szCs w:val="24"/>
        </w:rPr>
        <w:t>27.10.2023,</w:t>
      </w:r>
      <w:r w:rsidR="00014C90">
        <w:rPr>
          <w:rFonts w:ascii="Times New Roman" w:hAnsi="Times New Roman" w:cs="Times New Roman"/>
          <w:sz w:val="24"/>
          <w:szCs w:val="24"/>
        </w:rPr>
        <w:t xml:space="preserve"> </w:t>
      </w:r>
      <w:r w:rsidR="00DA2DB2" w:rsidRPr="00014C90">
        <w:rPr>
          <w:rFonts w:ascii="Times New Roman" w:hAnsi="Times New Roman" w:cs="Times New Roman"/>
          <w:sz w:val="24"/>
          <w:szCs w:val="24"/>
        </w:rPr>
        <w:t xml:space="preserve">17.11.2023, </w:t>
      </w:r>
      <w:r w:rsidR="00B165D8">
        <w:rPr>
          <w:rFonts w:ascii="Times New Roman" w:hAnsi="Times New Roman" w:cs="Times New Roman"/>
          <w:sz w:val="24"/>
          <w:szCs w:val="24"/>
        </w:rPr>
        <w:t>23.12.</w:t>
      </w:r>
      <w:r w:rsidR="00DF1265">
        <w:rPr>
          <w:rFonts w:ascii="Times New Roman" w:hAnsi="Times New Roman" w:cs="Times New Roman"/>
          <w:sz w:val="24"/>
          <w:szCs w:val="24"/>
        </w:rPr>
        <w:t xml:space="preserve">2023 - 03.01.2024, </w:t>
      </w:r>
      <w:r w:rsidR="00014C90">
        <w:rPr>
          <w:rFonts w:ascii="Times New Roman" w:hAnsi="Times New Roman" w:cs="Times New Roman"/>
          <w:sz w:val="24"/>
          <w:szCs w:val="24"/>
        </w:rPr>
        <w:t>02.02.2024, 04.03.</w:t>
      </w:r>
      <w:r w:rsidR="002D59B0">
        <w:rPr>
          <w:rFonts w:ascii="Times New Roman" w:hAnsi="Times New Roman" w:cs="Times New Roman"/>
          <w:sz w:val="24"/>
          <w:szCs w:val="24"/>
        </w:rPr>
        <w:t xml:space="preserve"> </w:t>
      </w:r>
      <w:r w:rsidR="00014C90">
        <w:rPr>
          <w:rFonts w:ascii="Times New Roman" w:hAnsi="Times New Roman" w:cs="Times New Roman"/>
          <w:sz w:val="24"/>
          <w:szCs w:val="24"/>
        </w:rPr>
        <w:t>-</w:t>
      </w:r>
      <w:r w:rsidR="002D59B0">
        <w:rPr>
          <w:rFonts w:ascii="Times New Roman" w:hAnsi="Times New Roman" w:cs="Times New Roman"/>
          <w:sz w:val="24"/>
          <w:szCs w:val="24"/>
        </w:rPr>
        <w:t xml:space="preserve"> </w:t>
      </w:r>
      <w:r w:rsidR="00014C90">
        <w:rPr>
          <w:rFonts w:ascii="Times New Roman" w:hAnsi="Times New Roman" w:cs="Times New Roman"/>
          <w:sz w:val="24"/>
          <w:szCs w:val="24"/>
        </w:rPr>
        <w:t xml:space="preserve">10.03.2024, 28.03 - </w:t>
      </w:r>
      <w:r w:rsidR="00A35886" w:rsidRPr="00014C90">
        <w:rPr>
          <w:rFonts w:ascii="Times New Roman" w:hAnsi="Times New Roman" w:cs="Times New Roman"/>
          <w:sz w:val="24"/>
          <w:szCs w:val="24"/>
        </w:rPr>
        <w:t>29.03.2024, 01.04.</w:t>
      </w:r>
      <w:r w:rsidR="002D59B0">
        <w:rPr>
          <w:rFonts w:ascii="Times New Roman" w:hAnsi="Times New Roman" w:cs="Times New Roman"/>
          <w:sz w:val="24"/>
          <w:szCs w:val="24"/>
        </w:rPr>
        <w:t xml:space="preserve"> </w:t>
      </w:r>
      <w:r w:rsidR="00A35886" w:rsidRPr="00014C90">
        <w:rPr>
          <w:rFonts w:ascii="Times New Roman" w:hAnsi="Times New Roman" w:cs="Times New Roman"/>
          <w:sz w:val="24"/>
          <w:szCs w:val="24"/>
        </w:rPr>
        <w:t>2024, 0</w:t>
      </w:r>
      <w:r w:rsidR="00DA2DB2" w:rsidRPr="00014C90">
        <w:rPr>
          <w:rFonts w:ascii="Times New Roman" w:hAnsi="Times New Roman" w:cs="Times New Roman"/>
          <w:sz w:val="24"/>
          <w:szCs w:val="24"/>
        </w:rPr>
        <w:t xml:space="preserve">1. 05. 2024, </w:t>
      </w:r>
      <w:r w:rsidR="00A35886" w:rsidRPr="00014C90">
        <w:rPr>
          <w:rFonts w:ascii="Times New Roman" w:hAnsi="Times New Roman" w:cs="Times New Roman"/>
          <w:sz w:val="24"/>
          <w:szCs w:val="24"/>
        </w:rPr>
        <w:t>0</w:t>
      </w:r>
      <w:r w:rsidR="00DA2DB2" w:rsidRPr="00014C90">
        <w:rPr>
          <w:rFonts w:ascii="Times New Roman" w:hAnsi="Times New Roman" w:cs="Times New Roman"/>
          <w:sz w:val="24"/>
          <w:szCs w:val="24"/>
        </w:rPr>
        <w:t>8.05.2024</w:t>
      </w:r>
      <w:r w:rsidR="00E05411">
        <w:rPr>
          <w:rFonts w:ascii="Times New Roman" w:hAnsi="Times New Roman" w:cs="Times New Roman"/>
          <w:sz w:val="24"/>
          <w:szCs w:val="24"/>
        </w:rPr>
        <w:t>.</w:t>
      </w:r>
    </w:p>
    <w:p w:rsidR="007C2AC4" w:rsidRDefault="007C2AC4" w:rsidP="007C2AC4">
      <w:pPr>
        <w:pStyle w:val="Odstavecseseznamem"/>
        <w:tabs>
          <w:tab w:val="left" w:pos="5633"/>
        </w:tabs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805875" w:rsidTr="00996530">
        <w:tc>
          <w:tcPr>
            <w:tcW w:w="3126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805875" w:rsidRDefault="00805875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do 1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:rsidR="00805875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05875"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17:00 do 1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hodin</w:t>
            </w:r>
          </w:p>
        </w:tc>
        <w:tc>
          <w:tcPr>
            <w:tcW w:w="3123" w:type="dxa"/>
          </w:tcPr>
          <w:p w:rsidR="00FC710A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,5 hodiny</w:t>
            </w: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:rsidR="00FC710A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19:00 do 2</w:t>
            </w:r>
            <w:r w:rsidR="00F807C5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:rsidR="00FC710A" w:rsidRDefault="00F807C5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 xml:space="preserve"> hodiny</w:t>
            </w: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299" w:rsidRDefault="00996530" w:rsidP="0099529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F807C5">
        <w:rPr>
          <w:rFonts w:ascii="Times New Roman" w:hAnsi="Times New Roman" w:cs="Times New Roman"/>
          <w:sz w:val="24"/>
          <w:szCs w:val="24"/>
        </w:rPr>
        <w:t>6,5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</w:t>
      </w:r>
      <w:r w:rsidR="00CD1681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95299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0F4178" w:rsidRPr="000F4178">
        <w:rPr>
          <w:rFonts w:ascii="Times New Roman" w:hAnsi="Times New Roman" w:cs="Times New Roman"/>
          <w:sz w:val="24"/>
          <w:szCs w:val="24"/>
        </w:rPr>
        <w:t>2</w:t>
      </w:r>
      <w:r w:rsidR="00F807C5">
        <w:rPr>
          <w:rFonts w:ascii="Times New Roman" w:hAnsi="Times New Roman" w:cs="Times New Roman"/>
          <w:sz w:val="24"/>
          <w:szCs w:val="24"/>
        </w:rPr>
        <w:t>49,</w:t>
      </w:r>
      <w:r w:rsidR="00931E05">
        <w:rPr>
          <w:rFonts w:ascii="Times New Roman" w:hAnsi="Times New Roman" w:cs="Times New Roman"/>
          <w:sz w:val="24"/>
          <w:szCs w:val="24"/>
        </w:rPr>
        <w:t>5</w:t>
      </w:r>
      <w:r w:rsidR="000F4178" w:rsidRPr="000F4178">
        <w:rPr>
          <w:rFonts w:ascii="Times New Roman" w:hAnsi="Times New Roman" w:cs="Times New Roman"/>
          <w:sz w:val="24"/>
          <w:szCs w:val="24"/>
        </w:rPr>
        <w:t xml:space="preserve"> hodin.</w:t>
      </w:r>
    </w:p>
    <w:p w:rsidR="00A93754" w:rsidRPr="00996530" w:rsidRDefault="00A93754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Default="0051094C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374F05" w:rsidRPr="00F96604" w:rsidRDefault="00374F05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7F2" w:rsidRPr="003D7ABC" w:rsidRDefault="0051094C" w:rsidP="00FA17F2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Účastníci této smlouvy nájemní se dohodli na nájemném ve výši Kč </w:t>
      </w:r>
      <w:r w:rsidR="00A35B06">
        <w:rPr>
          <w:rFonts w:ascii="Times New Roman" w:hAnsi="Times New Roman" w:cs="Times New Roman"/>
          <w:sz w:val="24"/>
          <w:szCs w:val="24"/>
        </w:rPr>
        <w:t>2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50,- Kč. Nájemce dále uhradí pronajímateli poměrnou část z celkových nákladů za služby spojené s nájmem (vodné, stočné ve výši 30,-Kč, teplo ve výši </w:t>
      </w:r>
      <w:r w:rsidR="00A35B06">
        <w:rPr>
          <w:rFonts w:ascii="Times New Roman" w:hAnsi="Times New Roman" w:cs="Times New Roman"/>
          <w:sz w:val="24"/>
          <w:szCs w:val="24"/>
        </w:rPr>
        <w:t>220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,-Kč, elektrická energie ve výši 150,-Kč), a to v celkové výši Kč </w:t>
      </w:r>
      <w:r w:rsidR="00A6176F">
        <w:rPr>
          <w:rFonts w:ascii="Times New Roman" w:hAnsi="Times New Roman" w:cs="Times New Roman"/>
          <w:sz w:val="24"/>
          <w:szCs w:val="24"/>
        </w:rPr>
        <w:t>4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00,- Kč. </w:t>
      </w:r>
      <w:r w:rsidR="00FA17F2" w:rsidRPr="00193C69">
        <w:rPr>
          <w:rFonts w:ascii="Times New Roman" w:hAnsi="Times New Roman" w:cs="Times New Roman"/>
          <w:b/>
          <w:sz w:val="24"/>
          <w:szCs w:val="24"/>
        </w:rPr>
        <w:t>Celkové nájemné činí 650,- Kč</w:t>
      </w:r>
      <w:r w:rsidR="00FA17F2" w:rsidRPr="00193C69">
        <w:rPr>
          <w:rFonts w:ascii="Times New Roman" w:hAnsi="Times New Roman" w:cs="Times New Roman"/>
          <w:sz w:val="24"/>
          <w:szCs w:val="24"/>
        </w:rPr>
        <w:t xml:space="preserve"> </w:t>
      </w:r>
      <w:r w:rsidR="00FA17F2" w:rsidRPr="00193C69">
        <w:rPr>
          <w:rFonts w:ascii="Times New Roman" w:hAnsi="Times New Roman" w:cs="Times New Roman"/>
          <w:b/>
          <w:sz w:val="24"/>
          <w:szCs w:val="24"/>
        </w:rPr>
        <w:t>za jednu hodinu pronájmu</w:t>
      </w:r>
      <w:r w:rsidR="00FA17F2" w:rsidRPr="0050042B">
        <w:rPr>
          <w:rFonts w:ascii="Times New Roman" w:hAnsi="Times New Roman" w:cs="Times New Roman"/>
          <w:sz w:val="24"/>
          <w:szCs w:val="24"/>
        </w:rPr>
        <w:t>,</w:t>
      </w:r>
      <w:r w:rsidR="00FA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7F2" w:rsidRPr="003D7ABC">
        <w:rPr>
          <w:rFonts w:ascii="Times New Roman" w:hAnsi="Times New Roman" w:cs="Times New Roman"/>
          <w:sz w:val="24"/>
          <w:szCs w:val="24"/>
        </w:rPr>
        <w:t>a je splatné vždy nejpozději do 14 dnů po vystavení faktury</w:t>
      </w:r>
      <w:r w:rsidR="00FA17F2">
        <w:rPr>
          <w:rFonts w:ascii="Times New Roman" w:hAnsi="Times New Roman" w:cs="Times New Roman"/>
          <w:sz w:val="24"/>
          <w:szCs w:val="24"/>
        </w:rPr>
        <w:t>,</w:t>
      </w:r>
      <w:r w:rsidR="00FA17F2" w:rsidRPr="003D7ABC">
        <w:rPr>
          <w:rFonts w:ascii="Times New Roman" w:hAnsi="Times New Roman" w:cs="Times New Roman"/>
          <w:sz w:val="24"/>
          <w:szCs w:val="24"/>
        </w:rPr>
        <w:t xml:space="preserve"> a to na účet pronajímatele uvedený v záhlaví této smlouvy. </w:t>
      </w:r>
    </w:p>
    <w:p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7429F1" w:rsidRPr="007429F1">
        <w:rPr>
          <w:rFonts w:ascii="Times New Roman" w:hAnsi="Times New Roman" w:cs="Times New Roman"/>
          <w:b/>
          <w:sz w:val="24"/>
          <w:szCs w:val="24"/>
        </w:rPr>
        <w:t>1</w:t>
      </w:r>
      <w:r w:rsidR="00931E05">
        <w:rPr>
          <w:rFonts w:ascii="Times New Roman" w:hAnsi="Times New Roman" w:cs="Times New Roman"/>
          <w:b/>
          <w:sz w:val="24"/>
          <w:szCs w:val="24"/>
        </w:rPr>
        <w:t>62</w:t>
      </w:r>
      <w:r w:rsidR="007429F1" w:rsidRPr="007429F1">
        <w:rPr>
          <w:rFonts w:ascii="Times New Roman" w:hAnsi="Times New Roman" w:cs="Times New Roman"/>
          <w:b/>
          <w:sz w:val="24"/>
          <w:szCs w:val="24"/>
        </w:rPr>
        <w:t>.</w:t>
      </w:r>
      <w:r w:rsidR="00931E05">
        <w:rPr>
          <w:rFonts w:ascii="Times New Roman" w:hAnsi="Times New Roman" w:cs="Times New Roman"/>
          <w:b/>
          <w:sz w:val="24"/>
          <w:szCs w:val="24"/>
        </w:rPr>
        <w:t>175,</w:t>
      </w:r>
      <w:r w:rsidR="00C52586" w:rsidRPr="007429F1">
        <w:rPr>
          <w:rFonts w:ascii="Times New Roman" w:hAnsi="Times New Roman" w:cs="Times New Roman"/>
          <w:b/>
          <w:sz w:val="24"/>
          <w:szCs w:val="24"/>
        </w:rPr>
        <w:t>-</w:t>
      </w:r>
      <w:r w:rsidR="005E01C2" w:rsidRPr="007429F1">
        <w:rPr>
          <w:rFonts w:ascii="Times New Roman" w:hAnsi="Times New Roman" w:cs="Times New Roman"/>
          <w:b/>
          <w:sz w:val="24"/>
          <w:szCs w:val="24"/>
        </w:rPr>
        <w:t>Kč</w:t>
      </w:r>
      <w:r w:rsidR="00EC4962" w:rsidRPr="007429F1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</w:t>
      </w:r>
      <w:r w:rsidR="00931E05" w:rsidRPr="00931E05">
        <w:rPr>
          <w:rFonts w:ascii="Times New Roman" w:hAnsi="Times New Roman" w:cs="Times New Roman"/>
          <w:b/>
          <w:sz w:val="24"/>
          <w:szCs w:val="24"/>
        </w:rPr>
        <w:t xml:space="preserve">6,5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hodin</w:t>
      </w:r>
      <w:r w:rsidR="00931E05">
        <w:rPr>
          <w:rFonts w:ascii="Times New Roman" w:hAnsi="Times New Roman" w:cs="Times New Roman"/>
          <w:b/>
          <w:sz w:val="24"/>
          <w:szCs w:val="24"/>
        </w:rPr>
        <w:t>y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 w:rsidR="004B3A01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7429F1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:rsidR="007C256A" w:rsidRPr="00F96604" w:rsidRDefault="007C256A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</w:p>
    <w:p w:rsidR="007C256A" w:rsidRDefault="007C256A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4B3A01" w:rsidRPr="00F96604" w:rsidRDefault="004B3A01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BB295D">
        <w:rPr>
          <w:rFonts w:ascii="Times New Roman" w:hAnsi="Times New Roman" w:cs="Times New Roman"/>
          <w:noProof/>
          <w:sz w:val="24"/>
          <w:szCs w:val="24"/>
        </w:rPr>
        <w:t>23</w:t>
      </w: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5BB2">
        <w:rPr>
          <w:rFonts w:ascii="Times New Roman" w:hAnsi="Times New Roman" w:cs="Times New Roman"/>
          <w:noProof/>
          <w:sz w:val="24"/>
          <w:szCs w:val="24"/>
        </w:rPr>
        <w:t>0</w:t>
      </w:r>
      <w:r w:rsidR="00BB295D">
        <w:rPr>
          <w:rFonts w:ascii="Times New Roman" w:hAnsi="Times New Roman" w:cs="Times New Roman"/>
          <w:noProof/>
          <w:sz w:val="24"/>
          <w:szCs w:val="24"/>
        </w:rPr>
        <w:t>2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6604">
        <w:rPr>
          <w:rFonts w:ascii="Times New Roman" w:hAnsi="Times New Roman" w:cs="Times New Roman"/>
          <w:noProof/>
          <w:sz w:val="24"/>
          <w:szCs w:val="24"/>
        </w:rPr>
        <w:t>2</w:t>
      </w:r>
      <w:r w:rsidR="00BB295D">
        <w:rPr>
          <w:rFonts w:ascii="Times New Roman" w:hAnsi="Times New Roman" w:cs="Times New Roman"/>
          <w:noProof/>
          <w:sz w:val="24"/>
          <w:szCs w:val="24"/>
        </w:rPr>
        <w:t>3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A17F2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</w:t>
      </w:r>
      <w:hyperlink r:id="rId8" w:history="1">
        <w:r w:rsidR="00FA17F2" w:rsidRPr="007C13EF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</w:rPr>
          <w:t>Havelkova@ouupb.cz</w:t>
        </w:r>
      </w:hyperlink>
      <w:r w:rsidR="00FA17F2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FE3963" w:rsidRDefault="00FE3963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FF" w:rsidRPr="005A206B" w:rsidRDefault="000F25FF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0F25FF" w:rsidRPr="005A206B" w:rsidRDefault="000F25FF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D2394A" w:rsidRPr="00582C90" w:rsidRDefault="00D2394A" w:rsidP="00D2394A">
      <w:pPr>
        <w:jc w:val="both"/>
        <w:rPr>
          <w:rFonts w:ascii="Times New Roman" w:hAnsi="Times New Roman" w:cs="Times New Roman"/>
          <w:sz w:val="24"/>
          <w:szCs w:val="24"/>
        </w:rPr>
      </w:pPr>
      <w:r w:rsidRPr="00582C9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FE3963" w:rsidRDefault="00FE3963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5A206B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Default="007C256A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B3A01" w:rsidRPr="00F96604" w:rsidRDefault="004B3A01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ustanovené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7C256A" w:rsidRPr="00F96604" w:rsidRDefault="007C256A" w:rsidP="007C256A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F127D6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7D3E9C">
        <w:rPr>
          <w:rFonts w:ascii="Times New Roman" w:hAnsi="Times New Roman" w:cs="Times New Roman"/>
          <w:sz w:val="24"/>
          <w:szCs w:val="24"/>
        </w:rPr>
        <w:t>04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6176F">
        <w:rPr>
          <w:rFonts w:ascii="Times New Roman" w:hAnsi="Times New Roman" w:cs="Times New Roman"/>
          <w:sz w:val="24"/>
          <w:szCs w:val="24"/>
        </w:rPr>
        <w:t>0</w:t>
      </w:r>
      <w:r w:rsidR="007D3E9C">
        <w:rPr>
          <w:rFonts w:ascii="Times New Roman" w:hAnsi="Times New Roman" w:cs="Times New Roman"/>
          <w:sz w:val="24"/>
          <w:szCs w:val="24"/>
        </w:rPr>
        <w:t>9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8D4584">
        <w:rPr>
          <w:rFonts w:ascii="Times New Roman" w:hAnsi="Times New Roman" w:cs="Times New Roman"/>
          <w:sz w:val="24"/>
          <w:szCs w:val="24"/>
        </w:rPr>
        <w:t>3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D4584">
        <w:rPr>
          <w:rFonts w:ascii="Times New Roman" w:hAnsi="Times New Roman" w:cs="Times New Roman"/>
          <w:sz w:val="24"/>
          <w:szCs w:val="24"/>
        </w:rPr>
        <w:t xml:space="preserve">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7D3E9C">
        <w:rPr>
          <w:rFonts w:ascii="Times New Roman" w:hAnsi="Times New Roman" w:cs="Times New Roman"/>
          <w:sz w:val="24"/>
          <w:szCs w:val="24"/>
        </w:rPr>
        <w:t>04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6176F">
        <w:rPr>
          <w:rFonts w:ascii="Times New Roman" w:hAnsi="Times New Roman" w:cs="Times New Roman"/>
          <w:sz w:val="24"/>
          <w:szCs w:val="24"/>
        </w:rPr>
        <w:t>0</w:t>
      </w:r>
      <w:r w:rsidR="007D3E9C">
        <w:rPr>
          <w:rFonts w:ascii="Times New Roman" w:hAnsi="Times New Roman" w:cs="Times New Roman"/>
          <w:sz w:val="24"/>
          <w:szCs w:val="24"/>
        </w:rPr>
        <w:t>9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8D4584">
        <w:rPr>
          <w:rFonts w:ascii="Times New Roman" w:hAnsi="Times New Roman" w:cs="Times New Roman"/>
          <w:sz w:val="24"/>
          <w:szCs w:val="24"/>
        </w:rPr>
        <w:t>3</w:t>
      </w: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.....…..…………………..……………        </w:t>
      </w:r>
    </w:p>
    <w:p w:rsidR="008D4584" w:rsidRDefault="00226919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Karel Eliáš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  </w:t>
      </w:r>
      <w:r w:rsidR="008D4584">
        <w:rPr>
          <w:rFonts w:ascii="Times New Roman" w:hAnsi="Times New Roman" w:cs="Times New Roman"/>
          <w:sz w:val="24"/>
          <w:szCs w:val="24"/>
        </w:rPr>
        <w:t xml:space="preserve">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D4584">
        <w:rPr>
          <w:rFonts w:ascii="Times New Roman" w:hAnsi="Times New Roman" w:cs="Times New Roman"/>
          <w:sz w:val="24"/>
          <w:szCs w:val="24"/>
        </w:rPr>
        <w:t>M</w:t>
      </w:r>
      <w:r w:rsidR="007C256A" w:rsidRPr="00F96604">
        <w:rPr>
          <w:rFonts w:ascii="Times New Roman" w:hAnsi="Times New Roman" w:cs="Times New Roman"/>
          <w:sz w:val="24"/>
          <w:szCs w:val="24"/>
        </w:rPr>
        <w:t>gr. Pavlína Caisová</w:t>
      </w:r>
      <w:r w:rsidR="008D4584">
        <w:rPr>
          <w:rFonts w:ascii="Times New Roman" w:hAnsi="Times New Roman" w:cs="Times New Roman"/>
          <w:sz w:val="24"/>
          <w:szCs w:val="24"/>
        </w:rPr>
        <w:t>, MBA, ředitelka školy</w:t>
      </w:r>
    </w:p>
    <w:p w:rsidR="007C256A" w:rsidRPr="00F96604" w:rsidRDefault="008D4584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pronajímatel</w:t>
      </w:r>
    </w:p>
    <w:p w:rsidR="007C256A" w:rsidRPr="007C256A" w:rsidRDefault="007C256A" w:rsidP="007C256A">
      <w:pPr>
        <w:tabs>
          <w:tab w:val="left" w:pos="5633"/>
        </w:tabs>
        <w:rPr>
          <w:rFonts w:ascii="Times New Roman" w:hAnsi="Times New Roman" w:cs="Times New Roman"/>
        </w:rPr>
      </w:pPr>
    </w:p>
    <w:sectPr w:rsidR="007C256A" w:rsidRPr="007C256A" w:rsidSect="002F55C9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3A" w:rsidRDefault="0070013A">
      <w:pPr>
        <w:spacing w:after="0" w:line="240" w:lineRule="auto"/>
      </w:pPr>
      <w:r>
        <w:separator/>
      </w:r>
    </w:p>
  </w:endnote>
  <w:endnote w:type="continuationSeparator" w:id="0">
    <w:p w:rsidR="0070013A" w:rsidRDefault="0070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7001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5299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70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3A" w:rsidRDefault="0070013A">
      <w:pPr>
        <w:spacing w:after="0" w:line="240" w:lineRule="auto"/>
      </w:pPr>
      <w:r>
        <w:separator/>
      </w:r>
    </w:p>
  </w:footnote>
  <w:footnote w:type="continuationSeparator" w:id="0">
    <w:p w:rsidR="0070013A" w:rsidRDefault="0070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BE" w:rsidRPr="00AE4579" w:rsidRDefault="00A02CBE" w:rsidP="00A02CB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A02CBE" w:rsidRDefault="00A02CBE" w:rsidP="00A02CB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A02CBE" w:rsidRDefault="00A0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03911"/>
    <w:rsid w:val="00014C90"/>
    <w:rsid w:val="0001696F"/>
    <w:rsid w:val="000C6553"/>
    <w:rsid w:val="000D3C3D"/>
    <w:rsid w:val="000F25FF"/>
    <w:rsid w:val="000F4178"/>
    <w:rsid w:val="001059AA"/>
    <w:rsid w:val="00145FCB"/>
    <w:rsid w:val="001C5BB2"/>
    <w:rsid w:val="001F73EE"/>
    <w:rsid w:val="00226919"/>
    <w:rsid w:val="00292BC1"/>
    <w:rsid w:val="00295711"/>
    <w:rsid w:val="002D59B0"/>
    <w:rsid w:val="002E27A6"/>
    <w:rsid w:val="00360040"/>
    <w:rsid w:val="00374F05"/>
    <w:rsid w:val="003B0DCD"/>
    <w:rsid w:val="003B6D21"/>
    <w:rsid w:val="003D5532"/>
    <w:rsid w:val="003D7ABC"/>
    <w:rsid w:val="003F3ADC"/>
    <w:rsid w:val="003F3DEF"/>
    <w:rsid w:val="004032FF"/>
    <w:rsid w:val="004250E7"/>
    <w:rsid w:val="004419AA"/>
    <w:rsid w:val="004B3A01"/>
    <w:rsid w:val="004D1322"/>
    <w:rsid w:val="0051094C"/>
    <w:rsid w:val="005976AF"/>
    <w:rsid w:val="005A206B"/>
    <w:rsid w:val="005E01C2"/>
    <w:rsid w:val="005F2FEE"/>
    <w:rsid w:val="006036C8"/>
    <w:rsid w:val="006205E7"/>
    <w:rsid w:val="0070013A"/>
    <w:rsid w:val="0072450D"/>
    <w:rsid w:val="007355AA"/>
    <w:rsid w:val="007429F1"/>
    <w:rsid w:val="00776628"/>
    <w:rsid w:val="007C256A"/>
    <w:rsid w:val="007C2AC4"/>
    <w:rsid w:val="007D3E9C"/>
    <w:rsid w:val="00805875"/>
    <w:rsid w:val="008103FF"/>
    <w:rsid w:val="00813A2A"/>
    <w:rsid w:val="0082509C"/>
    <w:rsid w:val="008456B6"/>
    <w:rsid w:val="008B13EB"/>
    <w:rsid w:val="008B6AD9"/>
    <w:rsid w:val="008C560C"/>
    <w:rsid w:val="008C7513"/>
    <w:rsid w:val="008D4584"/>
    <w:rsid w:val="008E6614"/>
    <w:rsid w:val="009068D0"/>
    <w:rsid w:val="00931E05"/>
    <w:rsid w:val="009425CB"/>
    <w:rsid w:val="00983600"/>
    <w:rsid w:val="00995299"/>
    <w:rsid w:val="00996530"/>
    <w:rsid w:val="009C0D15"/>
    <w:rsid w:val="00A02CBE"/>
    <w:rsid w:val="00A35886"/>
    <w:rsid w:val="00A35B06"/>
    <w:rsid w:val="00A6176F"/>
    <w:rsid w:val="00A93754"/>
    <w:rsid w:val="00AE4BE3"/>
    <w:rsid w:val="00B165D8"/>
    <w:rsid w:val="00B31E0C"/>
    <w:rsid w:val="00B32002"/>
    <w:rsid w:val="00B51917"/>
    <w:rsid w:val="00BB295D"/>
    <w:rsid w:val="00C50D2B"/>
    <w:rsid w:val="00C52586"/>
    <w:rsid w:val="00C662A0"/>
    <w:rsid w:val="00C80CB0"/>
    <w:rsid w:val="00C91A94"/>
    <w:rsid w:val="00CC7B27"/>
    <w:rsid w:val="00CD1681"/>
    <w:rsid w:val="00CE1540"/>
    <w:rsid w:val="00D1620A"/>
    <w:rsid w:val="00D2394A"/>
    <w:rsid w:val="00D2782F"/>
    <w:rsid w:val="00D33BC6"/>
    <w:rsid w:val="00D63093"/>
    <w:rsid w:val="00D66C38"/>
    <w:rsid w:val="00DA2DB2"/>
    <w:rsid w:val="00DF1265"/>
    <w:rsid w:val="00E05411"/>
    <w:rsid w:val="00E56101"/>
    <w:rsid w:val="00EC4962"/>
    <w:rsid w:val="00F127D6"/>
    <w:rsid w:val="00F1412A"/>
    <w:rsid w:val="00F46354"/>
    <w:rsid w:val="00F807C5"/>
    <w:rsid w:val="00F96604"/>
    <w:rsid w:val="00FA17F2"/>
    <w:rsid w:val="00FC710A"/>
    <w:rsid w:val="00FD221F"/>
    <w:rsid w:val="00FE3963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3AE1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17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7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0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CBE"/>
  </w:style>
  <w:style w:type="paragraph" w:styleId="Nzev">
    <w:name w:val="Title"/>
    <w:basedOn w:val="Normln"/>
    <w:link w:val="NzevChar"/>
    <w:qFormat/>
    <w:rsid w:val="00C50D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50D2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C50D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C50D2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kova@ouup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28</cp:revision>
  <cp:lastPrinted>2023-09-04T09:38:00Z</cp:lastPrinted>
  <dcterms:created xsi:type="dcterms:W3CDTF">2020-11-03T09:57:00Z</dcterms:created>
  <dcterms:modified xsi:type="dcterms:W3CDTF">2024-03-23T10:02:00Z</dcterms:modified>
</cp:coreProperties>
</file>