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62F4" w14:textId="58E72C04" w:rsidR="00BE325B" w:rsidRPr="003B0D73" w:rsidRDefault="00BE325B" w:rsidP="00BE325B">
      <w:pPr>
        <w:spacing w:before="120" w:after="120" w:line="240" w:lineRule="auto"/>
        <w:ind w:left="36" w:right="1"/>
        <w:jc w:val="center"/>
        <w:rPr>
          <w:rFonts w:asciiTheme="minorHAnsi" w:hAnsiTheme="minorHAnsi" w:cstheme="minorHAnsi"/>
          <w:b/>
        </w:rPr>
      </w:pPr>
      <w:r w:rsidRPr="003B0D73">
        <w:rPr>
          <w:rFonts w:asciiTheme="minorHAnsi" w:hAnsiTheme="minorHAnsi" w:cstheme="minorHAnsi"/>
          <w:b/>
        </w:rPr>
        <w:t xml:space="preserve">DODATEK Č. </w:t>
      </w:r>
      <w:r w:rsidR="00AB0B2D" w:rsidRPr="003B0D73">
        <w:rPr>
          <w:rFonts w:asciiTheme="minorHAnsi" w:hAnsiTheme="minorHAnsi" w:cstheme="minorHAnsi"/>
          <w:b/>
        </w:rPr>
        <w:t>1</w:t>
      </w:r>
    </w:p>
    <w:p w14:paraId="740B08E6" w14:textId="691B8169" w:rsidR="00BE325B" w:rsidRPr="003B0D73" w:rsidRDefault="00BE325B" w:rsidP="00BE325B">
      <w:pPr>
        <w:spacing w:before="120" w:after="120" w:line="240" w:lineRule="auto"/>
        <w:ind w:left="36" w:right="0"/>
        <w:jc w:val="center"/>
        <w:rPr>
          <w:rFonts w:asciiTheme="minorHAnsi" w:hAnsiTheme="minorHAnsi" w:cstheme="minorHAnsi"/>
          <w:b/>
        </w:rPr>
      </w:pPr>
      <w:r w:rsidRPr="003B0D73">
        <w:rPr>
          <w:rFonts w:asciiTheme="minorHAnsi" w:hAnsiTheme="minorHAnsi" w:cstheme="minorHAnsi"/>
          <w:b/>
        </w:rPr>
        <w:t>K</w:t>
      </w:r>
      <w:r w:rsidR="00C30BC2" w:rsidRPr="003B0D73">
        <w:rPr>
          <w:rFonts w:asciiTheme="minorHAnsi" w:hAnsiTheme="minorHAnsi" w:cstheme="minorHAnsi"/>
          <w:b/>
        </w:rPr>
        <w:t>E KUPNÍ SMLOUV</w:t>
      </w:r>
      <w:r w:rsidRPr="003B0D73">
        <w:rPr>
          <w:rFonts w:asciiTheme="minorHAnsi" w:hAnsiTheme="minorHAnsi" w:cstheme="minorHAnsi"/>
          <w:b/>
        </w:rPr>
        <w:t>Ě</w:t>
      </w:r>
    </w:p>
    <w:p w14:paraId="3DC94813" w14:textId="0C8B5FA8" w:rsidR="00BE325B" w:rsidRPr="003B0D73" w:rsidRDefault="00BE325B" w:rsidP="00C30BC2">
      <w:pPr>
        <w:spacing w:before="120" w:after="120" w:line="240" w:lineRule="auto"/>
        <w:ind w:left="0" w:right="0"/>
        <w:jc w:val="center"/>
        <w:rPr>
          <w:rFonts w:asciiTheme="minorHAnsi" w:hAnsiTheme="minorHAnsi" w:cstheme="minorHAnsi"/>
          <w:b/>
        </w:rPr>
      </w:pPr>
      <w:r w:rsidRPr="003B0D73">
        <w:rPr>
          <w:rFonts w:asciiTheme="minorHAnsi" w:hAnsiTheme="minorHAnsi" w:cstheme="minorHAnsi"/>
          <w:b/>
        </w:rPr>
        <w:t xml:space="preserve">Č. </w:t>
      </w:r>
      <w:r w:rsidR="00C30BC2" w:rsidRPr="003B0D73">
        <w:rPr>
          <w:rFonts w:asciiTheme="minorHAnsi" w:hAnsiTheme="minorHAnsi" w:cstheme="minorHAnsi"/>
          <w:b/>
        </w:rPr>
        <w:t>473/23</w:t>
      </w:r>
    </w:p>
    <w:p w14:paraId="6DDEC5D5" w14:textId="26F5C47F" w:rsidR="00BE325B" w:rsidRPr="003B0D73" w:rsidRDefault="00BE325B" w:rsidP="00C30BC2">
      <w:pPr>
        <w:spacing w:before="120" w:after="120" w:line="240" w:lineRule="auto"/>
        <w:ind w:left="0" w:right="0"/>
        <w:jc w:val="center"/>
        <w:rPr>
          <w:rFonts w:asciiTheme="minorHAnsi" w:hAnsiTheme="minorHAnsi" w:cstheme="minorHAnsi"/>
          <w:i/>
          <w:iCs/>
        </w:rPr>
      </w:pPr>
      <w:r w:rsidRPr="003B0D73">
        <w:rPr>
          <w:rFonts w:asciiTheme="minorHAnsi" w:hAnsiTheme="minorHAnsi" w:cstheme="minorHAnsi"/>
          <w:i/>
          <w:iCs/>
        </w:rPr>
        <w:t>(dále jen „</w:t>
      </w:r>
      <w:r w:rsidR="00C30BC2" w:rsidRPr="003B0D73">
        <w:rPr>
          <w:rFonts w:asciiTheme="minorHAnsi" w:hAnsiTheme="minorHAnsi" w:cstheme="minorHAnsi"/>
          <w:i/>
          <w:iCs/>
        </w:rPr>
        <w:t>Smlouva</w:t>
      </w:r>
      <w:r w:rsidRPr="003B0D73">
        <w:rPr>
          <w:rFonts w:asciiTheme="minorHAnsi" w:hAnsiTheme="minorHAnsi" w:cstheme="minorHAnsi"/>
          <w:i/>
          <w:iCs/>
        </w:rPr>
        <w:t>“)</w:t>
      </w:r>
    </w:p>
    <w:p w14:paraId="165880C8" w14:textId="76C2D7FA" w:rsidR="00BE325B" w:rsidRPr="003B0D73" w:rsidRDefault="00BE325B" w:rsidP="00C30BC2">
      <w:pPr>
        <w:spacing w:before="120" w:after="120" w:line="240" w:lineRule="auto"/>
        <w:ind w:left="0" w:firstLine="23"/>
        <w:rPr>
          <w:rFonts w:asciiTheme="minorHAnsi" w:hAnsiTheme="minorHAnsi" w:cstheme="minorHAnsi"/>
          <w:i/>
          <w:iCs/>
        </w:rPr>
      </w:pPr>
      <w:r w:rsidRPr="003B0D73">
        <w:rPr>
          <w:rFonts w:asciiTheme="minorHAnsi" w:hAnsiTheme="minorHAnsi" w:cstheme="minorHAnsi"/>
          <w:i/>
          <w:iCs/>
        </w:rPr>
        <w:t xml:space="preserve">uzavřené </w:t>
      </w:r>
      <w:r w:rsidR="00C30BC2" w:rsidRPr="003B0D73">
        <w:rPr>
          <w:i/>
          <w:iCs/>
        </w:rPr>
        <w:t xml:space="preserve">ve smyslu zákona č. 134/2016 Sb., o zadávání veřejných zakázek, ve znění pozdějších předpisů (též jen </w:t>
      </w:r>
      <w:r w:rsidR="00C30BC2" w:rsidRPr="003B0D73">
        <w:rPr>
          <w:b/>
          <w:bCs/>
          <w:i/>
          <w:iCs/>
        </w:rPr>
        <w:t>„</w:t>
      </w:r>
      <w:r w:rsidR="00C30BC2" w:rsidRPr="003B0D73">
        <w:rPr>
          <w:b/>
          <w:i/>
          <w:iCs/>
        </w:rPr>
        <w:t>ZZVZ</w:t>
      </w:r>
      <w:r w:rsidR="00C30BC2" w:rsidRPr="003B0D73">
        <w:rPr>
          <w:b/>
          <w:bCs/>
          <w:i/>
          <w:iCs/>
        </w:rPr>
        <w:t>“</w:t>
      </w:r>
      <w:r w:rsidR="00C30BC2" w:rsidRPr="003B0D73">
        <w:rPr>
          <w:i/>
          <w:iCs/>
        </w:rPr>
        <w:t xml:space="preserve">), a v souladu se zákonem č. 89/2012 Sb., občanský zákoník, ve znění pozdějších předpisů (též jen </w:t>
      </w:r>
      <w:r w:rsidR="00C30BC2" w:rsidRPr="003B0D73">
        <w:rPr>
          <w:b/>
          <w:bCs/>
          <w:i/>
          <w:iCs/>
        </w:rPr>
        <w:t>„</w:t>
      </w:r>
      <w:r w:rsidR="00C30BC2" w:rsidRPr="003B0D73">
        <w:rPr>
          <w:b/>
          <w:i/>
          <w:iCs/>
        </w:rPr>
        <w:t>Občanský zákoník</w:t>
      </w:r>
      <w:r w:rsidR="00C30BC2" w:rsidRPr="003B0D73">
        <w:rPr>
          <w:b/>
          <w:bCs/>
          <w:i/>
          <w:iCs/>
        </w:rPr>
        <w:t>“</w:t>
      </w:r>
      <w:r w:rsidR="00C30BC2" w:rsidRPr="003B0D73">
        <w:rPr>
          <w:i/>
          <w:iCs/>
        </w:rPr>
        <w:t>)</w:t>
      </w:r>
      <w:r w:rsidR="001954BF" w:rsidRPr="003B0D73">
        <w:rPr>
          <w:i/>
          <w:iCs/>
        </w:rPr>
        <w:t xml:space="preserve"> mezi </w:t>
      </w:r>
    </w:p>
    <w:p w14:paraId="5C512AA2" w14:textId="77777777" w:rsidR="00BE325B" w:rsidRPr="003B0D73" w:rsidRDefault="00BE325B" w:rsidP="00BE325B">
      <w:pPr>
        <w:spacing w:before="120" w:after="120" w:line="240" w:lineRule="auto"/>
        <w:ind w:left="78" w:right="0" w:firstLine="0"/>
        <w:rPr>
          <w:rFonts w:asciiTheme="minorHAnsi" w:hAnsiTheme="minorHAnsi" w:cstheme="minorHAnsi"/>
        </w:rPr>
      </w:pPr>
      <w:r w:rsidRPr="003B0D73">
        <w:rPr>
          <w:rFonts w:asciiTheme="minorHAnsi" w:hAnsiTheme="minorHAnsi" w:cstheme="minorHAnsi"/>
        </w:rPr>
        <w:t xml:space="preserve"> </w:t>
      </w:r>
    </w:p>
    <w:p w14:paraId="30DD689C" w14:textId="470A04E0" w:rsidR="00BE325B" w:rsidRPr="003B0D73" w:rsidRDefault="00BE325B" w:rsidP="001954BF">
      <w:pPr>
        <w:spacing w:before="120" w:after="120" w:line="240" w:lineRule="auto"/>
        <w:ind w:left="24" w:right="0"/>
        <w:jc w:val="center"/>
        <w:rPr>
          <w:rFonts w:asciiTheme="minorHAnsi" w:hAnsiTheme="minorHAnsi" w:cstheme="minorHAnsi"/>
          <w:b/>
        </w:rPr>
      </w:pPr>
      <w:r w:rsidRPr="003B0D73">
        <w:rPr>
          <w:rFonts w:asciiTheme="minorHAnsi" w:hAnsiTheme="minorHAnsi" w:cstheme="minorHAnsi"/>
          <w:b/>
        </w:rPr>
        <w:t>SMLUVNÍ</w:t>
      </w:r>
      <w:r w:rsidR="001954BF" w:rsidRPr="003B0D73">
        <w:rPr>
          <w:rFonts w:asciiTheme="minorHAnsi" w:hAnsiTheme="minorHAnsi" w:cstheme="minorHAnsi"/>
          <w:b/>
        </w:rPr>
        <w:t>MI</w:t>
      </w:r>
      <w:r w:rsidRPr="003B0D73">
        <w:rPr>
          <w:rFonts w:asciiTheme="minorHAnsi" w:hAnsiTheme="minorHAnsi" w:cstheme="minorHAnsi"/>
          <w:b/>
        </w:rPr>
        <w:t xml:space="preserve"> STRAN</w:t>
      </w:r>
      <w:r w:rsidR="001954BF" w:rsidRPr="003B0D73">
        <w:rPr>
          <w:rFonts w:asciiTheme="minorHAnsi" w:hAnsiTheme="minorHAnsi" w:cstheme="minorHAnsi"/>
          <w:b/>
        </w:rPr>
        <w:t>AMI</w:t>
      </w:r>
    </w:p>
    <w:p w14:paraId="7ABB9F82" w14:textId="77777777" w:rsidR="00C05C80" w:rsidRPr="003B0D73" w:rsidRDefault="00C05C80" w:rsidP="00C05C80">
      <w:pPr>
        <w:pStyle w:val="RLdajeosmluvnstran"/>
        <w:rPr>
          <w:b/>
          <w:szCs w:val="22"/>
        </w:rPr>
      </w:pPr>
      <w:r w:rsidRPr="003B0D73">
        <w:rPr>
          <w:b/>
          <w:szCs w:val="22"/>
        </w:rPr>
        <w:t>Technologie hlavního města Prahy, a.s.</w:t>
      </w:r>
    </w:p>
    <w:p w14:paraId="0AE328C7" w14:textId="77777777" w:rsidR="00C05C80" w:rsidRPr="003B0D73" w:rsidRDefault="00C05C80" w:rsidP="00C05C80">
      <w:pPr>
        <w:pStyle w:val="RLdajeosmluvnstran"/>
        <w:rPr>
          <w:szCs w:val="22"/>
        </w:rPr>
      </w:pPr>
      <w:r w:rsidRPr="003B0D73">
        <w:rPr>
          <w:szCs w:val="22"/>
        </w:rPr>
        <w:t xml:space="preserve">se sídlem: </w:t>
      </w:r>
      <w:r w:rsidRPr="003B0D73">
        <w:rPr>
          <w:b/>
          <w:szCs w:val="22"/>
        </w:rPr>
        <w:t>Dělnická 213/12, 170 00, Praha 7</w:t>
      </w:r>
    </w:p>
    <w:p w14:paraId="47A01928" w14:textId="77777777" w:rsidR="00C05C80" w:rsidRPr="003B0D73" w:rsidRDefault="00C05C80" w:rsidP="00C05C80">
      <w:pPr>
        <w:pStyle w:val="ZKLADN"/>
        <w:jc w:val="center"/>
        <w:rPr>
          <w:rFonts w:ascii="Calibri" w:hAnsi="Calibri"/>
          <w:sz w:val="22"/>
          <w:szCs w:val="22"/>
          <w:lang w:val="cs-CZ"/>
        </w:rPr>
      </w:pPr>
      <w:r w:rsidRPr="003B0D73">
        <w:rPr>
          <w:rFonts w:ascii="Calibri" w:hAnsi="Calibri"/>
          <w:sz w:val="22"/>
          <w:szCs w:val="22"/>
          <w:lang w:val="cs-CZ"/>
        </w:rPr>
        <w:t xml:space="preserve">IČO: </w:t>
      </w:r>
      <w:r w:rsidRPr="003B0D73">
        <w:rPr>
          <w:rFonts w:ascii="Calibri" w:hAnsi="Calibri"/>
          <w:b/>
          <w:sz w:val="22"/>
          <w:szCs w:val="22"/>
          <w:lang w:val="cs-CZ"/>
        </w:rPr>
        <w:t>256 72 541,</w:t>
      </w:r>
      <w:r w:rsidRPr="003B0D73" w:rsidDel="00382924">
        <w:rPr>
          <w:rFonts w:ascii="Calibri" w:hAnsi="Calibri"/>
          <w:b/>
          <w:sz w:val="22"/>
          <w:szCs w:val="22"/>
          <w:lang w:val="cs-CZ"/>
        </w:rPr>
        <w:t xml:space="preserve"> </w:t>
      </w:r>
      <w:r w:rsidRPr="003B0D73">
        <w:rPr>
          <w:rFonts w:ascii="Calibri" w:hAnsi="Calibri"/>
          <w:sz w:val="22"/>
          <w:szCs w:val="22"/>
          <w:lang w:val="cs-CZ"/>
        </w:rPr>
        <w:t xml:space="preserve">DIČ: </w:t>
      </w:r>
      <w:r w:rsidRPr="003B0D73">
        <w:rPr>
          <w:rFonts w:ascii="Calibri" w:hAnsi="Calibri"/>
          <w:b/>
          <w:sz w:val="22"/>
          <w:szCs w:val="22"/>
        </w:rPr>
        <w:t>CZ25672541</w:t>
      </w:r>
      <w:r w:rsidRPr="003B0D73" w:rsidDel="00382924">
        <w:rPr>
          <w:rStyle w:val="doplnuchazeChar"/>
          <w:rFonts w:eastAsiaTheme="minorHAnsi"/>
          <w:sz w:val="22"/>
          <w:szCs w:val="22"/>
          <w:lang w:val="cs-CZ"/>
        </w:rPr>
        <w:t xml:space="preserve"> </w:t>
      </w:r>
    </w:p>
    <w:p w14:paraId="63F1FC94" w14:textId="77777777" w:rsidR="00C05C80" w:rsidRPr="003B0D73" w:rsidRDefault="00C05C80" w:rsidP="00C05C80">
      <w:pPr>
        <w:pStyle w:val="RLdajeosmluvnstran"/>
        <w:rPr>
          <w:szCs w:val="22"/>
        </w:rPr>
      </w:pPr>
      <w:r w:rsidRPr="003B0D73">
        <w:rPr>
          <w:szCs w:val="22"/>
        </w:rPr>
        <w:t xml:space="preserve">společnost zapsaná v obchodním rejstříku vedeném </w:t>
      </w:r>
      <w:r w:rsidRPr="003B0D73">
        <w:rPr>
          <w:b/>
          <w:szCs w:val="22"/>
        </w:rPr>
        <w:t>Městským soudem v Praze</w:t>
      </w:r>
      <w:r w:rsidRPr="003B0D73">
        <w:rPr>
          <w:szCs w:val="22"/>
        </w:rPr>
        <w:t xml:space="preserve"> </w:t>
      </w:r>
    </w:p>
    <w:p w14:paraId="5573ACEE" w14:textId="77777777" w:rsidR="00C05C80" w:rsidRPr="003B0D73" w:rsidRDefault="00C05C80" w:rsidP="00C05C80">
      <w:pPr>
        <w:pStyle w:val="RLdajeosmluvnstran"/>
        <w:rPr>
          <w:b/>
          <w:szCs w:val="22"/>
        </w:rPr>
      </w:pPr>
      <w:r w:rsidRPr="003B0D73">
        <w:rPr>
          <w:szCs w:val="22"/>
        </w:rPr>
        <w:t xml:space="preserve">oddíl </w:t>
      </w:r>
      <w:r w:rsidRPr="003B0D73">
        <w:rPr>
          <w:b/>
          <w:szCs w:val="22"/>
        </w:rPr>
        <w:t>B</w:t>
      </w:r>
      <w:r w:rsidRPr="003B0D73">
        <w:rPr>
          <w:szCs w:val="22"/>
        </w:rPr>
        <w:t>, vložka </w:t>
      </w:r>
      <w:r w:rsidRPr="003B0D73">
        <w:rPr>
          <w:b/>
          <w:szCs w:val="22"/>
        </w:rPr>
        <w:t>5402</w:t>
      </w:r>
    </w:p>
    <w:p w14:paraId="51BE0744" w14:textId="77777777" w:rsidR="00C05C80" w:rsidRPr="003B0D73" w:rsidRDefault="00C05C80" w:rsidP="00C05C80">
      <w:pPr>
        <w:pStyle w:val="RLdajeosmluvnstran"/>
        <w:rPr>
          <w:b/>
          <w:szCs w:val="22"/>
        </w:rPr>
      </w:pPr>
      <w:r w:rsidRPr="003B0D73">
        <w:rPr>
          <w:szCs w:val="22"/>
        </w:rPr>
        <w:t xml:space="preserve">ID datové schránky: </w:t>
      </w:r>
      <w:r w:rsidRPr="003B0D73">
        <w:rPr>
          <w:b/>
          <w:szCs w:val="22"/>
        </w:rPr>
        <w:t>u5hgkji</w:t>
      </w:r>
    </w:p>
    <w:p w14:paraId="0229AF9F" w14:textId="77777777" w:rsidR="00C05C80" w:rsidRPr="003B0D73" w:rsidRDefault="00C05C80" w:rsidP="00C05C80">
      <w:pPr>
        <w:pStyle w:val="RLdajeosmluvnstran"/>
        <w:rPr>
          <w:szCs w:val="22"/>
        </w:rPr>
      </w:pPr>
      <w:r w:rsidRPr="003B0D73">
        <w:rPr>
          <w:szCs w:val="22"/>
        </w:rPr>
        <w:t xml:space="preserve">bank. spojení: </w:t>
      </w:r>
      <w:r w:rsidRPr="003B0D73">
        <w:rPr>
          <w:b/>
          <w:szCs w:val="22"/>
        </w:rPr>
        <w:t>Komerční banka, a.s.</w:t>
      </w:r>
      <w:r w:rsidRPr="003B0D73">
        <w:rPr>
          <w:szCs w:val="22"/>
        </w:rPr>
        <w:t xml:space="preserve">, č. účtu: </w:t>
      </w:r>
      <w:r w:rsidRPr="003B0D73">
        <w:rPr>
          <w:b/>
          <w:szCs w:val="22"/>
        </w:rPr>
        <w:t>115-5836140217/0100</w:t>
      </w:r>
    </w:p>
    <w:p w14:paraId="14431A2A" w14:textId="77777777" w:rsidR="00C05C80" w:rsidRPr="003B0D73" w:rsidRDefault="00C05C80" w:rsidP="00C05C80">
      <w:pPr>
        <w:pStyle w:val="RLdajeosmluvnstran"/>
        <w:rPr>
          <w:b/>
          <w:szCs w:val="22"/>
        </w:rPr>
      </w:pPr>
      <w:r w:rsidRPr="003B0D73">
        <w:rPr>
          <w:szCs w:val="22"/>
        </w:rPr>
        <w:t xml:space="preserve">zastoupená: </w:t>
      </w:r>
      <w:r w:rsidRPr="003B0D73">
        <w:rPr>
          <w:b/>
          <w:szCs w:val="22"/>
        </w:rPr>
        <w:t xml:space="preserve">Tomášem Jílkem, předsedou představenstva </w:t>
      </w:r>
    </w:p>
    <w:p w14:paraId="6D4F87F6" w14:textId="77777777" w:rsidR="00C05C80" w:rsidRPr="003B0D73" w:rsidRDefault="00C05C80" w:rsidP="00C05C80">
      <w:pPr>
        <w:pStyle w:val="RLdajeosmluvnstran"/>
        <w:rPr>
          <w:b/>
          <w:szCs w:val="22"/>
        </w:rPr>
      </w:pPr>
      <w:r w:rsidRPr="003B0D73">
        <w:rPr>
          <w:b/>
          <w:szCs w:val="22"/>
        </w:rPr>
        <w:t>Tomášem Novotným, místopředsedou představenstva</w:t>
      </w:r>
    </w:p>
    <w:p w14:paraId="1F1FDCE2" w14:textId="77777777" w:rsidR="00C05C80" w:rsidRPr="003B0D73" w:rsidRDefault="00C05C80" w:rsidP="00C05C80">
      <w:pPr>
        <w:pStyle w:val="RLdajeosmluvnstran"/>
        <w:rPr>
          <w:b/>
          <w:szCs w:val="22"/>
        </w:rPr>
      </w:pPr>
      <w:r w:rsidRPr="003B0D73">
        <w:rPr>
          <w:b/>
          <w:szCs w:val="22"/>
        </w:rPr>
        <w:t>Liborem Fialou, členem představenstva</w:t>
      </w:r>
    </w:p>
    <w:p w14:paraId="24698EF6" w14:textId="77777777" w:rsidR="00C05C80" w:rsidRPr="003B0D73" w:rsidRDefault="00C05C80" w:rsidP="00C05C80">
      <w:pPr>
        <w:pStyle w:val="RLdajeosmluvnstran"/>
        <w:rPr>
          <w:b/>
          <w:szCs w:val="22"/>
        </w:rPr>
      </w:pPr>
      <w:r w:rsidRPr="003B0D73">
        <w:rPr>
          <w:b/>
          <w:szCs w:val="22"/>
        </w:rPr>
        <w:t>Michalem Fišerem, členem představenstva</w:t>
      </w:r>
    </w:p>
    <w:p w14:paraId="009E4A70" w14:textId="77777777" w:rsidR="00C05C80" w:rsidRPr="003B0D73" w:rsidRDefault="00C05C80" w:rsidP="00C05C80">
      <w:pPr>
        <w:pStyle w:val="RLdajeosmluvnstran"/>
        <w:rPr>
          <w:b/>
          <w:szCs w:val="22"/>
        </w:rPr>
      </w:pPr>
      <w:r w:rsidRPr="003B0D73">
        <w:rPr>
          <w:bCs/>
          <w:szCs w:val="22"/>
        </w:rPr>
        <w:t>č. smlouvy:</w:t>
      </w:r>
      <w:r w:rsidRPr="003B0D73">
        <w:rPr>
          <w:b/>
          <w:szCs w:val="22"/>
        </w:rPr>
        <w:t xml:space="preserve"> </w:t>
      </w:r>
      <w:r w:rsidRPr="003B0D73">
        <w:rPr>
          <w:rFonts w:asciiTheme="minorHAnsi" w:hAnsiTheme="minorHAnsi" w:cstheme="minorHAnsi"/>
          <w:b/>
          <w:szCs w:val="22"/>
        </w:rPr>
        <w:t>473/23</w:t>
      </w:r>
    </w:p>
    <w:p w14:paraId="539A60B6" w14:textId="77777777" w:rsidR="00C05C80" w:rsidRPr="003B0D73" w:rsidRDefault="00C05C80" w:rsidP="00C05C80">
      <w:pPr>
        <w:jc w:val="center"/>
        <w:rPr>
          <w:lang w:eastAsia="en-US"/>
        </w:rPr>
      </w:pPr>
      <w:r w:rsidRPr="003B0D73">
        <w:rPr>
          <w:lang w:eastAsia="en-US"/>
        </w:rPr>
        <w:t xml:space="preserve"> (dále jen </w:t>
      </w:r>
      <w:r w:rsidRPr="003B0D73">
        <w:rPr>
          <w:b/>
          <w:bCs/>
          <w:lang w:eastAsia="en-US"/>
        </w:rPr>
        <w:t>„</w:t>
      </w:r>
      <w:r w:rsidRPr="003B0D73">
        <w:rPr>
          <w:b/>
          <w:lang w:eastAsia="en-US"/>
        </w:rPr>
        <w:t>Kupující</w:t>
      </w:r>
      <w:r w:rsidRPr="003B0D73">
        <w:rPr>
          <w:b/>
          <w:bCs/>
          <w:lang w:eastAsia="en-US"/>
        </w:rPr>
        <w:t>“</w:t>
      </w:r>
      <w:r w:rsidRPr="003B0D73">
        <w:rPr>
          <w:lang w:eastAsia="en-US"/>
        </w:rPr>
        <w:t>)</w:t>
      </w:r>
    </w:p>
    <w:p w14:paraId="2A3D9999" w14:textId="77777777" w:rsidR="00C05C80" w:rsidRPr="003B0D73" w:rsidRDefault="00C05C80" w:rsidP="00C05C80">
      <w:pPr>
        <w:pStyle w:val="RLdajeosmluvnstran"/>
        <w:rPr>
          <w:szCs w:val="22"/>
        </w:rPr>
      </w:pPr>
      <w:r w:rsidRPr="003B0D73">
        <w:rPr>
          <w:szCs w:val="22"/>
        </w:rPr>
        <w:t>a</w:t>
      </w:r>
    </w:p>
    <w:p w14:paraId="10EFF8CF" w14:textId="77777777" w:rsidR="00C05C80" w:rsidRPr="003B0D73" w:rsidRDefault="00C05C80" w:rsidP="00C05C80">
      <w:pPr>
        <w:pStyle w:val="RLdajeosmluvnstran"/>
        <w:rPr>
          <w:rFonts w:asciiTheme="minorHAnsi" w:hAnsiTheme="minorHAnsi" w:cstheme="minorHAnsi"/>
          <w:b/>
          <w:szCs w:val="22"/>
        </w:rPr>
      </w:pPr>
      <w:r w:rsidRPr="003B0D73">
        <w:rPr>
          <w:rFonts w:asciiTheme="minorHAnsi" w:hAnsiTheme="minorHAnsi" w:cstheme="minorHAnsi"/>
          <w:b/>
          <w:szCs w:val="22"/>
        </w:rPr>
        <w:t>FRONTIER TECHNOLOGIES, s.r.o.</w:t>
      </w:r>
    </w:p>
    <w:p w14:paraId="6128CBBA" w14:textId="77777777" w:rsidR="00C05C80" w:rsidRPr="003B0D73" w:rsidRDefault="00C05C80" w:rsidP="00C05C80">
      <w:pPr>
        <w:pStyle w:val="RLdajeosmluvnstran"/>
        <w:rPr>
          <w:rFonts w:asciiTheme="minorHAnsi" w:hAnsiTheme="minorHAnsi" w:cstheme="minorHAnsi"/>
          <w:szCs w:val="22"/>
        </w:rPr>
      </w:pPr>
      <w:r w:rsidRPr="003B0D73">
        <w:rPr>
          <w:rFonts w:asciiTheme="minorHAnsi" w:hAnsiTheme="minorHAnsi" w:cstheme="minorHAnsi"/>
          <w:szCs w:val="22"/>
        </w:rPr>
        <w:t xml:space="preserve">se sídlem: </w:t>
      </w:r>
      <w:r w:rsidRPr="003B0D73">
        <w:rPr>
          <w:rFonts w:asciiTheme="minorHAnsi" w:hAnsiTheme="minorHAnsi" w:cstheme="minorHAnsi"/>
          <w:b/>
          <w:szCs w:val="22"/>
        </w:rPr>
        <w:t>Na hroudě 2149/19, Strašnice, 100 00 Praha 10</w:t>
      </w:r>
    </w:p>
    <w:p w14:paraId="751C970D" w14:textId="77777777" w:rsidR="00C05C80" w:rsidRPr="003B0D73" w:rsidRDefault="00C05C80" w:rsidP="00C05C80">
      <w:pPr>
        <w:pStyle w:val="ZKLADN"/>
        <w:jc w:val="center"/>
        <w:rPr>
          <w:rFonts w:asciiTheme="minorHAnsi" w:hAnsiTheme="minorHAnsi" w:cstheme="minorHAnsi"/>
          <w:sz w:val="22"/>
          <w:szCs w:val="22"/>
          <w:lang w:val="cs-CZ"/>
        </w:rPr>
      </w:pPr>
      <w:r w:rsidRPr="003B0D73">
        <w:rPr>
          <w:rFonts w:asciiTheme="minorHAnsi" w:hAnsiTheme="minorHAnsi" w:cstheme="minorHAnsi"/>
          <w:sz w:val="22"/>
          <w:szCs w:val="22"/>
          <w:lang w:val="cs-CZ"/>
        </w:rPr>
        <w:t xml:space="preserve">IČO: </w:t>
      </w:r>
      <w:r w:rsidRPr="003B0D73">
        <w:rPr>
          <w:rFonts w:asciiTheme="minorHAnsi" w:hAnsiTheme="minorHAnsi" w:cstheme="minorHAnsi"/>
          <w:b/>
          <w:sz w:val="22"/>
          <w:szCs w:val="22"/>
        </w:rPr>
        <w:t>27234835</w:t>
      </w:r>
      <w:r w:rsidRPr="003B0D73">
        <w:rPr>
          <w:rFonts w:asciiTheme="minorHAnsi" w:hAnsiTheme="minorHAnsi" w:cstheme="minorHAnsi"/>
          <w:b/>
          <w:sz w:val="22"/>
          <w:szCs w:val="22"/>
          <w:lang w:val="cs-CZ"/>
        </w:rPr>
        <w:t xml:space="preserve">, </w:t>
      </w:r>
      <w:r w:rsidRPr="003B0D73">
        <w:rPr>
          <w:rFonts w:asciiTheme="minorHAnsi" w:hAnsiTheme="minorHAnsi" w:cstheme="minorHAnsi"/>
          <w:sz w:val="22"/>
          <w:szCs w:val="22"/>
          <w:lang w:val="cs-CZ"/>
        </w:rPr>
        <w:t xml:space="preserve">DIČ: </w:t>
      </w:r>
      <w:r w:rsidRPr="003B0D73">
        <w:rPr>
          <w:rFonts w:asciiTheme="minorHAnsi" w:hAnsiTheme="minorHAnsi" w:cstheme="minorHAnsi"/>
          <w:b/>
          <w:sz w:val="22"/>
          <w:szCs w:val="22"/>
        </w:rPr>
        <w:t>CZ27234835</w:t>
      </w:r>
    </w:p>
    <w:p w14:paraId="64DBD0EC" w14:textId="77777777" w:rsidR="00C05C80" w:rsidRPr="003B0D73" w:rsidRDefault="00C05C80" w:rsidP="00C05C80">
      <w:pPr>
        <w:pStyle w:val="RLdajeosmluvnstran"/>
        <w:rPr>
          <w:rFonts w:asciiTheme="minorHAnsi" w:hAnsiTheme="minorHAnsi" w:cstheme="minorHAnsi"/>
          <w:szCs w:val="22"/>
        </w:rPr>
      </w:pPr>
      <w:r w:rsidRPr="003B0D73">
        <w:rPr>
          <w:rFonts w:asciiTheme="minorHAnsi" w:hAnsiTheme="minorHAnsi" w:cstheme="minorHAnsi"/>
          <w:szCs w:val="22"/>
        </w:rPr>
        <w:t xml:space="preserve">společnost zapsaná v obchodním rejstříku vedeném </w:t>
      </w:r>
      <w:r w:rsidRPr="003B0D73">
        <w:rPr>
          <w:rFonts w:asciiTheme="minorHAnsi" w:hAnsiTheme="minorHAnsi" w:cstheme="minorHAnsi"/>
          <w:b/>
          <w:szCs w:val="22"/>
        </w:rPr>
        <w:t>u Městského soudu v Praze</w:t>
      </w:r>
      <w:r w:rsidRPr="003B0D73">
        <w:rPr>
          <w:rFonts w:asciiTheme="minorHAnsi" w:hAnsiTheme="minorHAnsi" w:cstheme="minorHAnsi"/>
          <w:szCs w:val="22"/>
        </w:rPr>
        <w:t xml:space="preserve">, </w:t>
      </w:r>
    </w:p>
    <w:p w14:paraId="5FEAC9AB" w14:textId="77777777" w:rsidR="00C05C80" w:rsidRPr="003B0D73" w:rsidRDefault="00C05C80" w:rsidP="00C05C80">
      <w:pPr>
        <w:pStyle w:val="RLdajeosmluvnstran"/>
        <w:rPr>
          <w:rFonts w:asciiTheme="minorHAnsi" w:hAnsiTheme="minorHAnsi" w:cstheme="minorHAnsi"/>
          <w:b/>
          <w:szCs w:val="22"/>
        </w:rPr>
      </w:pPr>
      <w:r w:rsidRPr="003B0D73">
        <w:rPr>
          <w:rFonts w:asciiTheme="minorHAnsi" w:hAnsiTheme="minorHAnsi" w:cstheme="minorHAnsi"/>
          <w:szCs w:val="22"/>
        </w:rPr>
        <w:t xml:space="preserve">oddíl </w:t>
      </w:r>
      <w:r w:rsidRPr="003B0D73">
        <w:rPr>
          <w:rFonts w:asciiTheme="minorHAnsi" w:hAnsiTheme="minorHAnsi" w:cstheme="minorHAnsi"/>
          <w:b/>
          <w:szCs w:val="22"/>
        </w:rPr>
        <w:t>C</w:t>
      </w:r>
      <w:r w:rsidRPr="003B0D73">
        <w:rPr>
          <w:rFonts w:asciiTheme="minorHAnsi" w:hAnsiTheme="minorHAnsi" w:cstheme="minorHAnsi"/>
          <w:szCs w:val="22"/>
        </w:rPr>
        <w:t>, vložka </w:t>
      </w:r>
      <w:r w:rsidRPr="003B0D73">
        <w:rPr>
          <w:rFonts w:asciiTheme="minorHAnsi" w:hAnsiTheme="minorHAnsi" w:cstheme="minorHAnsi"/>
          <w:b/>
          <w:szCs w:val="22"/>
        </w:rPr>
        <w:t>106530</w:t>
      </w:r>
    </w:p>
    <w:p w14:paraId="4D47A074" w14:textId="77777777" w:rsidR="00C05C80" w:rsidRPr="003B0D73" w:rsidRDefault="00C05C80" w:rsidP="00C05C80">
      <w:pPr>
        <w:pStyle w:val="RLdajeosmluvnstran"/>
        <w:rPr>
          <w:rFonts w:asciiTheme="minorHAnsi" w:hAnsiTheme="minorHAnsi" w:cstheme="minorHAnsi"/>
          <w:szCs w:val="22"/>
        </w:rPr>
      </w:pPr>
      <w:r w:rsidRPr="003B0D73">
        <w:rPr>
          <w:rFonts w:asciiTheme="minorHAnsi" w:hAnsiTheme="minorHAnsi" w:cstheme="minorHAnsi"/>
          <w:szCs w:val="22"/>
        </w:rPr>
        <w:t xml:space="preserve">ID datové schránky: </w:t>
      </w:r>
      <w:r w:rsidRPr="003B0D73">
        <w:rPr>
          <w:rFonts w:asciiTheme="minorHAnsi" w:hAnsiTheme="minorHAnsi" w:cstheme="minorHAnsi"/>
          <w:b/>
          <w:szCs w:val="22"/>
        </w:rPr>
        <w:t>i2zp6r6</w:t>
      </w:r>
    </w:p>
    <w:p w14:paraId="4FE35B3B" w14:textId="77777777" w:rsidR="00C05C80" w:rsidRPr="003B0D73" w:rsidRDefault="00C05C80" w:rsidP="00C05C80">
      <w:pPr>
        <w:pStyle w:val="RLdajeosmluvnstran"/>
        <w:rPr>
          <w:rFonts w:asciiTheme="minorHAnsi" w:hAnsiTheme="minorHAnsi" w:cstheme="minorHAnsi"/>
          <w:szCs w:val="22"/>
        </w:rPr>
      </w:pPr>
      <w:r w:rsidRPr="003B0D73">
        <w:rPr>
          <w:rFonts w:asciiTheme="minorHAnsi" w:hAnsiTheme="minorHAnsi" w:cstheme="minorHAnsi"/>
          <w:szCs w:val="22"/>
        </w:rPr>
        <w:t xml:space="preserve">bank. spojení: </w:t>
      </w:r>
      <w:r w:rsidRPr="003B0D73">
        <w:rPr>
          <w:rFonts w:asciiTheme="minorHAnsi" w:hAnsiTheme="minorHAnsi" w:cstheme="minorHAnsi"/>
          <w:b/>
          <w:szCs w:val="22"/>
        </w:rPr>
        <w:t>Československá obchodní banka, a.s.</w:t>
      </w:r>
      <w:r w:rsidRPr="003B0D73">
        <w:rPr>
          <w:rFonts w:asciiTheme="minorHAnsi" w:hAnsiTheme="minorHAnsi" w:cstheme="minorHAnsi"/>
          <w:szCs w:val="22"/>
        </w:rPr>
        <w:t xml:space="preserve">, č. účtu: </w:t>
      </w:r>
      <w:r w:rsidRPr="003B0D73">
        <w:rPr>
          <w:rFonts w:asciiTheme="minorHAnsi" w:hAnsiTheme="minorHAnsi" w:cstheme="minorHAnsi"/>
          <w:b/>
          <w:szCs w:val="22"/>
        </w:rPr>
        <w:t>272005972/0300</w:t>
      </w:r>
    </w:p>
    <w:p w14:paraId="602FBF26" w14:textId="77777777" w:rsidR="00C05C80" w:rsidRPr="003B0D73" w:rsidRDefault="00C05C80" w:rsidP="00C05C80">
      <w:pPr>
        <w:pStyle w:val="RLdajeosmluvnstran"/>
        <w:rPr>
          <w:rFonts w:asciiTheme="minorHAnsi" w:hAnsiTheme="minorHAnsi" w:cstheme="minorHAnsi"/>
          <w:b/>
          <w:szCs w:val="22"/>
        </w:rPr>
      </w:pPr>
      <w:r w:rsidRPr="003B0D73">
        <w:rPr>
          <w:rFonts w:asciiTheme="minorHAnsi" w:hAnsiTheme="minorHAnsi" w:cstheme="minorHAnsi"/>
          <w:szCs w:val="22"/>
        </w:rPr>
        <w:t xml:space="preserve">zastoupená: </w:t>
      </w:r>
      <w:r w:rsidRPr="003B0D73">
        <w:rPr>
          <w:rFonts w:asciiTheme="minorHAnsi" w:hAnsiTheme="minorHAnsi" w:cstheme="minorHAnsi"/>
          <w:b/>
          <w:szCs w:val="22"/>
        </w:rPr>
        <w:t xml:space="preserve">Stanislavem </w:t>
      </w:r>
      <w:proofErr w:type="spellStart"/>
      <w:r w:rsidRPr="003B0D73">
        <w:rPr>
          <w:rFonts w:asciiTheme="minorHAnsi" w:hAnsiTheme="minorHAnsi" w:cstheme="minorHAnsi"/>
          <w:b/>
          <w:szCs w:val="22"/>
        </w:rPr>
        <w:t>Šmejdířem</w:t>
      </w:r>
      <w:proofErr w:type="spellEnd"/>
      <w:r w:rsidRPr="003B0D73">
        <w:rPr>
          <w:rFonts w:asciiTheme="minorHAnsi" w:hAnsiTheme="minorHAnsi" w:cstheme="minorHAnsi"/>
          <w:b/>
          <w:szCs w:val="22"/>
        </w:rPr>
        <w:t>, jednatelem společnosti</w:t>
      </w:r>
    </w:p>
    <w:p w14:paraId="22C4F10B" w14:textId="77777777" w:rsidR="00C05C80" w:rsidRPr="003B0D73" w:rsidRDefault="00C05C80" w:rsidP="00C05C80">
      <w:pPr>
        <w:pStyle w:val="RLdajeosmluvnstran"/>
        <w:rPr>
          <w:rFonts w:asciiTheme="minorHAnsi" w:hAnsiTheme="minorHAnsi" w:cstheme="minorHAnsi"/>
          <w:b/>
          <w:szCs w:val="22"/>
        </w:rPr>
      </w:pPr>
      <w:r w:rsidRPr="003B0D73">
        <w:rPr>
          <w:rFonts w:asciiTheme="minorHAnsi" w:hAnsiTheme="minorHAnsi" w:cstheme="minorHAnsi"/>
          <w:b/>
          <w:szCs w:val="22"/>
        </w:rPr>
        <w:t>Jakubem Jirouškem, jednatelem společnosti</w:t>
      </w:r>
    </w:p>
    <w:p w14:paraId="785FFD79" w14:textId="77777777" w:rsidR="00C05C80" w:rsidRPr="003B0D73" w:rsidRDefault="00C05C80" w:rsidP="00C05C80">
      <w:pPr>
        <w:pStyle w:val="RLdajeosmluvnstran"/>
        <w:rPr>
          <w:rFonts w:asciiTheme="minorHAnsi" w:hAnsiTheme="minorHAnsi" w:cstheme="minorHAnsi"/>
          <w:szCs w:val="22"/>
        </w:rPr>
      </w:pPr>
      <w:r w:rsidRPr="003B0D73">
        <w:rPr>
          <w:rFonts w:asciiTheme="minorHAnsi" w:hAnsiTheme="minorHAnsi" w:cstheme="minorHAnsi"/>
          <w:bCs/>
          <w:szCs w:val="22"/>
        </w:rPr>
        <w:t xml:space="preserve">č. smlouvy: </w:t>
      </w:r>
      <w:r w:rsidRPr="003B0D73">
        <w:rPr>
          <w:rFonts w:asciiTheme="minorHAnsi" w:hAnsiTheme="minorHAnsi" w:cstheme="minorHAnsi"/>
          <w:b/>
          <w:szCs w:val="22"/>
        </w:rPr>
        <w:t>FT230010</w:t>
      </w:r>
    </w:p>
    <w:p w14:paraId="158BF9EE" w14:textId="77777777" w:rsidR="00C05C80" w:rsidRPr="003B0D73" w:rsidRDefault="00C05C80" w:rsidP="00C05C80">
      <w:pPr>
        <w:pStyle w:val="RLdajeosmluvnstran"/>
        <w:rPr>
          <w:szCs w:val="22"/>
        </w:rPr>
      </w:pPr>
      <w:r w:rsidRPr="003B0D73">
        <w:rPr>
          <w:szCs w:val="22"/>
        </w:rPr>
        <w:t>(dále jen „</w:t>
      </w:r>
      <w:r w:rsidRPr="003B0D73">
        <w:rPr>
          <w:b/>
          <w:szCs w:val="22"/>
        </w:rPr>
        <w:t>Prodávající</w:t>
      </w:r>
      <w:r w:rsidRPr="003B0D73">
        <w:rPr>
          <w:szCs w:val="22"/>
        </w:rPr>
        <w:t>“)</w:t>
      </w:r>
    </w:p>
    <w:p w14:paraId="35FFD363" w14:textId="77777777" w:rsidR="00C05C80" w:rsidRPr="003B0D73" w:rsidRDefault="00C05C80" w:rsidP="00C05C80">
      <w:pPr>
        <w:pStyle w:val="RLdajeosmluvnstran"/>
        <w:rPr>
          <w:szCs w:val="22"/>
        </w:rPr>
      </w:pPr>
      <w:r w:rsidRPr="003B0D73">
        <w:rPr>
          <w:szCs w:val="22"/>
        </w:rPr>
        <w:t xml:space="preserve">(Kupující a Prodávající dále též jako </w:t>
      </w:r>
      <w:r w:rsidRPr="003B0D73">
        <w:rPr>
          <w:b/>
          <w:szCs w:val="22"/>
        </w:rPr>
        <w:t xml:space="preserve">„Smluvní strany“ </w:t>
      </w:r>
      <w:r w:rsidRPr="003B0D73">
        <w:rPr>
          <w:szCs w:val="22"/>
        </w:rPr>
        <w:t xml:space="preserve">nebo jednotlivě </w:t>
      </w:r>
      <w:r w:rsidRPr="003B0D73">
        <w:rPr>
          <w:b/>
          <w:szCs w:val="22"/>
        </w:rPr>
        <w:t>„Smluvní strana“</w:t>
      </w:r>
      <w:r w:rsidRPr="003B0D73">
        <w:rPr>
          <w:szCs w:val="22"/>
        </w:rPr>
        <w:t>)</w:t>
      </w:r>
    </w:p>
    <w:p w14:paraId="43DDC3BE" w14:textId="77777777" w:rsidR="00BE325B" w:rsidRPr="003B0D73" w:rsidRDefault="00BE325B" w:rsidP="00BE325B">
      <w:pPr>
        <w:spacing w:before="120" w:after="120" w:line="240" w:lineRule="auto"/>
        <w:ind w:left="590" w:right="0" w:firstLine="0"/>
        <w:rPr>
          <w:rFonts w:asciiTheme="minorHAnsi" w:hAnsiTheme="minorHAnsi" w:cstheme="minorHAnsi"/>
        </w:rPr>
      </w:pPr>
    </w:p>
    <w:p w14:paraId="1CF5B7FE" w14:textId="2A24F551" w:rsidR="00BE325B" w:rsidRPr="003B0D73" w:rsidRDefault="00BE325B" w:rsidP="00BE325B">
      <w:pPr>
        <w:spacing w:before="120" w:after="120" w:line="240" w:lineRule="auto"/>
        <w:ind w:left="0" w:right="0" w:firstLine="0"/>
        <w:rPr>
          <w:rFonts w:asciiTheme="minorHAnsi" w:hAnsiTheme="minorHAnsi" w:cstheme="minorHAnsi"/>
        </w:rPr>
      </w:pPr>
    </w:p>
    <w:p w14:paraId="19A03BE8" w14:textId="77777777" w:rsidR="00BE325B" w:rsidRPr="003B0D73" w:rsidRDefault="00BE325B" w:rsidP="00BE325B">
      <w:pPr>
        <w:numPr>
          <w:ilvl w:val="0"/>
          <w:numId w:val="2"/>
        </w:numPr>
        <w:spacing w:before="120" w:after="120" w:line="240" w:lineRule="auto"/>
        <w:ind w:right="0" w:hanging="737"/>
        <w:rPr>
          <w:rFonts w:asciiTheme="minorHAnsi" w:hAnsiTheme="minorHAnsi" w:cstheme="minorHAnsi"/>
          <w:b/>
        </w:rPr>
      </w:pPr>
      <w:r w:rsidRPr="003B0D73">
        <w:rPr>
          <w:rFonts w:asciiTheme="minorHAnsi" w:hAnsiTheme="minorHAnsi" w:cstheme="minorHAnsi"/>
          <w:b/>
        </w:rPr>
        <w:t xml:space="preserve">ÚVODNÍ USTANOVENÍ </w:t>
      </w:r>
    </w:p>
    <w:p w14:paraId="3326E256" w14:textId="193FB3EA" w:rsidR="00BE325B" w:rsidRPr="003B0D73" w:rsidRDefault="00BE325B" w:rsidP="00BE325B">
      <w:pPr>
        <w:numPr>
          <w:ilvl w:val="1"/>
          <w:numId w:val="2"/>
        </w:numPr>
        <w:spacing w:before="120" w:after="120" w:line="240" w:lineRule="auto"/>
        <w:ind w:left="851" w:right="0" w:hanging="837"/>
        <w:rPr>
          <w:rFonts w:asciiTheme="minorHAnsi" w:hAnsiTheme="minorHAnsi" w:cstheme="minorHAnsi"/>
        </w:rPr>
      </w:pPr>
      <w:r w:rsidRPr="003B0D73">
        <w:rPr>
          <w:rFonts w:asciiTheme="minorHAnsi" w:hAnsiTheme="minorHAnsi" w:cstheme="minorHAnsi"/>
        </w:rPr>
        <w:t>Strany uzavřely dne 2</w:t>
      </w:r>
      <w:r w:rsidR="00B53F25" w:rsidRPr="003B0D73">
        <w:rPr>
          <w:rFonts w:asciiTheme="minorHAnsi" w:hAnsiTheme="minorHAnsi" w:cstheme="minorHAnsi"/>
        </w:rPr>
        <w:t>9</w:t>
      </w:r>
      <w:r w:rsidRPr="003B0D73">
        <w:rPr>
          <w:rFonts w:asciiTheme="minorHAnsi" w:hAnsiTheme="minorHAnsi" w:cstheme="minorHAnsi"/>
        </w:rPr>
        <w:t>.11.202</w:t>
      </w:r>
      <w:r w:rsidR="00B53F25" w:rsidRPr="003B0D73">
        <w:rPr>
          <w:rFonts w:asciiTheme="minorHAnsi" w:hAnsiTheme="minorHAnsi" w:cstheme="minorHAnsi"/>
        </w:rPr>
        <w:t>3</w:t>
      </w:r>
      <w:r w:rsidRPr="003B0D73">
        <w:rPr>
          <w:rFonts w:asciiTheme="minorHAnsi" w:hAnsiTheme="minorHAnsi" w:cstheme="minorHAnsi"/>
        </w:rPr>
        <w:t xml:space="preserve"> </w:t>
      </w:r>
      <w:r w:rsidR="00B53F25" w:rsidRPr="003B0D73">
        <w:t>na základě výsledku</w:t>
      </w:r>
      <w:r w:rsidR="00B412FA" w:rsidRPr="003B0D73">
        <w:t xml:space="preserve"> výběrového řízení na</w:t>
      </w:r>
      <w:r w:rsidR="00B53F25" w:rsidRPr="003B0D73">
        <w:t xml:space="preserve"> veřejn</w:t>
      </w:r>
      <w:r w:rsidR="00B412FA" w:rsidRPr="003B0D73">
        <w:t>ou</w:t>
      </w:r>
      <w:r w:rsidR="00B53F25" w:rsidRPr="003B0D73">
        <w:t xml:space="preserve"> zakázk</w:t>
      </w:r>
      <w:r w:rsidR="00B412FA" w:rsidRPr="003B0D73">
        <w:t>u</w:t>
      </w:r>
      <w:r w:rsidR="00B53F25" w:rsidRPr="003B0D73">
        <w:t xml:space="preserve"> zadávan</w:t>
      </w:r>
      <w:r w:rsidR="00B412FA" w:rsidRPr="003B0D73">
        <w:t>ou</w:t>
      </w:r>
      <w:r w:rsidR="00B53F25" w:rsidRPr="003B0D73">
        <w:t xml:space="preserve"> v dynamickém nákupním systému s názvem </w:t>
      </w:r>
      <w:r w:rsidR="00B53F25" w:rsidRPr="003B0D73">
        <w:rPr>
          <w:b/>
        </w:rPr>
        <w:t>„</w:t>
      </w:r>
      <w:r w:rsidR="00B53F25" w:rsidRPr="003B0D73">
        <w:rPr>
          <w:b/>
          <w:i/>
          <w:iCs/>
        </w:rPr>
        <w:t>Dynamický nákupní systém pro dodávku prvků pro správu a údržbu veřejného osvětlení a prvků souvisejících s dalšími veřejnými činnostmi zadavatele</w:t>
      </w:r>
      <w:r w:rsidR="00B53F25" w:rsidRPr="003B0D73">
        <w:rPr>
          <w:b/>
        </w:rPr>
        <w:t xml:space="preserve">“ </w:t>
      </w:r>
      <w:r w:rsidR="00B53F25" w:rsidRPr="003B0D73">
        <w:rPr>
          <w:bCs/>
        </w:rPr>
        <w:t>s názvem</w:t>
      </w:r>
      <w:r w:rsidR="00B53F25" w:rsidRPr="003B0D73">
        <w:rPr>
          <w:b/>
        </w:rPr>
        <w:t xml:space="preserve"> „Dodávka náhradních LED svítidel pro potřeby servisu</w:t>
      </w:r>
      <w:r w:rsidR="00B53F25" w:rsidRPr="003B0D73">
        <w:rPr>
          <w:rStyle w:val="RLProhlensmluvnchstranChar"/>
          <w:rFonts w:eastAsia="Calibri"/>
          <w:bCs/>
        </w:rPr>
        <w:t>“</w:t>
      </w:r>
      <w:r w:rsidR="00B53F25" w:rsidRPr="003B0D73">
        <w:rPr>
          <w:rStyle w:val="RLProhlensmluvnchstranChar"/>
          <w:rFonts w:eastAsia="Calibri"/>
        </w:rPr>
        <w:t xml:space="preserve"> </w:t>
      </w:r>
      <w:r w:rsidR="00B53F25" w:rsidRPr="003B0D73">
        <w:t xml:space="preserve">(dále jen </w:t>
      </w:r>
      <w:r w:rsidR="00B53F25" w:rsidRPr="003B0D73">
        <w:rPr>
          <w:b/>
        </w:rPr>
        <w:t>„Veřejná zakázka“</w:t>
      </w:r>
      <w:r w:rsidR="00B53F25" w:rsidRPr="003B0D73">
        <w:t>) Kupní smlouvu č. 473/23</w:t>
      </w:r>
      <w:r w:rsidRPr="003B0D73">
        <w:rPr>
          <w:rFonts w:asciiTheme="minorHAnsi" w:hAnsiTheme="minorHAnsi" w:cstheme="minorHAnsi"/>
        </w:rPr>
        <w:t xml:space="preserve">. </w:t>
      </w:r>
    </w:p>
    <w:p w14:paraId="2AECCEE8" w14:textId="3E19C598" w:rsidR="00BE325B" w:rsidRPr="003B0D73" w:rsidRDefault="00BE325B" w:rsidP="00BE325B">
      <w:pPr>
        <w:pStyle w:val="Odstavecseseznamem"/>
        <w:numPr>
          <w:ilvl w:val="1"/>
          <w:numId w:val="2"/>
        </w:numPr>
        <w:spacing w:before="120" w:after="120" w:line="276" w:lineRule="auto"/>
        <w:ind w:left="851" w:right="0" w:hanging="837"/>
        <w:rPr>
          <w:rFonts w:cstheme="minorHAnsi"/>
          <w:color w:val="FF0000"/>
        </w:rPr>
      </w:pPr>
      <w:r w:rsidRPr="003B0D73">
        <w:t xml:space="preserve">Smluvní strany tímto uzavírají níže uvedeného dne, měsíce a roku postupem dle čl. </w:t>
      </w:r>
      <w:r w:rsidR="00000D90" w:rsidRPr="003B0D73">
        <w:t>10</w:t>
      </w:r>
      <w:r w:rsidRPr="003B0D73">
        <w:t xml:space="preserve"> odst. </w:t>
      </w:r>
      <w:r w:rsidR="00000D90" w:rsidRPr="003B0D73">
        <w:t>10</w:t>
      </w:r>
      <w:r w:rsidRPr="003B0D73">
        <w:t xml:space="preserve">.2. </w:t>
      </w:r>
      <w:r w:rsidR="00000D90" w:rsidRPr="003B0D73">
        <w:t>Smlouvy</w:t>
      </w:r>
      <w:r w:rsidRPr="003B0D73">
        <w:t xml:space="preserve"> tento Dodatek č. </w:t>
      </w:r>
      <w:r w:rsidR="00000D90" w:rsidRPr="003B0D73">
        <w:t>1</w:t>
      </w:r>
      <w:r w:rsidRPr="003B0D73">
        <w:t xml:space="preserve"> k</w:t>
      </w:r>
      <w:r w:rsidR="00000D90" w:rsidRPr="003B0D73">
        <w:t>e Smlouvě</w:t>
      </w:r>
      <w:r w:rsidRPr="003B0D73">
        <w:t xml:space="preserve"> (dále jen „Dodatek“), jehož předmětem je změna </w:t>
      </w:r>
      <w:r w:rsidR="00000D90" w:rsidRPr="003B0D73">
        <w:t xml:space="preserve">Smlouvy </w:t>
      </w:r>
      <w:r w:rsidRPr="003B0D73">
        <w:t>spočívající v</w:t>
      </w:r>
      <w:r w:rsidR="00800565" w:rsidRPr="003B0D73">
        <w:t xml:space="preserve"> navýšení </w:t>
      </w:r>
      <w:r w:rsidR="00B412FA" w:rsidRPr="003B0D73">
        <w:t>počtu odebraných ks svítidel typu F a G dle Přílohy č. 1 Smlouvy – Technická specifikace a ceník a Tabulky parametrů svítidel</w:t>
      </w:r>
      <w:r w:rsidR="009F0664" w:rsidRPr="003B0D73">
        <w:t xml:space="preserve"> o dodatečných 20 ks svítidel typu F a 20 ks svítidel typu G</w:t>
      </w:r>
      <w:r w:rsidR="00B412FA" w:rsidRPr="003B0D73">
        <w:t>.</w:t>
      </w:r>
    </w:p>
    <w:p w14:paraId="51EB5C6F" w14:textId="3AD60FCB" w:rsidR="009F0664" w:rsidRPr="003B0D73" w:rsidRDefault="009F0664" w:rsidP="00BE325B">
      <w:pPr>
        <w:pStyle w:val="Odstavecseseznamem"/>
        <w:numPr>
          <w:ilvl w:val="1"/>
          <w:numId w:val="2"/>
        </w:numPr>
        <w:spacing w:before="120" w:after="120" w:line="276" w:lineRule="auto"/>
        <w:ind w:left="851" w:right="0" w:hanging="837"/>
        <w:rPr>
          <w:rFonts w:cstheme="minorHAnsi"/>
          <w:color w:val="FF0000"/>
        </w:rPr>
      </w:pPr>
      <w:r w:rsidRPr="003B0D73">
        <w:t>Dodatečné plnění dle čl. 1 odst. 1.2 tohoto Dodatku představuje ve smyslu čl. 2 odst. 2.2 tohoto Dodatku navýšení finančního plnění o 635.120,00 Kč bez DPH.</w:t>
      </w:r>
    </w:p>
    <w:p w14:paraId="6C22DE0D" w14:textId="15407A2F" w:rsidR="00BE325B" w:rsidRPr="003B0D73" w:rsidRDefault="00BE325B" w:rsidP="00000D90">
      <w:pPr>
        <w:pStyle w:val="Odstavecseseznamem"/>
        <w:numPr>
          <w:ilvl w:val="1"/>
          <w:numId w:val="2"/>
        </w:numPr>
        <w:spacing w:before="120" w:after="120" w:line="240" w:lineRule="auto"/>
        <w:ind w:left="851" w:right="0" w:hanging="851"/>
        <w:rPr>
          <w:rFonts w:asciiTheme="minorHAnsi" w:hAnsiTheme="minorHAnsi" w:cstheme="minorHAnsi"/>
        </w:rPr>
      </w:pPr>
      <w:r w:rsidRPr="003B0D73">
        <w:t xml:space="preserve">Strany se na změně </w:t>
      </w:r>
      <w:r w:rsidR="00000D90" w:rsidRPr="003B0D73">
        <w:t>Smlouvy</w:t>
      </w:r>
      <w:r w:rsidRPr="003B0D73">
        <w:t xml:space="preserve"> dohodly s tím, že provedenou změnou budou splněny podmínky </w:t>
      </w:r>
      <w:r w:rsidR="00B412FA" w:rsidRPr="003B0D73">
        <w:t>vyhrazené změny závazku upravené v čl. 10 odst. 10.2 Kupní smlouvy č. 473/23, která upravuje, že si Kupující vyhradil možnost rozšířit dodávku všech druhů svítidel o dodatečných max. 20 ks (a to od každého svítidla dle Technické specifikace a ceníku), přičemž tuto informaci Kupující Prodávajícímu sděli</w:t>
      </w:r>
      <w:r w:rsidR="000A7641">
        <w:t>t</w:t>
      </w:r>
      <w:r w:rsidR="00B412FA" w:rsidRPr="003B0D73">
        <w:t xml:space="preserve"> prostřednictvím emailové adresy nejpozději ke dni dodání druhé dodávky. Prodávající je na základě sdělení Kupujícího povinen dodatečný počet svítidel doru</w:t>
      </w:r>
      <w:r w:rsidR="00236A19" w:rsidRPr="003B0D73">
        <w:t>č</w:t>
      </w:r>
      <w:r w:rsidR="00B412FA" w:rsidRPr="003B0D73">
        <w:t xml:space="preserve">it nejpozději do osmi (8) týdnů ode dne zaslání sdělení. </w:t>
      </w:r>
    </w:p>
    <w:p w14:paraId="3BDE6976" w14:textId="646A9F62" w:rsidR="00B412FA" w:rsidRPr="003B0D73" w:rsidRDefault="00B412FA" w:rsidP="00000D90">
      <w:pPr>
        <w:pStyle w:val="Odstavecseseznamem"/>
        <w:numPr>
          <w:ilvl w:val="1"/>
          <w:numId w:val="2"/>
        </w:numPr>
        <w:spacing w:before="120" w:after="120" w:line="240" w:lineRule="auto"/>
        <w:ind w:left="851" w:right="0" w:hanging="851"/>
        <w:rPr>
          <w:rFonts w:asciiTheme="minorHAnsi" w:hAnsiTheme="minorHAnsi" w:cstheme="minorHAnsi"/>
        </w:rPr>
      </w:pPr>
      <w:r w:rsidRPr="003B0D73">
        <w:rPr>
          <w:rFonts w:asciiTheme="minorHAnsi" w:hAnsiTheme="minorHAnsi" w:cstheme="minorHAnsi"/>
        </w:rPr>
        <w:t xml:space="preserve">V návaznosti na výše uvedený odst. 1.3 Smluvní strany podpisem tohoto Dodatku </w:t>
      </w:r>
      <w:r w:rsidR="00236A19" w:rsidRPr="003B0D73">
        <w:rPr>
          <w:rFonts w:asciiTheme="minorHAnsi" w:hAnsiTheme="minorHAnsi" w:cstheme="minorHAnsi"/>
        </w:rPr>
        <w:t>stvrzují, že byly naplněny podmínky pro aktivaci zmíněné vyhrazené změny závazku dle čl. 10 odst. 10.2 Kupní smlouvy č. 473/23</w:t>
      </w:r>
      <w:r w:rsidR="009F0664" w:rsidRPr="003B0D73">
        <w:rPr>
          <w:rFonts w:asciiTheme="minorHAnsi" w:hAnsiTheme="minorHAnsi" w:cstheme="minorHAnsi"/>
        </w:rPr>
        <w:t xml:space="preserve">, a tedy se ve smyslu </w:t>
      </w:r>
      <w:proofErr w:type="spellStart"/>
      <w:r w:rsidR="009F0664" w:rsidRPr="003B0D73">
        <w:rPr>
          <w:rFonts w:asciiTheme="minorHAnsi" w:hAnsiTheme="minorHAnsi" w:cstheme="minorHAnsi"/>
        </w:rPr>
        <w:t>ust</w:t>
      </w:r>
      <w:proofErr w:type="spellEnd"/>
      <w:r w:rsidR="009F0664" w:rsidRPr="003B0D73">
        <w:rPr>
          <w:rFonts w:asciiTheme="minorHAnsi" w:hAnsiTheme="minorHAnsi" w:cstheme="minorHAnsi"/>
        </w:rPr>
        <w:t>. § 222 odst. 2 ZZVZ nejedná o podstatnou změnu smlouvy</w:t>
      </w:r>
      <w:r w:rsidR="00236A19" w:rsidRPr="003B0D73">
        <w:rPr>
          <w:rFonts w:asciiTheme="minorHAnsi" w:hAnsiTheme="minorHAnsi" w:cstheme="minorHAnsi"/>
        </w:rPr>
        <w:t>.</w:t>
      </w:r>
    </w:p>
    <w:p w14:paraId="5C8450B1" w14:textId="77777777" w:rsidR="00000D90" w:rsidRPr="003B0D73" w:rsidRDefault="00000D90" w:rsidP="00000D90">
      <w:pPr>
        <w:pStyle w:val="Odstavecseseznamem"/>
        <w:rPr>
          <w:rFonts w:asciiTheme="minorHAnsi" w:hAnsiTheme="minorHAnsi" w:cstheme="minorHAnsi"/>
        </w:rPr>
      </w:pPr>
    </w:p>
    <w:p w14:paraId="327F664C" w14:textId="77777777" w:rsidR="00000D90" w:rsidRPr="003B0D73" w:rsidRDefault="00000D90" w:rsidP="00000D90">
      <w:pPr>
        <w:pStyle w:val="Odstavecseseznamem"/>
        <w:spacing w:before="120" w:after="120" w:line="240" w:lineRule="auto"/>
        <w:ind w:left="851" w:right="0" w:firstLine="0"/>
        <w:rPr>
          <w:rFonts w:asciiTheme="minorHAnsi" w:hAnsiTheme="minorHAnsi" w:cstheme="minorHAnsi"/>
        </w:rPr>
      </w:pPr>
    </w:p>
    <w:p w14:paraId="10AD76E9" w14:textId="77777777" w:rsidR="00BE325B" w:rsidRPr="003B0D73" w:rsidRDefault="00BE325B" w:rsidP="00BE325B">
      <w:pPr>
        <w:numPr>
          <w:ilvl w:val="0"/>
          <w:numId w:val="2"/>
        </w:numPr>
        <w:spacing w:before="120" w:after="120" w:line="240" w:lineRule="auto"/>
        <w:ind w:right="0" w:hanging="737"/>
        <w:rPr>
          <w:rFonts w:asciiTheme="minorHAnsi" w:hAnsiTheme="minorHAnsi" w:cstheme="minorHAnsi"/>
          <w:b/>
        </w:rPr>
      </w:pPr>
      <w:r w:rsidRPr="003B0D73">
        <w:rPr>
          <w:rFonts w:asciiTheme="minorHAnsi" w:hAnsiTheme="minorHAnsi" w:cstheme="minorHAnsi"/>
          <w:b/>
        </w:rPr>
        <w:t xml:space="preserve">PŘEDMĚT DODATKU </w:t>
      </w:r>
    </w:p>
    <w:p w14:paraId="69B7888E" w14:textId="7B9687DF" w:rsidR="00BE325B" w:rsidRPr="003B0D73" w:rsidRDefault="00BE325B" w:rsidP="00BE325B">
      <w:pPr>
        <w:numPr>
          <w:ilvl w:val="1"/>
          <w:numId w:val="2"/>
        </w:numPr>
        <w:spacing w:before="120" w:after="120" w:line="240" w:lineRule="auto"/>
        <w:ind w:left="851" w:right="0" w:hanging="837"/>
        <w:rPr>
          <w:rFonts w:asciiTheme="minorHAnsi" w:hAnsiTheme="minorHAnsi" w:cstheme="minorHAnsi"/>
        </w:rPr>
      </w:pPr>
      <w:r w:rsidRPr="003B0D73">
        <w:rPr>
          <w:rFonts w:asciiTheme="minorHAnsi" w:hAnsiTheme="minorHAnsi" w:cstheme="minorHAnsi"/>
          <w:shd w:val="clear" w:color="auto" w:fill="FFFFFF"/>
        </w:rPr>
        <w:t>T</w:t>
      </w:r>
      <w:r w:rsidRPr="003B0D73">
        <w:rPr>
          <w:rFonts w:asciiTheme="minorHAnsi" w:hAnsiTheme="minorHAnsi" w:cstheme="minorHAnsi"/>
        </w:rPr>
        <w:t xml:space="preserve">ímto Dodatkem dochází ke změně ustanovení čl. </w:t>
      </w:r>
      <w:r w:rsidR="000D243F" w:rsidRPr="003B0D73">
        <w:rPr>
          <w:rFonts w:asciiTheme="minorHAnsi" w:hAnsiTheme="minorHAnsi" w:cstheme="minorHAnsi"/>
        </w:rPr>
        <w:t xml:space="preserve">2 </w:t>
      </w:r>
      <w:r w:rsidR="00130EFB" w:rsidRPr="003B0D73">
        <w:rPr>
          <w:rFonts w:asciiTheme="minorHAnsi" w:hAnsiTheme="minorHAnsi" w:cstheme="minorHAnsi"/>
        </w:rPr>
        <w:t xml:space="preserve">MÍSTO A ČAS PLNĚNÍ </w:t>
      </w:r>
      <w:r w:rsidR="000D243F" w:rsidRPr="003B0D73">
        <w:rPr>
          <w:rFonts w:asciiTheme="minorHAnsi" w:hAnsiTheme="minorHAnsi" w:cstheme="minorHAnsi"/>
        </w:rPr>
        <w:t>Smlouvy</w:t>
      </w:r>
      <w:r w:rsidRPr="003B0D73">
        <w:rPr>
          <w:rFonts w:asciiTheme="minorHAnsi" w:hAnsiTheme="minorHAnsi" w:cstheme="minorHAnsi"/>
          <w:u w:val="single"/>
        </w:rPr>
        <w:t xml:space="preserve"> a to tak, že </w:t>
      </w:r>
      <w:r w:rsidR="000D243F" w:rsidRPr="003B0D73">
        <w:rPr>
          <w:rFonts w:asciiTheme="minorHAnsi" w:hAnsiTheme="minorHAnsi" w:cstheme="minorHAnsi"/>
          <w:u w:val="single"/>
        </w:rPr>
        <w:t xml:space="preserve">se doplňuje </w:t>
      </w:r>
      <w:r w:rsidRPr="003B0D73">
        <w:rPr>
          <w:rFonts w:asciiTheme="minorHAnsi" w:hAnsiTheme="minorHAnsi" w:cstheme="minorHAnsi"/>
          <w:u w:val="single"/>
        </w:rPr>
        <w:t>ustanovení</w:t>
      </w:r>
      <w:r w:rsidR="000D243F" w:rsidRPr="003B0D73">
        <w:rPr>
          <w:rFonts w:asciiTheme="minorHAnsi" w:hAnsiTheme="minorHAnsi" w:cstheme="minorHAnsi"/>
          <w:u w:val="single"/>
        </w:rPr>
        <w:t xml:space="preserve"> 2.2.3, které </w:t>
      </w:r>
      <w:r w:rsidRPr="003B0D73">
        <w:rPr>
          <w:rFonts w:asciiTheme="minorHAnsi" w:hAnsiTheme="minorHAnsi" w:cstheme="minorHAnsi"/>
          <w:u w:val="single"/>
        </w:rPr>
        <w:t>zní následovně:</w:t>
      </w:r>
    </w:p>
    <w:p w14:paraId="59F7EC8B" w14:textId="279FBA0F" w:rsidR="00BE325B" w:rsidRPr="003B0D73" w:rsidRDefault="000D243F" w:rsidP="00BE325B">
      <w:pPr>
        <w:spacing w:before="120" w:after="120" w:line="240" w:lineRule="auto"/>
        <w:ind w:left="851" w:right="0" w:firstLine="0"/>
      </w:pPr>
      <w:r w:rsidRPr="003B0D73">
        <w:rPr>
          <w:rFonts w:asciiTheme="minorHAnsi" w:hAnsiTheme="minorHAnsi" w:cstheme="minorHAnsi"/>
          <w:u w:val="single"/>
        </w:rPr>
        <w:t xml:space="preserve">2.2.3 </w:t>
      </w:r>
      <w:r w:rsidRPr="003B0D73">
        <w:t xml:space="preserve">Pro třetí dodávku do </w:t>
      </w:r>
      <w:r w:rsidR="00BF5FE6">
        <w:t>deset</w:t>
      </w:r>
      <w:r w:rsidR="00236A19" w:rsidRPr="003B0D73">
        <w:t xml:space="preserve">i </w:t>
      </w:r>
      <w:r w:rsidRPr="003B0D73">
        <w:t>(</w:t>
      </w:r>
      <w:r w:rsidR="00BF5FE6">
        <w:t>10</w:t>
      </w:r>
      <w:r w:rsidRPr="003B0D73">
        <w:t xml:space="preserve">) týdnů ode dne </w:t>
      </w:r>
      <w:r w:rsidR="00236A19" w:rsidRPr="003B0D73">
        <w:t xml:space="preserve">odeslání výzvy, tj. od </w:t>
      </w:r>
      <w:r w:rsidR="009F0664" w:rsidRPr="003B0D73">
        <w:t>15</w:t>
      </w:r>
      <w:r w:rsidR="00236A19" w:rsidRPr="003B0D73">
        <w:t>.</w:t>
      </w:r>
      <w:r w:rsidR="009F0664" w:rsidRPr="003B0D73">
        <w:t>03</w:t>
      </w:r>
      <w:r w:rsidR="00236A19" w:rsidRPr="003B0D73">
        <w:t>.</w:t>
      </w:r>
      <w:r w:rsidR="009F0664" w:rsidRPr="003B0D73">
        <w:t>2024</w:t>
      </w:r>
      <w:r w:rsidRPr="003B0D73">
        <w:t xml:space="preserve"> dle odst. 2.2.1 této Smlouvy, a to v objemech </w:t>
      </w:r>
      <w:r w:rsidR="00236A19" w:rsidRPr="003B0D73">
        <w:t>dodatečných 20 ks pro typ svítidla F a G dle Technické specifikace a ceníku</w:t>
      </w:r>
      <w:r w:rsidRPr="003B0D73">
        <w:t>.</w:t>
      </w:r>
    </w:p>
    <w:p w14:paraId="748C88A1" w14:textId="138774FE" w:rsidR="000D243F" w:rsidRPr="003B0D73" w:rsidRDefault="000D243F" w:rsidP="00130EFB">
      <w:pPr>
        <w:spacing w:before="120" w:after="120" w:line="240" w:lineRule="auto"/>
        <w:ind w:left="851" w:right="0" w:hanging="851"/>
        <w:rPr>
          <w:rFonts w:asciiTheme="minorHAnsi" w:hAnsiTheme="minorHAnsi" w:cstheme="minorHAnsi"/>
          <w:u w:val="single"/>
        </w:rPr>
      </w:pPr>
      <w:r w:rsidRPr="003B0D73">
        <w:rPr>
          <w:rFonts w:asciiTheme="minorHAnsi" w:hAnsiTheme="minorHAnsi" w:cstheme="minorHAnsi"/>
          <w:u w:val="single"/>
        </w:rPr>
        <w:t>2.2.</w:t>
      </w:r>
      <w:r w:rsidRPr="003B0D73">
        <w:rPr>
          <w:rFonts w:asciiTheme="minorHAnsi" w:hAnsiTheme="minorHAnsi" w:cstheme="minorHAnsi"/>
          <w:u w:val="single"/>
        </w:rPr>
        <w:tab/>
        <w:t>Tímto Dodatkem zároveň dochází ke změně ustanovení čl. 3</w:t>
      </w:r>
      <w:r w:rsidR="00130EFB" w:rsidRPr="003B0D73">
        <w:rPr>
          <w:rFonts w:asciiTheme="minorHAnsi" w:hAnsiTheme="minorHAnsi" w:cstheme="minorHAnsi"/>
          <w:u w:val="single"/>
        </w:rPr>
        <w:t xml:space="preserve"> KUPNÍ CENA Smlouvy</w:t>
      </w:r>
      <w:r w:rsidRPr="003B0D73">
        <w:rPr>
          <w:rFonts w:asciiTheme="minorHAnsi" w:hAnsiTheme="minorHAnsi" w:cstheme="minorHAnsi"/>
          <w:u w:val="single"/>
        </w:rPr>
        <w:t>, bod 3.1</w:t>
      </w:r>
      <w:r w:rsidR="00130EFB" w:rsidRPr="003B0D73">
        <w:rPr>
          <w:rFonts w:asciiTheme="minorHAnsi" w:hAnsiTheme="minorHAnsi" w:cstheme="minorHAnsi"/>
          <w:u w:val="single"/>
        </w:rPr>
        <w:t>, a to tak</w:t>
      </w:r>
      <w:r w:rsidRPr="003B0D73">
        <w:rPr>
          <w:rFonts w:asciiTheme="minorHAnsi" w:hAnsiTheme="minorHAnsi" w:cstheme="minorHAnsi"/>
          <w:u w:val="single"/>
        </w:rPr>
        <w:t xml:space="preserve"> že nově zní následovně:</w:t>
      </w:r>
    </w:p>
    <w:p w14:paraId="3C3F9391" w14:textId="6BBCE141" w:rsidR="000D243F" w:rsidRPr="003B0D73" w:rsidRDefault="000D243F" w:rsidP="00852ED2">
      <w:pPr>
        <w:pStyle w:val="RLTextlnkuslovan"/>
        <w:numPr>
          <w:ilvl w:val="1"/>
          <w:numId w:val="4"/>
        </w:numPr>
        <w:tabs>
          <w:tab w:val="num" w:pos="1474"/>
        </w:tabs>
        <w:ind w:hanging="218"/>
        <w:rPr>
          <w:rFonts w:cs="Calibri"/>
          <w:szCs w:val="22"/>
        </w:rPr>
      </w:pPr>
      <w:bookmarkStart w:id="0" w:name="_Ref141346313"/>
      <w:r w:rsidRPr="003B0D73">
        <w:rPr>
          <w:rFonts w:cs="Calibri"/>
          <w:szCs w:val="22"/>
        </w:rPr>
        <w:t xml:space="preserve">Kupující se zavazuje zaplatit Prodávajícímu za řádně dodaný Předmět koupě kupní cenu (dále též jen </w:t>
      </w:r>
      <w:r w:rsidRPr="003B0D73">
        <w:rPr>
          <w:rFonts w:cs="Calibri"/>
          <w:b/>
          <w:bCs/>
          <w:szCs w:val="22"/>
        </w:rPr>
        <w:t>„</w:t>
      </w:r>
      <w:r w:rsidRPr="003B0D73">
        <w:rPr>
          <w:rFonts w:cs="Calibri"/>
          <w:b/>
          <w:szCs w:val="22"/>
        </w:rPr>
        <w:t>Kupní cena</w:t>
      </w:r>
      <w:r w:rsidRPr="003B0D73">
        <w:rPr>
          <w:rFonts w:cs="Calibri"/>
          <w:bCs/>
          <w:szCs w:val="22"/>
        </w:rPr>
        <w:t>“</w:t>
      </w:r>
      <w:r w:rsidRPr="003B0D73">
        <w:rPr>
          <w:rFonts w:cs="Calibri"/>
          <w:szCs w:val="22"/>
        </w:rPr>
        <w:t>), jejíž celková výše je určena součtem jednotkových kupních cen jednotlivých dílčích položek Předmětu koupě uvedených v </w:t>
      </w:r>
      <w:r w:rsidRPr="003B0D73">
        <w:rPr>
          <w:rFonts w:cs="Calibri"/>
          <w:i/>
          <w:iCs/>
          <w:szCs w:val="22"/>
        </w:rPr>
        <w:t>Technické specifikaci a ceníku</w:t>
      </w:r>
      <w:r w:rsidRPr="003B0D73">
        <w:rPr>
          <w:rFonts w:cs="Calibri"/>
          <w:szCs w:val="22"/>
        </w:rPr>
        <w:t>. Kupní cena je strukturována takto:</w:t>
      </w:r>
      <w:bookmarkEnd w:id="0"/>
    </w:p>
    <w:tbl>
      <w:tblPr>
        <w:tblStyle w:val="Mkatabulky"/>
        <w:tblW w:w="0" w:type="auto"/>
        <w:tblInd w:w="1474" w:type="dxa"/>
        <w:tblLook w:val="04A0" w:firstRow="1" w:lastRow="0" w:firstColumn="1" w:lastColumn="0" w:noHBand="0" w:noVBand="1"/>
      </w:tblPr>
      <w:tblGrid>
        <w:gridCol w:w="3812"/>
        <w:gridCol w:w="3888"/>
      </w:tblGrid>
      <w:tr w:rsidR="000D243F" w:rsidRPr="003B0D73" w14:paraId="0DA8EED9" w14:textId="77777777" w:rsidTr="00A124AE">
        <w:tc>
          <w:tcPr>
            <w:tcW w:w="4605" w:type="dxa"/>
            <w:vAlign w:val="center"/>
          </w:tcPr>
          <w:p w14:paraId="6E0CEA34" w14:textId="77777777" w:rsidR="000D243F" w:rsidRPr="003B0D73" w:rsidRDefault="000D243F" w:rsidP="00A124AE">
            <w:pPr>
              <w:pStyle w:val="RLTextlnkuslovan"/>
              <w:numPr>
                <w:ilvl w:val="0"/>
                <w:numId w:val="0"/>
              </w:numPr>
              <w:tabs>
                <w:tab w:val="num" w:pos="1474"/>
              </w:tabs>
              <w:spacing w:before="40" w:after="40"/>
              <w:rPr>
                <w:rFonts w:cs="Calibri"/>
                <w:sz w:val="22"/>
                <w:szCs w:val="22"/>
              </w:rPr>
            </w:pPr>
            <w:r w:rsidRPr="003B0D73">
              <w:rPr>
                <w:rFonts w:cs="Calibri"/>
                <w:sz w:val="22"/>
                <w:szCs w:val="22"/>
              </w:rPr>
              <w:t>Celková cena bez DPH</w:t>
            </w:r>
          </w:p>
        </w:tc>
        <w:tc>
          <w:tcPr>
            <w:tcW w:w="4605" w:type="dxa"/>
            <w:vAlign w:val="center"/>
          </w:tcPr>
          <w:p w14:paraId="0081C681" w14:textId="15B8CD72" w:rsidR="000D243F" w:rsidRPr="003B0D73" w:rsidRDefault="00F16662" w:rsidP="00A124AE">
            <w:pPr>
              <w:pStyle w:val="RLTextlnkuslovan"/>
              <w:numPr>
                <w:ilvl w:val="0"/>
                <w:numId w:val="0"/>
              </w:numPr>
              <w:tabs>
                <w:tab w:val="num" w:pos="1474"/>
              </w:tabs>
              <w:spacing w:before="40" w:after="40"/>
              <w:rPr>
                <w:rFonts w:cs="Calibri"/>
                <w:sz w:val="22"/>
                <w:szCs w:val="22"/>
              </w:rPr>
            </w:pPr>
            <w:r>
              <w:rPr>
                <w:rFonts w:cs="Calibri"/>
                <w:b/>
                <w:bCs/>
                <w:color w:val="000000"/>
              </w:rPr>
              <w:t>3 191 278,-Kč</w:t>
            </w:r>
          </w:p>
        </w:tc>
      </w:tr>
      <w:tr w:rsidR="000D243F" w:rsidRPr="003B0D73" w14:paraId="708CEB2B" w14:textId="77777777" w:rsidTr="00A124AE">
        <w:tc>
          <w:tcPr>
            <w:tcW w:w="4605" w:type="dxa"/>
            <w:vAlign w:val="center"/>
          </w:tcPr>
          <w:p w14:paraId="24DFC637" w14:textId="77777777" w:rsidR="000D243F" w:rsidRPr="003B0D73" w:rsidRDefault="000D243F" w:rsidP="00A124AE">
            <w:pPr>
              <w:pStyle w:val="RLTextlnkuslovan"/>
              <w:numPr>
                <w:ilvl w:val="0"/>
                <w:numId w:val="0"/>
              </w:numPr>
              <w:tabs>
                <w:tab w:val="num" w:pos="1474"/>
              </w:tabs>
              <w:spacing w:before="40" w:after="40"/>
              <w:rPr>
                <w:rFonts w:cs="Calibri"/>
                <w:sz w:val="22"/>
                <w:szCs w:val="22"/>
              </w:rPr>
            </w:pPr>
            <w:r w:rsidRPr="003B0D73">
              <w:rPr>
                <w:rFonts w:cs="Calibri"/>
                <w:sz w:val="22"/>
                <w:szCs w:val="22"/>
              </w:rPr>
              <w:t>Výše DPH (21 %)</w:t>
            </w:r>
          </w:p>
        </w:tc>
        <w:tc>
          <w:tcPr>
            <w:tcW w:w="4605" w:type="dxa"/>
            <w:vAlign w:val="center"/>
          </w:tcPr>
          <w:p w14:paraId="37C3E09E" w14:textId="29636CAC" w:rsidR="000D243F" w:rsidRPr="003B0D73" w:rsidRDefault="00F16662" w:rsidP="00A124AE">
            <w:pPr>
              <w:pStyle w:val="RLTextlnkuslovan"/>
              <w:numPr>
                <w:ilvl w:val="0"/>
                <w:numId w:val="0"/>
              </w:numPr>
              <w:tabs>
                <w:tab w:val="num" w:pos="1474"/>
              </w:tabs>
              <w:spacing w:before="40" w:after="40"/>
              <w:rPr>
                <w:rFonts w:cs="Calibri"/>
                <w:sz w:val="22"/>
                <w:szCs w:val="22"/>
              </w:rPr>
            </w:pPr>
            <w:r>
              <w:rPr>
                <w:rFonts w:cs="Calibri"/>
                <w:b/>
                <w:bCs/>
                <w:color w:val="000000"/>
              </w:rPr>
              <w:t>670.168,38</w:t>
            </w:r>
            <w:r w:rsidR="00C47041" w:rsidRPr="003B0D73">
              <w:rPr>
                <w:rFonts w:cs="Calibri"/>
                <w:b/>
                <w:bCs/>
                <w:color w:val="000000"/>
              </w:rPr>
              <w:t xml:space="preserve"> Kč</w:t>
            </w:r>
          </w:p>
        </w:tc>
      </w:tr>
      <w:tr w:rsidR="000D243F" w:rsidRPr="003B0D73" w14:paraId="46DFA57E" w14:textId="77777777" w:rsidTr="00A124AE">
        <w:tc>
          <w:tcPr>
            <w:tcW w:w="4605" w:type="dxa"/>
            <w:vAlign w:val="center"/>
          </w:tcPr>
          <w:p w14:paraId="6926CA01" w14:textId="77777777" w:rsidR="000D243F" w:rsidRPr="003B0D73" w:rsidRDefault="000D243F" w:rsidP="00A124AE">
            <w:pPr>
              <w:pStyle w:val="RLTextlnkuslovan"/>
              <w:numPr>
                <w:ilvl w:val="0"/>
                <w:numId w:val="0"/>
              </w:numPr>
              <w:tabs>
                <w:tab w:val="num" w:pos="1474"/>
              </w:tabs>
              <w:spacing w:before="40" w:after="40"/>
              <w:rPr>
                <w:rFonts w:cs="Calibri"/>
                <w:sz w:val="22"/>
                <w:szCs w:val="22"/>
              </w:rPr>
            </w:pPr>
            <w:r w:rsidRPr="003B0D73">
              <w:rPr>
                <w:rFonts w:cs="Calibri"/>
                <w:sz w:val="22"/>
                <w:szCs w:val="22"/>
              </w:rPr>
              <w:t>Celková cena vč. DPH</w:t>
            </w:r>
          </w:p>
        </w:tc>
        <w:tc>
          <w:tcPr>
            <w:tcW w:w="4605" w:type="dxa"/>
            <w:vAlign w:val="center"/>
          </w:tcPr>
          <w:p w14:paraId="10206C19" w14:textId="0DBC1324" w:rsidR="000D243F" w:rsidRPr="003B0D73" w:rsidRDefault="00C47041" w:rsidP="00A124AE">
            <w:pPr>
              <w:pStyle w:val="RLTextlnkuslovan"/>
              <w:numPr>
                <w:ilvl w:val="0"/>
                <w:numId w:val="0"/>
              </w:numPr>
              <w:tabs>
                <w:tab w:val="num" w:pos="1474"/>
              </w:tabs>
              <w:spacing w:before="40" w:after="40"/>
              <w:rPr>
                <w:rFonts w:cs="Calibri"/>
                <w:sz w:val="22"/>
                <w:szCs w:val="22"/>
              </w:rPr>
            </w:pPr>
            <w:r w:rsidRPr="003B0D73">
              <w:rPr>
                <w:rFonts w:cs="Calibri"/>
                <w:b/>
                <w:bCs/>
                <w:color w:val="000000"/>
              </w:rPr>
              <w:t>3</w:t>
            </w:r>
            <w:r w:rsidR="00F16662">
              <w:rPr>
                <w:rFonts w:cs="Calibri"/>
                <w:b/>
                <w:bCs/>
                <w:color w:val="000000"/>
              </w:rPr>
              <w:t> 861 446,38</w:t>
            </w:r>
            <w:r w:rsidRPr="003B0D73">
              <w:rPr>
                <w:rFonts w:cs="Calibri"/>
                <w:b/>
                <w:bCs/>
                <w:color w:val="000000"/>
              </w:rPr>
              <w:t xml:space="preserve"> Kč</w:t>
            </w:r>
          </w:p>
        </w:tc>
      </w:tr>
    </w:tbl>
    <w:p w14:paraId="1A2D5690" w14:textId="0CDCA546" w:rsidR="000D243F" w:rsidRDefault="000D243F" w:rsidP="000D243F">
      <w:pPr>
        <w:spacing w:before="120" w:after="120" w:line="240" w:lineRule="auto"/>
        <w:ind w:left="0" w:right="0" w:firstLine="0"/>
        <w:rPr>
          <w:rFonts w:asciiTheme="minorHAnsi" w:hAnsiTheme="minorHAnsi" w:cstheme="minorHAnsi"/>
        </w:rPr>
      </w:pPr>
    </w:p>
    <w:p w14:paraId="54E15F8A" w14:textId="77777777" w:rsidR="00AE67F7" w:rsidRPr="003B0D73" w:rsidRDefault="00AE67F7" w:rsidP="000D243F">
      <w:pPr>
        <w:spacing w:before="120" w:after="120" w:line="240" w:lineRule="auto"/>
        <w:ind w:left="0" w:right="0" w:firstLine="0"/>
        <w:rPr>
          <w:rFonts w:asciiTheme="minorHAnsi" w:hAnsiTheme="minorHAnsi" w:cstheme="minorHAnsi"/>
        </w:rPr>
      </w:pPr>
    </w:p>
    <w:p w14:paraId="29C2042D" w14:textId="77777777" w:rsidR="00BE325B" w:rsidRPr="003B0D73" w:rsidRDefault="00BE325B" w:rsidP="00BE325B">
      <w:pPr>
        <w:numPr>
          <w:ilvl w:val="0"/>
          <w:numId w:val="2"/>
        </w:numPr>
        <w:spacing w:before="120" w:after="120" w:line="240" w:lineRule="auto"/>
        <w:ind w:right="0" w:hanging="737"/>
        <w:rPr>
          <w:rFonts w:asciiTheme="minorHAnsi" w:hAnsiTheme="minorHAnsi" w:cstheme="minorHAnsi"/>
          <w:b/>
        </w:rPr>
      </w:pPr>
      <w:r w:rsidRPr="003B0D73">
        <w:rPr>
          <w:rFonts w:asciiTheme="minorHAnsi" w:hAnsiTheme="minorHAnsi" w:cstheme="minorHAnsi"/>
          <w:b/>
        </w:rPr>
        <w:lastRenderedPageBreak/>
        <w:t xml:space="preserve">ZÁVĚREČNÁ USTANOVENÍ </w:t>
      </w:r>
    </w:p>
    <w:p w14:paraId="1326F0EA" w14:textId="456F73A3" w:rsidR="00BE325B" w:rsidRPr="003B0D73" w:rsidRDefault="00BE325B" w:rsidP="00BE325B">
      <w:pPr>
        <w:numPr>
          <w:ilvl w:val="1"/>
          <w:numId w:val="2"/>
        </w:numPr>
        <w:spacing w:before="120" w:after="120" w:line="240" w:lineRule="auto"/>
        <w:ind w:right="0" w:hanging="737"/>
        <w:rPr>
          <w:rFonts w:asciiTheme="minorHAnsi" w:hAnsiTheme="minorHAnsi" w:cstheme="minorHAnsi"/>
        </w:rPr>
      </w:pPr>
      <w:r w:rsidRPr="003B0D73">
        <w:rPr>
          <w:rFonts w:asciiTheme="minorHAnsi" w:hAnsiTheme="minorHAnsi" w:cstheme="minorHAnsi"/>
        </w:rPr>
        <w:t xml:space="preserve">Strany prohlašují, že postupovaly v souladu se ZZVZ a rovněž se Článkem </w:t>
      </w:r>
      <w:r w:rsidR="000D243F" w:rsidRPr="003B0D73">
        <w:rPr>
          <w:rFonts w:asciiTheme="minorHAnsi" w:hAnsiTheme="minorHAnsi" w:cstheme="minorHAnsi"/>
        </w:rPr>
        <w:t>10 Smlouvy</w:t>
      </w:r>
      <w:r w:rsidRPr="003B0D73">
        <w:rPr>
          <w:rFonts w:asciiTheme="minorHAnsi" w:hAnsiTheme="minorHAnsi" w:cstheme="minorHAnsi"/>
        </w:rPr>
        <w:t xml:space="preserve">. </w:t>
      </w:r>
    </w:p>
    <w:p w14:paraId="57F50E2F" w14:textId="1D6572E9" w:rsidR="00BE325B" w:rsidRPr="003B0D73" w:rsidRDefault="00BE325B" w:rsidP="00BE325B">
      <w:pPr>
        <w:numPr>
          <w:ilvl w:val="1"/>
          <w:numId w:val="2"/>
        </w:numPr>
        <w:spacing w:before="120" w:after="120" w:line="240" w:lineRule="auto"/>
        <w:ind w:left="748" w:right="0" w:hanging="737"/>
        <w:rPr>
          <w:rFonts w:asciiTheme="minorHAnsi" w:hAnsiTheme="minorHAnsi" w:cstheme="minorHAnsi"/>
        </w:rPr>
      </w:pPr>
      <w:r w:rsidRPr="003B0D73">
        <w:rPr>
          <w:rFonts w:asciiTheme="minorHAnsi" w:hAnsiTheme="minorHAnsi" w:cstheme="minorHAnsi"/>
        </w:rPr>
        <w:t>Veškeré pojmy či definice, pokud z kontextu tohoto Dodatku neplyne něco jiného, mají stejný význam jako v</w:t>
      </w:r>
      <w:r w:rsidR="000D243F" w:rsidRPr="003B0D73">
        <w:rPr>
          <w:rFonts w:asciiTheme="minorHAnsi" w:hAnsiTheme="minorHAnsi" w:cstheme="minorHAnsi"/>
        </w:rPr>
        <w:t>e</w:t>
      </w:r>
      <w:r w:rsidRPr="003B0D73">
        <w:rPr>
          <w:rFonts w:asciiTheme="minorHAnsi" w:hAnsiTheme="minorHAnsi" w:cstheme="minorHAnsi"/>
        </w:rPr>
        <w:t xml:space="preserve"> </w:t>
      </w:r>
      <w:r w:rsidR="000D243F" w:rsidRPr="003B0D73">
        <w:rPr>
          <w:rFonts w:asciiTheme="minorHAnsi" w:hAnsiTheme="minorHAnsi" w:cstheme="minorHAnsi"/>
        </w:rPr>
        <w:t>Smlouvě</w:t>
      </w:r>
      <w:r w:rsidRPr="003B0D73">
        <w:rPr>
          <w:rFonts w:asciiTheme="minorHAnsi" w:hAnsiTheme="minorHAnsi" w:cstheme="minorHAnsi"/>
        </w:rPr>
        <w:t xml:space="preserve">.  </w:t>
      </w:r>
    </w:p>
    <w:p w14:paraId="6F2DFE5B" w14:textId="77777777" w:rsidR="00BE325B" w:rsidRPr="003B0D73" w:rsidRDefault="00BE325B" w:rsidP="00BE325B">
      <w:pPr>
        <w:numPr>
          <w:ilvl w:val="1"/>
          <w:numId w:val="2"/>
        </w:numPr>
        <w:spacing w:before="120" w:after="120" w:line="240" w:lineRule="auto"/>
        <w:ind w:right="0" w:hanging="737"/>
        <w:rPr>
          <w:rFonts w:asciiTheme="minorHAnsi" w:hAnsiTheme="minorHAnsi" w:cstheme="minorHAnsi"/>
        </w:rPr>
      </w:pPr>
      <w:r w:rsidRPr="003B0D73">
        <w:t>Tento Dodatek nabývá platnosti dnem jeho uzavření. Dnem uzavření tohoto Dodatku je den označený datem u podpisů Smluvních stran. Je-li takto označeno více dní, je dnem uzavření tohoto Dodatku den z označených dnů nejpozdější.</w:t>
      </w:r>
    </w:p>
    <w:p w14:paraId="5283EEBB" w14:textId="19E0CB72" w:rsidR="00BE325B" w:rsidRPr="003B0D73" w:rsidRDefault="00BE325B" w:rsidP="00BE325B">
      <w:pPr>
        <w:numPr>
          <w:ilvl w:val="1"/>
          <w:numId w:val="2"/>
        </w:numPr>
        <w:spacing w:before="120" w:after="120" w:line="240" w:lineRule="auto"/>
        <w:ind w:right="0" w:hanging="737"/>
        <w:rPr>
          <w:rFonts w:asciiTheme="minorHAnsi" w:hAnsiTheme="minorHAnsi" w:cstheme="minorHAnsi"/>
        </w:rPr>
      </w:pPr>
      <w:r w:rsidRPr="003B0D73">
        <w:rPr>
          <w:rFonts w:asciiTheme="minorHAnsi" w:hAnsiTheme="minorHAnsi" w:cstheme="minorHAnsi"/>
        </w:rPr>
        <w:t xml:space="preserve">Ostatní ustanovení </w:t>
      </w:r>
      <w:r w:rsidR="00C8343F" w:rsidRPr="003B0D73">
        <w:rPr>
          <w:rFonts w:asciiTheme="minorHAnsi" w:hAnsiTheme="minorHAnsi" w:cstheme="minorHAnsi"/>
        </w:rPr>
        <w:t>Smlouvy</w:t>
      </w:r>
      <w:r w:rsidRPr="003B0D73">
        <w:rPr>
          <w:rFonts w:asciiTheme="minorHAnsi" w:hAnsiTheme="minorHAnsi" w:cstheme="minorHAnsi"/>
        </w:rPr>
        <w:t xml:space="preserve"> zůstávají tímto Dodatkem nezměněná a v platnosti.  </w:t>
      </w:r>
    </w:p>
    <w:p w14:paraId="2A6A5793" w14:textId="77777777" w:rsidR="00BE325B" w:rsidRPr="003B0D73" w:rsidRDefault="00BE325B" w:rsidP="00BE325B">
      <w:pPr>
        <w:numPr>
          <w:ilvl w:val="1"/>
          <w:numId w:val="2"/>
        </w:numPr>
        <w:spacing w:before="120" w:after="120" w:line="240" w:lineRule="auto"/>
        <w:ind w:left="747" w:right="0" w:hanging="737"/>
        <w:rPr>
          <w:rFonts w:asciiTheme="minorHAnsi" w:hAnsiTheme="minorHAnsi" w:cstheme="minorHAnsi"/>
        </w:rPr>
      </w:pPr>
      <w:r w:rsidRPr="003B0D73">
        <w:rPr>
          <w:rFonts w:asciiTheme="minorHAnsi" w:hAnsiTheme="minorHAnsi" w:cstheme="minorHAnsi"/>
        </w:rPr>
        <w:t xml:space="preserve">Bude-li nebo stane-li se kterékoli ustanovení tohoto Dodatku neplatné nebo nevymahatelné, nebo pokud by některá ustanovení chyběla, nezpůsobuje to neplatnost ani nevymahatelnost ostatních ustanovení tohoto Dodatku, pokud je takové ustanovení oddělitelné od tohoto Dodatku jako celku, při zachování účelu tohoto Dodatku. Strany se zavazují bez zbytečného odkladu po zjištění nedostatků ve výše uvedeném smyslu, nahradit takové ustanovení ustanovením, které bude svým obsahem a účelem co možná nejbližší obsahu a účelu ustanovení neplatného nebo nevymahatelného. </w:t>
      </w:r>
    </w:p>
    <w:p w14:paraId="4CAE5B7F" w14:textId="77777777" w:rsidR="00BE325B" w:rsidRPr="003B0D73" w:rsidRDefault="00BE325B" w:rsidP="00BE325B">
      <w:pPr>
        <w:numPr>
          <w:ilvl w:val="1"/>
          <w:numId w:val="2"/>
        </w:numPr>
        <w:spacing w:before="120" w:after="120" w:line="240" w:lineRule="auto"/>
        <w:ind w:right="0" w:hanging="737"/>
        <w:rPr>
          <w:rFonts w:asciiTheme="minorHAnsi" w:hAnsiTheme="minorHAnsi" w:cstheme="minorHAnsi"/>
        </w:rPr>
      </w:pPr>
      <w:r w:rsidRPr="003B0D73">
        <w:rPr>
          <w:rFonts w:asciiTheme="minorHAnsi" w:hAnsiTheme="minorHAnsi" w:cstheme="minorHAnsi"/>
        </w:rPr>
        <w:t xml:space="preserve">Strany berou na vědomí, že tento Dodatek podléhá povinnosti jeho uveřejnění prostřednictvím registru smluv v souladu se zákonem č. 340/2015 Sb., o zvláštních podmínkách účinnosti některých smluv, uveřejňování těchto smluv a o registru smluv (zákon o registru smluv), ve znění pozdějších předpisů. Strany berou dále na vědomí, že tento Dodatek nabývá účinnosti nejdříve dnem jeho uveřejnění prostřednictvím registru smluv. THMP zašle tento Dodatek správci registru smluv k uveřejnění bez zbytečného odkladu, nejpozději však do třiceti (30) dnů od jeho uzavření. Nebude-li tento Dodatek zaslán k uveřejnění a/nebo uveřejněn prostřednictvím registru smluv, není žádná ze Stran oprávněna požadovat po druhé Straně náhradu škody ani jiné újmy, která by jí v této souvislosti vznikla nebo vzniknout mohla.  </w:t>
      </w:r>
    </w:p>
    <w:p w14:paraId="57F900B6" w14:textId="77777777" w:rsidR="00BE325B" w:rsidRPr="003B0D73" w:rsidRDefault="00BE325B" w:rsidP="00BE325B">
      <w:pPr>
        <w:numPr>
          <w:ilvl w:val="1"/>
          <w:numId w:val="2"/>
        </w:numPr>
        <w:spacing w:before="120" w:after="120" w:line="240" w:lineRule="auto"/>
        <w:ind w:right="0" w:hanging="737"/>
        <w:rPr>
          <w:rFonts w:asciiTheme="minorHAnsi" w:hAnsiTheme="minorHAnsi" w:cstheme="minorHAnsi"/>
        </w:rPr>
      </w:pPr>
      <w:r w:rsidRPr="003B0D73">
        <w:rPr>
          <w:rFonts w:asciiTheme="minorHAnsi" w:hAnsiTheme="minorHAnsi" w:cstheme="minorHAnsi"/>
        </w:rPr>
        <w:t xml:space="preserve">Strany prohlašují, že skutečnosti uvedené v tomto Dodatku nepovažují za obchodní tajemství ve smyslu § 504 Občanského zákoníku a udělují svolení k jejich užití a zveřejnění, s výjimkou osobních údajů. </w:t>
      </w:r>
    </w:p>
    <w:p w14:paraId="069D1D56" w14:textId="5B4DCA32" w:rsidR="00BE325B" w:rsidRPr="003B0D73" w:rsidRDefault="00BE325B" w:rsidP="00BE325B">
      <w:pPr>
        <w:numPr>
          <w:ilvl w:val="1"/>
          <w:numId w:val="2"/>
        </w:numPr>
        <w:spacing w:before="120" w:after="120" w:line="240" w:lineRule="auto"/>
        <w:ind w:right="0" w:hanging="737"/>
        <w:rPr>
          <w:rFonts w:asciiTheme="minorHAnsi" w:hAnsiTheme="minorHAnsi" w:cstheme="minorHAnsi"/>
        </w:rPr>
      </w:pPr>
      <w:r w:rsidRPr="003B0D73">
        <w:rPr>
          <w:rFonts w:asciiTheme="minorHAnsi" w:hAnsiTheme="minorHAnsi" w:cstheme="minorHAnsi"/>
        </w:rPr>
        <w:t xml:space="preserve">Tento Dodatek je vyhotoven ve </w:t>
      </w:r>
      <w:r w:rsidR="00C8343F" w:rsidRPr="003B0D73">
        <w:rPr>
          <w:rFonts w:asciiTheme="minorHAnsi" w:hAnsiTheme="minorHAnsi" w:cstheme="minorHAnsi"/>
        </w:rPr>
        <w:t>dvou</w:t>
      </w:r>
      <w:r w:rsidRPr="003B0D73">
        <w:rPr>
          <w:rFonts w:asciiTheme="minorHAnsi" w:hAnsiTheme="minorHAnsi" w:cstheme="minorHAnsi"/>
        </w:rPr>
        <w:t xml:space="preserve"> (</w:t>
      </w:r>
      <w:r w:rsidR="00C8343F" w:rsidRPr="003B0D73">
        <w:rPr>
          <w:rFonts w:asciiTheme="minorHAnsi" w:hAnsiTheme="minorHAnsi" w:cstheme="minorHAnsi"/>
        </w:rPr>
        <w:t>2</w:t>
      </w:r>
      <w:r w:rsidRPr="003B0D73">
        <w:rPr>
          <w:rFonts w:asciiTheme="minorHAnsi" w:hAnsiTheme="minorHAnsi" w:cstheme="minorHAnsi"/>
        </w:rPr>
        <w:t xml:space="preserve">) stejnopisech, z nichž </w:t>
      </w:r>
      <w:r w:rsidR="00C8343F" w:rsidRPr="003B0D73">
        <w:rPr>
          <w:rFonts w:asciiTheme="minorHAnsi" w:hAnsiTheme="minorHAnsi" w:cstheme="minorHAnsi"/>
        </w:rPr>
        <w:t>Kupující</w:t>
      </w:r>
      <w:r w:rsidRPr="003B0D73">
        <w:rPr>
          <w:rFonts w:asciiTheme="minorHAnsi" w:hAnsiTheme="minorHAnsi" w:cstheme="minorHAnsi"/>
        </w:rPr>
        <w:t xml:space="preserve"> obdrží </w:t>
      </w:r>
      <w:r w:rsidR="00C8343F" w:rsidRPr="003B0D73">
        <w:rPr>
          <w:rFonts w:asciiTheme="minorHAnsi" w:hAnsiTheme="minorHAnsi" w:cstheme="minorHAnsi"/>
        </w:rPr>
        <w:t>jedno</w:t>
      </w:r>
      <w:r w:rsidRPr="003B0D73">
        <w:rPr>
          <w:rFonts w:asciiTheme="minorHAnsi" w:hAnsiTheme="minorHAnsi" w:cstheme="minorHAnsi"/>
        </w:rPr>
        <w:t xml:space="preserve"> (</w:t>
      </w:r>
      <w:r w:rsidR="00C8343F" w:rsidRPr="003B0D73">
        <w:rPr>
          <w:rFonts w:asciiTheme="minorHAnsi" w:hAnsiTheme="minorHAnsi" w:cstheme="minorHAnsi"/>
        </w:rPr>
        <w:t>1</w:t>
      </w:r>
      <w:r w:rsidRPr="003B0D73">
        <w:rPr>
          <w:rFonts w:asciiTheme="minorHAnsi" w:hAnsiTheme="minorHAnsi" w:cstheme="minorHAnsi"/>
        </w:rPr>
        <w:t xml:space="preserve">) vyhotovení a </w:t>
      </w:r>
      <w:r w:rsidR="00C8343F" w:rsidRPr="003B0D73">
        <w:rPr>
          <w:rFonts w:asciiTheme="minorHAnsi" w:hAnsiTheme="minorHAnsi" w:cstheme="minorHAnsi"/>
        </w:rPr>
        <w:t>Prodávající</w:t>
      </w:r>
      <w:r w:rsidRPr="003B0D73">
        <w:rPr>
          <w:rFonts w:asciiTheme="minorHAnsi" w:hAnsiTheme="minorHAnsi" w:cstheme="minorHAnsi"/>
        </w:rPr>
        <w:t xml:space="preserve"> obdrží jedno (1) vyhotovení. Pokud bude tento Dodatek uzavřen v elektronické podobě, bude vyhotoven v jednom (1) stejnopise, na němž budou uvedeny podpisy zástupců Stran v elektronické podobě. </w:t>
      </w:r>
    </w:p>
    <w:p w14:paraId="547B3034" w14:textId="77777777" w:rsidR="00BE325B" w:rsidRPr="003B0D73" w:rsidRDefault="00BE325B" w:rsidP="00BE325B">
      <w:pPr>
        <w:numPr>
          <w:ilvl w:val="1"/>
          <w:numId w:val="2"/>
        </w:numPr>
        <w:spacing w:before="120" w:after="120" w:line="240" w:lineRule="auto"/>
        <w:ind w:right="0" w:hanging="737"/>
        <w:rPr>
          <w:rFonts w:asciiTheme="minorHAnsi" w:hAnsiTheme="minorHAnsi" w:cstheme="minorHAnsi"/>
        </w:rPr>
      </w:pPr>
      <w:r w:rsidRPr="003B0D73">
        <w:rPr>
          <w:rFonts w:asciiTheme="minorHAnsi" w:hAnsiTheme="minorHAnsi" w:cstheme="minorHAnsi"/>
        </w:rPr>
        <w:t xml:space="preserve">Strany prohlašují, že si celý tento Dodatek důkladně a řádně přečetly, jeho obsahu zcela porozuměly, je jim bez pochybností srozumitelný a určitý, že jim nejsou v den uzavření tohoto Dodatku známy žádné důvody, pro které by tento Dodatek nemohl být řádně plněn nebo které by způsobovaly neplatnost tohoto Dodatku, a že jeho obsah je projevem jejich pravé, svobodné a vážné vůle prosté omylu, na důkaz čehož připojují zástupci obou Stran své podpisy. </w:t>
      </w:r>
    </w:p>
    <w:p w14:paraId="14F50B11" w14:textId="77777777" w:rsidR="00BE325B" w:rsidRPr="003B0D73" w:rsidRDefault="00BE325B" w:rsidP="00BE325B">
      <w:pPr>
        <w:spacing w:before="120" w:after="120" w:line="240" w:lineRule="auto"/>
        <w:ind w:left="29" w:right="0" w:firstLine="0"/>
        <w:rPr>
          <w:rFonts w:asciiTheme="minorHAnsi" w:hAnsiTheme="minorHAnsi" w:cstheme="minorHAnsi"/>
        </w:rPr>
      </w:pPr>
    </w:p>
    <w:p w14:paraId="17B64C4B" w14:textId="198D646E" w:rsidR="00BE325B" w:rsidRPr="003B0D73" w:rsidRDefault="00426928" w:rsidP="00BE325B">
      <w:pPr>
        <w:spacing w:before="120" w:after="120" w:line="240" w:lineRule="auto"/>
        <w:ind w:left="0" w:right="0" w:firstLine="0"/>
        <w:rPr>
          <w:rFonts w:asciiTheme="minorHAnsi" w:hAnsiTheme="minorHAnsi" w:cstheme="minorHAnsi"/>
          <w:b/>
        </w:rPr>
      </w:pPr>
      <w:r>
        <w:rPr>
          <w:rFonts w:asciiTheme="minorHAnsi" w:hAnsiTheme="minorHAnsi" w:cstheme="minorHAnsi"/>
          <w:b/>
        </w:rPr>
        <w:t xml:space="preserve">Za </w:t>
      </w:r>
      <w:r w:rsidR="00852B6A" w:rsidRPr="003B0D73">
        <w:rPr>
          <w:rFonts w:asciiTheme="minorHAnsi" w:hAnsiTheme="minorHAnsi" w:cstheme="minorHAnsi"/>
          <w:b/>
        </w:rPr>
        <w:t>Kupující</w:t>
      </w:r>
      <w:r>
        <w:rPr>
          <w:rFonts w:asciiTheme="minorHAnsi" w:hAnsiTheme="minorHAnsi" w:cstheme="minorHAnsi"/>
          <w:b/>
        </w:rPr>
        <w:t>ho</w:t>
      </w:r>
      <w:r w:rsidR="00852B6A" w:rsidRPr="003B0D73">
        <w:rPr>
          <w:rFonts w:asciiTheme="minorHAnsi" w:hAnsiTheme="minorHAnsi" w:cstheme="minorHAnsi"/>
          <w:b/>
        </w:rPr>
        <w:t xml:space="preserve">: </w:t>
      </w:r>
      <w:r w:rsidR="00852B6A" w:rsidRPr="003B0D73">
        <w:rPr>
          <w:rFonts w:asciiTheme="minorHAnsi" w:hAnsiTheme="minorHAnsi" w:cstheme="minorHAnsi"/>
          <w:b/>
        </w:rPr>
        <w:tab/>
      </w:r>
      <w:r w:rsidR="00BE325B" w:rsidRPr="003B0D73">
        <w:rPr>
          <w:rFonts w:asciiTheme="minorHAnsi" w:hAnsiTheme="minorHAnsi" w:cstheme="minorHAnsi"/>
          <w:b/>
        </w:rPr>
        <w:tab/>
      </w:r>
      <w:r w:rsidR="00BE325B" w:rsidRPr="003B0D73">
        <w:rPr>
          <w:rFonts w:asciiTheme="minorHAnsi" w:hAnsiTheme="minorHAnsi" w:cstheme="minorHAnsi"/>
          <w:b/>
        </w:rPr>
        <w:tab/>
      </w:r>
      <w:r w:rsidR="00BE325B" w:rsidRPr="003B0D73">
        <w:rPr>
          <w:rFonts w:asciiTheme="minorHAnsi" w:hAnsiTheme="minorHAnsi" w:cstheme="minorHAnsi"/>
          <w:b/>
        </w:rPr>
        <w:tab/>
      </w:r>
      <w:r w:rsidR="00BE325B" w:rsidRPr="003B0D73">
        <w:rPr>
          <w:rFonts w:asciiTheme="minorHAnsi" w:hAnsiTheme="minorHAnsi" w:cstheme="minorHAnsi"/>
          <w:b/>
        </w:rPr>
        <w:tab/>
      </w:r>
      <w:r w:rsidR="00BE325B" w:rsidRPr="003B0D73">
        <w:rPr>
          <w:rFonts w:asciiTheme="minorHAnsi" w:hAnsiTheme="minorHAnsi" w:cstheme="minorHAnsi"/>
          <w:b/>
        </w:rPr>
        <w:tab/>
      </w:r>
      <w:r>
        <w:rPr>
          <w:rFonts w:asciiTheme="minorHAnsi" w:hAnsiTheme="minorHAnsi" w:cstheme="minorHAnsi"/>
          <w:b/>
        </w:rPr>
        <w:t xml:space="preserve">Za </w:t>
      </w:r>
      <w:r w:rsidR="00C8343F" w:rsidRPr="003B0D73">
        <w:rPr>
          <w:rFonts w:asciiTheme="minorHAnsi" w:hAnsiTheme="minorHAnsi" w:cstheme="minorHAnsi"/>
          <w:b/>
        </w:rPr>
        <w:t>Prodávajíc</w:t>
      </w:r>
      <w:r w:rsidR="00852B6A">
        <w:rPr>
          <w:rFonts w:asciiTheme="minorHAnsi" w:hAnsiTheme="minorHAnsi" w:cstheme="minorHAnsi"/>
          <w:b/>
        </w:rPr>
        <w:t>í</w:t>
      </w:r>
      <w:r>
        <w:rPr>
          <w:rFonts w:asciiTheme="minorHAnsi" w:hAnsiTheme="minorHAnsi" w:cstheme="minorHAnsi"/>
          <w:b/>
        </w:rPr>
        <w:t>ho</w:t>
      </w:r>
      <w:r w:rsidR="00BE325B" w:rsidRPr="003B0D73">
        <w:rPr>
          <w:rFonts w:asciiTheme="minorHAnsi" w:hAnsiTheme="minorHAnsi" w:cstheme="minorHAnsi"/>
          <w:b/>
        </w:rPr>
        <w:t xml:space="preserve">: </w:t>
      </w:r>
    </w:p>
    <w:p w14:paraId="479986CD" w14:textId="6D832E45" w:rsidR="00BE325B" w:rsidRPr="003B0D73" w:rsidRDefault="00BE325B" w:rsidP="00BE325B">
      <w:pPr>
        <w:spacing w:before="120" w:after="120" w:line="240" w:lineRule="auto"/>
        <w:ind w:left="0" w:right="0" w:firstLine="0"/>
        <w:rPr>
          <w:rFonts w:asciiTheme="minorHAnsi" w:hAnsiTheme="minorHAnsi" w:cstheme="minorHAnsi"/>
        </w:rPr>
      </w:pPr>
      <w:r w:rsidRPr="003B0D73">
        <w:rPr>
          <w:rFonts w:asciiTheme="minorHAnsi" w:hAnsiTheme="minorHAnsi" w:cstheme="minorHAnsi"/>
        </w:rPr>
        <w:t xml:space="preserve">V Praze </w:t>
      </w:r>
      <w:r w:rsidR="00426928">
        <w:rPr>
          <w:rFonts w:asciiTheme="minorHAnsi" w:hAnsiTheme="minorHAnsi" w:cstheme="minorHAnsi"/>
        </w:rPr>
        <w:t>dne</w:t>
      </w:r>
      <w:r w:rsidRPr="003B0D73">
        <w:rPr>
          <w:rFonts w:asciiTheme="minorHAnsi" w:hAnsiTheme="minorHAnsi" w:cstheme="minorHAnsi"/>
        </w:rPr>
        <w:tab/>
      </w:r>
      <w:r w:rsidRPr="003B0D73">
        <w:rPr>
          <w:rFonts w:asciiTheme="minorHAnsi" w:hAnsiTheme="minorHAnsi" w:cstheme="minorHAnsi"/>
        </w:rPr>
        <w:tab/>
      </w:r>
      <w:r w:rsidRPr="003B0D73">
        <w:rPr>
          <w:rFonts w:asciiTheme="minorHAnsi" w:hAnsiTheme="minorHAnsi" w:cstheme="minorHAnsi"/>
        </w:rPr>
        <w:tab/>
      </w:r>
      <w:r w:rsidR="00426928">
        <w:rPr>
          <w:rFonts w:asciiTheme="minorHAnsi" w:hAnsiTheme="minorHAnsi" w:cstheme="minorHAnsi"/>
        </w:rPr>
        <w:tab/>
      </w:r>
      <w:r w:rsidR="00426928">
        <w:rPr>
          <w:rFonts w:asciiTheme="minorHAnsi" w:hAnsiTheme="minorHAnsi" w:cstheme="minorHAnsi"/>
        </w:rPr>
        <w:tab/>
      </w:r>
      <w:r w:rsidR="00426928">
        <w:rPr>
          <w:rFonts w:asciiTheme="minorHAnsi" w:hAnsiTheme="minorHAnsi" w:cstheme="minorHAnsi"/>
        </w:rPr>
        <w:tab/>
      </w:r>
      <w:r w:rsidRPr="003B0D73">
        <w:rPr>
          <w:rFonts w:asciiTheme="minorHAnsi" w:hAnsiTheme="minorHAnsi" w:cstheme="minorHAnsi"/>
        </w:rPr>
        <w:t xml:space="preserve">V </w:t>
      </w:r>
      <w:r w:rsidR="00D96DA3" w:rsidRPr="003B0D73">
        <w:rPr>
          <w:rFonts w:asciiTheme="minorHAnsi" w:hAnsiTheme="minorHAnsi" w:cstheme="minorHAnsi"/>
        </w:rPr>
        <w:t>Praze</w:t>
      </w:r>
      <w:r w:rsidRPr="003B0D73">
        <w:rPr>
          <w:rFonts w:asciiTheme="minorHAnsi" w:hAnsiTheme="minorHAnsi" w:cstheme="minorHAnsi"/>
        </w:rPr>
        <w:t xml:space="preserve"> </w:t>
      </w:r>
    </w:p>
    <w:p w14:paraId="67D55118" w14:textId="77777777" w:rsidR="00BE325B" w:rsidRPr="003B0D73" w:rsidRDefault="00BE325B" w:rsidP="00BE325B">
      <w:pPr>
        <w:spacing w:before="120" w:after="120" w:line="240" w:lineRule="auto"/>
        <w:ind w:left="137" w:right="0" w:firstLine="0"/>
        <w:rPr>
          <w:rFonts w:asciiTheme="minorHAnsi" w:hAnsiTheme="minorHAnsi" w:cstheme="minorHAnsi"/>
        </w:rPr>
      </w:pPr>
    </w:p>
    <w:p w14:paraId="7D94F1C3" w14:textId="77777777" w:rsidR="00BE325B" w:rsidRPr="003B0D73" w:rsidRDefault="00BE325B" w:rsidP="00BE325B">
      <w:pPr>
        <w:spacing w:before="120" w:after="120" w:line="240" w:lineRule="auto"/>
        <w:ind w:left="137" w:right="0" w:firstLine="0"/>
        <w:rPr>
          <w:rFonts w:asciiTheme="minorHAnsi" w:hAnsiTheme="minorHAnsi" w:cstheme="minorHAnsi"/>
        </w:rPr>
      </w:pPr>
    </w:p>
    <w:tbl>
      <w:tblPr>
        <w:tblW w:w="0" w:type="auto"/>
        <w:jc w:val="center"/>
        <w:tblLook w:val="01E0" w:firstRow="1" w:lastRow="1" w:firstColumn="1" w:lastColumn="1" w:noHBand="0" w:noVBand="0"/>
      </w:tblPr>
      <w:tblGrid>
        <w:gridCol w:w="4530"/>
        <w:gridCol w:w="4530"/>
      </w:tblGrid>
      <w:tr w:rsidR="00852B6A" w14:paraId="1E929295" w14:textId="77777777" w:rsidTr="00852B6A">
        <w:trPr>
          <w:jc w:val="center"/>
        </w:trPr>
        <w:tc>
          <w:tcPr>
            <w:tcW w:w="4530" w:type="dxa"/>
            <w:hideMark/>
          </w:tcPr>
          <w:p w14:paraId="7DFA6664" w14:textId="77777777" w:rsidR="002E44FD" w:rsidRDefault="00852B6A" w:rsidP="002E44FD">
            <w:pPr>
              <w:spacing w:after="0"/>
              <w:jc w:val="center"/>
              <w:rPr>
                <w:lang w:eastAsia="en-US"/>
              </w:rPr>
            </w:pPr>
            <w:r>
              <w:rPr>
                <w:lang w:eastAsia="en-US"/>
              </w:rPr>
              <w:t>....................................................</w:t>
            </w:r>
          </w:p>
          <w:p w14:paraId="518340D1" w14:textId="5F23DDA2" w:rsidR="00852B6A" w:rsidRPr="002E44FD" w:rsidRDefault="00852B6A" w:rsidP="002E44FD">
            <w:pPr>
              <w:spacing w:after="0"/>
              <w:ind w:hanging="1986"/>
              <w:jc w:val="center"/>
              <w:rPr>
                <w:lang w:eastAsia="en-US"/>
              </w:rPr>
            </w:pPr>
            <w:r w:rsidRPr="002E44FD">
              <w:rPr>
                <w:bCs/>
                <w:lang w:eastAsia="en-US"/>
              </w:rPr>
              <w:t>Tomáš Jílek</w:t>
            </w:r>
          </w:p>
          <w:p w14:paraId="335A6EB0" w14:textId="3D82ABD2" w:rsidR="00852B6A" w:rsidRDefault="00852B6A" w:rsidP="002E44FD">
            <w:pPr>
              <w:spacing w:after="0"/>
              <w:ind w:left="462" w:hanging="283"/>
              <w:jc w:val="center"/>
              <w:rPr>
                <w:b/>
                <w:lang w:eastAsia="en-US"/>
              </w:rPr>
            </w:pPr>
            <w:r>
              <w:rPr>
                <w:b/>
                <w:lang w:eastAsia="en-US"/>
              </w:rPr>
              <w:t>předseda představenstva</w:t>
            </w:r>
          </w:p>
          <w:p w14:paraId="2F552AD5" w14:textId="13CBE65C" w:rsidR="00852B6A" w:rsidRDefault="00C90FAC" w:rsidP="002E44FD">
            <w:pPr>
              <w:pStyle w:val="RLdajeosmluvnstran"/>
              <w:spacing w:after="0"/>
              <w:ind w:left="604"/>
            </w:pPr>
            <w:r>
              <w:t xml:space="preserve">   </w:t>
            </w:r>
            <w:r w:rsidR="00852B6A">
              <w:t>Technologie hlavního města Prahy, a.s.</w:t>
            </w:r>
          </w:p>
        </w:tc>
        <w:tc>
          <w:tcPr>
            <w:tcW w:w="4530" w:type="dxa"/>
          </w:tcPr>
          <w:p w14:paraId="7158FF7F" w14:textId="3237957B" w:rsidR="00852B6A" w:rsidRDefault="00852B6A">
            <w:pPr>
              <w:spacing w:after="0"/>
              <w:jc w:val="center"/>
              <w:rPr>
                <w:lang w:eastAsia="en-US"/>
              </w:rPr>
            </w:pPr>
            <w:r>
              <w:rPr>
                <w:lang w:eastAsia="en-US"/>
              </w:rPr>
              <w:t>....................................................</w:t>
            </w:r>
          </w:p>
          <w:p w14:paraId="027D5E2D" w14:textId="77777777" w:rsidR="00852B6A" w:rsidRDefault="00852B6A" w:rsidP="00426928">
            <w:pPr>
              <w:spacing w:after="0"/>
              <w:jc w:val="center"/>
              <w:rPr>
                <w:lang w:eastAsia="en-US"/>
              </w:rPr>
            </w:pPr>
          </w:p>
        </w:tc>
      </w:tr>
      <w:tr w:rsidR="00852B6A" w14:paraId="3104B521" w14:textId="77777777" w:rsidTr="00852B6A">
        <w:trPr>
          <w:jc w:val="center"/>
        </w:trPr>
        <w:tc>
          <w:tcPr>
            <w:tcW w:w="4530" w:type="dxa"/>
          </w:tcPr>
          <w:p w14:paraId="780E1460" w14:textId="77777777" w:rsidR="00852B6A" w:rsidRDefault="00852B6A">
            <w:pPr>
              <w:spacing w:after="0"/>
              <w:jc w:val="center"/>
              <w:rPr>
                <w:lang w:eastAsia="en-US"/>
              </w:rPr>
            </w:pPr>
          </w:p>
          <w:p w14:paraId="4F30AB33" w14:textId="77777777" w:rsidR="00852B6A" w:rsidRDefault="00852B6A">
            <w:pPr>
              <w:spacing w:after="0"/>
              <w:jc w:val="center"/>
              <w:rPr>
                <w:lang w:eastAsia="en-US"/>
              </w:rPr>
            </w:pPr>
          </w:p>
          <w:p w14:paraId="192494FA" w14:textId="77777777" w:rsidR="00852B6A" w:rsidRDefault="00852B6A">
            <w:pPr>
              <w:spacing w:after="0"/>
              <w:jc w:val="center"/>
              <w:rPr>
                <w:lang w:eastAsia="en-US"/>
              </w:rPr>
            </w:pPr>
          </w:p>
          <w:p w14:paraId="2B73FF4E" w14:textId="77777777" w:rsidR="00852B6A" w:rsidRDefault="00852B6A">
            <w:pPr>
              <w:spacing w:after="0"/>
              <w:jc w:val="center"/>
              <w:rPr>
                <w:lang w:eastAsia="en-US"/>
              </w:rPr>
            </w:pPr>
          </w:p>
          <w:p w14:paraId="1C162DED" w14:textId="77777777" w:rsidR="00852B6A" w:rsidRDefault="00852B6A">
            <w:pPr>
              <w:spacing w:after="0"/>
              <w:jc w:val="center"/>
              <w:rPr>
                <w:lang w:eastAsia="en-US"/>
              </w:rPr>
            </w:pPr>
          </w:p>
          <w:p w14:paraId="19ECA7BB" w14:textId="77777777" w:rsidR="00852B6A" w:rsidRDefault="00852B6A">
            <w:pPr>
              <w:spacing w:after="0"/>
              <w:jc w:val="center"/>
              <w:rPr>
                <w:lang w:eastAsia="en-US"/>
              </w:rPr>
            </w:pPr>
          </w:p>
          <w:p w14:paraId="26EB611D" w14:textId="77777777" w:rsidR="00852B6A" w:rsidRDefault="00852B6A">
            <w:pPr>
              <w:spacing w:after="0"/>
              <w:rPr>
                <w:lang w:eastAsia="en-US"/>
              </w:rPr>
            </w:pPr>
          </w:p>
        </w:tc>
        <w:tc>
          <w:tcPr>
            <w:tcW w:w="4530" w:type="dxa"/>
          </w:tcPr>
          <w:p w14:paraId="2EF96782" w14:textId="77777777" w:rsidR="00852B6A" w:rsidRDefault="00852B6A">
            <w:pPr>
              <w:spacing w:after="0"/>
              <w:jc w:val="center"/>
              <w:rPr>
                <w:lang w:eastAsia="en-US"/>
              </w:rPr>
            </w:pPr>
          </w:p>
        </w:tc>
      </w:tr>
      <w:tr w:rsidR="00852B6A" w14:paraId="2C4245B2" w14:textId="77777777" w:rsidTr="00852B6A">
        <w:trPr>
          <w:jc w:val="center"/>
        </w:trPr>
        <w:tc>
          <w:tcPr>
            <w:tcW w:w="4530" w:type="dxa"/>
            <w:hideMark/>
          </w:tcPr>
          <w:p w14:paraId="4C36E28C" w14:textId="77777777" w:rsidR="002E44FD" w:rsidRDefault="00852B6A">
            <w:pPr>
              <w:spacing w:after="0"/>
              <w:jc w:val="center"/>
              <w:rPr>
                <w:lang w:eastAsia="en-US"/>
              </w:rPr>
            </w:pPr>
            <w:r>
              <w:rPr>
                <w:lang w:eastAsia="en-US"/>
              </w:rPr>
              <w:t>................................................</w:t>
            </w:r>
          </w:p>
          <w:p w14:paraId="11E28330" w14:textId="52E23C79" w:rsidR="00852B6A" w:rsidRPr="002E44FD" w:rsidRDefault="00852B6A" w:rsidP="002E44FD">
            <w:pPr>
              <w:spacing w:after="0"/>
              <w:ind w:hanging="1419"/>
              <w:jc w:val="center"/>
              <w:rPr>
                <w:bCs/>
                <w:lang w:eastAsia="en-US"/>
              </w:rPr>
            </w:pPr>
            <w:r w:rsidRPr="002E44FD">
              <w:rPr>
                <w:bCs/>
                <w:lang w:eastAsia="en-US"/>
              </w:rPr>
              <w:t>Tomáš Novotný</w:t>
            </w:r>
          </w:p>
          <w:p w14:paraId="39CF8654" w14:textId="34C4139B" w:rsidR="00852B6A" w:rsidRDefault="00852B6A">
            <w:pPr>
              <w:spacing w:after="0"/>
              <w:jc w:val="center"/>
              <w:rPr>
                <w:b/>
                <w:lang w:eastAsia="en-US"/>
              </w:rPr>
            </w:pPr>
            <w:r>
              <w:rPr>
                <w:b/>
                <w:lang w:eastAsia="en-US"/>
              </w:rPr>
              <w:t>místopředseda představenstva</w:t>
            </w:r>
          </w:p>
          <w:p w14:paraId="69611FB3" w14:textId="4F303D01" w:rsidR="00852B6A" w:rsidRDefault="00852B6A" w:rsidP="00C90FAC">
            <w:pPr>
              <w:spacing w:after="0"/>
              <w:ind w:right="-107"/>
              <w:jc w:val="center"/>
              <w:rPr>
                <w:lang w:eastAsia="en-US"/>
              </w:rPr>
            </w:pPr>
            <w:r>
              <w:rPr>
                <w:lang w:eastAsia="en-US"/>
              </w:rPr>
              <w:t>Technologie hlavního města Prahy, a.s.</w:t>
            </w:r>
          </w:p>
        </w:tc>
        <w:tc>
          <w:tcPr>
            <w:tcW w:w="4530" w:type="dxa"/>
          </w:tcPr>
          <w:p w14:paraId="12A05750" w14:textId="77777777" w:rsidR="00852B6A" w:rsidRDefault="00852B6A" w:rsidP="00426928">
            <w:pPr>
              <w:spacing w:after="0"/>
              <w:jc w:val="center"/>
              <w:rPr>
                <w:lang w:eastAsia="en-US"/>
              </w:rPr>
            </w:pPr>
          </w:p>
        </w:tc>
      </w:tr>
    </w:tbl>
    <w:p w14:paraId="02150FBD" w14:textId="77777777" w:rsidR="009D6066" w:rsidRDefault="009D6066" w:rsidP="00852B6A">
      <w:pPr>
        <w:spacing w:before="120" w:after="120" w:line="240" w:lineRule="auto"/>
        <w:ind w:left="0" w:right="0" w:firstLine="0"/>
      </w:pPr>
    </w:p>
    <w:sectPr w:rsidR="009D6066" w:rsidSect="006F79C9">
      <w:footerReference w:type="default" r:id="rId7"/>
      <w:footnotePr>
        <w:numRestart w:val="eachPage"/>
      </w:footnotePr>
      <w:pgSz w:w="11906" w:h="16838"/>
      <w:pgMar w:top="1361" w:right="1361" w:bottom="1361" w:left="136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2F7B2" w14:textId="77777777" w:rsidR="006F79C9" w:rsidRDefault="006F79C9">
      <w:pPr>
        <w:spacing w:after="0" w:line="240" w:lineRule="auto"/>
      </w:pPr>
      <w:r>
        <w:separator/>
      </w:r>
    </w:p>
  </w:endnote>
  <w:endnote w:type="continuationSeparator" w:id="0">
    <w:p w14:paraId="2542AA8D" w14:textId="77777777" w:rsidR="006F79C9" w:rsidRDefault="006F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63F6" w14:textId="77777777" w:rsidR="00130EFB" w:rsidRPr="00575BC9" w:rsidRDefault="002E44FD" w:rsidP="00D2022F">
    <w:pPr>
      <w:pStyle w:val="Zpat"/>
      <w:jc w:val="center"/>
      <w:rPr>
        <w:rFonts w:ascii="Times New Roman" w:hAnsi="Times New Roman" w:cs="Times New Roman"/>
        <w:sz w:val="18"/>
        <w:szCs w:val="18"/>
      </w:rPr>
    </w:pPr>
    <w:sdt>
      <w:sdtPr>
        <w:rPr>
          <w:rFonts w:ascii="Times New Roman" w:hAnsi="Times New Roman" w:cs="Times New Roman"/>
          <w:sz w:val="18"/>
          <w:szCs w:val="18"/>
        </w:rPr>
        <w:id w:val="-1335138757"/>
        <w:docPartObj>
          <w:docPartGallery w:val="Page Numbers (Bottom of Page)"/>
          <w:docPartUnique/>
        </w:docPartObj>
      </w:sdtPr>
      <w:sdtEndPr/>
      <w:sdtContent>
        <w:r w:rsidR="0094158B" w:rsidRPr="00575BC9">
          <w:rPr>
            <w:rFonts w:ascii="Times New Roman" w:hAnsi="Times New Roman" w:cs="Times New Roman"/>
            <w:sz w:val="18"/>
            <w:szCs w:val="18"/>
          </w:rPr>
          <w:t>-</w:t>
        </w:r>
        <w:r w:rsidR="0094158B" w:rsidRPr="00575BC9">
          <w:rPr>
            <w:rFonts w:ascii="Times New Roman" w:hAnsi="Times New Roman" w:cs="Times New Roman"/>
            <w:sz w:val="18"/>
            <w:szCs w:val="18"/>
          </w:rPr>
          <w:fldChar w:fldCharType="begin"/>
        </w:r>
        <w:r w:rsidR="0094158B" w:rsidRPr="00575BC9">
          <w:rPr>
            <w:rFonts w:ascii="Times New Roman" w:hAnsi="Times New Roman" w:cs="Times New Roman"/>
            <w:sz w:val="18"/>
            <w:szCs w:val="18"/>
          </w:rPr>
          <w:instrText>PAGE   \* MERGEFORMAT</w:instrText>
        </w:r>
        <w:r w:rsidR="0094158B" w:rsidRPr="00575BC9">
          <w:rPr>
            <w:rFonts w:ascii="Times New Roman" w:hAnsi="Times New Roman" w:cs="Times New Roman"/>
            <w:sz w:val="18"/>
            <w:szCs w:val="18"/>
          </w:rPr>
          <w:fldChar w:fldCharType="separate"/>
        </w:r>
        <w:r w:rsidR="0094158B">
          <w:rPr>
            <w:rFonts w:ascii="Times New Roman" w:hAnsi="Times New Roman" w:cs="Times New Roman"/>
            <w:noProof/>
            <w:sz w:val="18"/>
            <w:szCs w:val="18"/>
          </w:rPr>
          <w:t>3</w:t>
        </w:r>
        <w:r w:rsidR="0094158B" w:rsidRPr="00575BC9">
          <w:rPr>
            <w:rFonts w:ascii="Times New Roman" w:hAnsi="Times New Roman" w:cs="Times New Roman"/>
            <w:sz w:val="18"/>
            <w:szCs w:val="18"/>
          </w:rPr>
          <w:fldChar w:fldCharType="end"/>
        </w:r>
        <w:r w:rsidR="0094158B" w:rsidRPr="00575BC9">
          <w:rPr>
            <w:rFonts w:ascii="Times New Roman" w:hAnsi="Times New Roman" w:cs="Times New Roman"/>
            <w:sz w:val="18"/>
            <w:szCs w:val="18"/>
          </w:rPr>
          <w:t>/3</w:t>
        </w:r>
      </w:sdtContent>
    </w:sdt>
    <w:r w:rsidR="0094158B" w:rsidRPr="00575BC9">
      <w:rPr>
        <w:rFonts w:ascii="Times New Roman" w:hAnsi="Times New Roman" w:cs="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A83F" w14:textId="77777777" w:rsidR="006F79C9" w:rsidRDefault="006F79C9">
      <w:pPr>
        <w:spacing w:after="0" w:line="240" w:lineRule="auto"/>
      </w:pPr>
      <w:r>
        <w:separator/>
      </w:r>
    </w:p>
  </w:footnote>
  <w:footnote w:type="continuationSeparator" w:id="0">
    <w:p w14:paraId="61BF3B2B" w14:textId="77777777" w:rsidR="006F79C9" w:rsidRDefault="006F7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C6FCD"/>
    <w:multiLevelType w:val="multilevel"/>
    <w:tmpl w:val="EDAA530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46"/>
        </w:tabs>
        <w:ind w:left="1446" w:hanging="737"/>
      </w:pPr>
      <w:rPr>
        <w:rFonts w:hint="default"/>
        <w:b w:val="0"/>
      </w:r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0FD60FD"/>
    <w:multiLevelType w:val="hybridMultilevel"/>
    <w:tmpl w:val="398AE386"/>
    <w:lvl w:ilvl="0" w:tplc="2354B7B4">
      <w:start w:val="1"/>
      <w:numFmt w:val="decimal"/>
      <w:lvlText w:val="(%1)"/>
      <w:lvlJc w:val="left"/>
      <w:pPr>
        <w:ind w:left="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2AA8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FCB4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8CED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5448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004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F88E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BAE8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CEC1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D25E38"/>
    <w:multiLevelType w:val="multilevel"/>
    <w:tmpl w:val="9364CE8C"/>
    <w:lvl w:ilvl="0">
      <w:start w:val="3"/>
      <w:numFmt w:val="decimal"/>
      <w:lvlText w:val="%1"/>
      <w:lvlJc w:val="left"/>
      <w:pPr>
        <w:ind w:left="360" w:hanging="360"/>
      </w:pPr>
      <w:rPr>
        <w:rFonts w:asciiTheme="minorHAnsi" w:hAnsiTheme="minorHAnsi" w:cstheme="minorHAnsi" w:hint="default"/>
        <w:u w:val="single"/>
      </w:rPr>
    </w:lvl>
    <w:lvl w:ilvl="1">
      <w:start w:val="1"/>
      <w:numFmt w:val="decimal"/>
      <w:lvlText w:val="%1.%2"/>
      <w:lvlJc w:val="left"/>
      <w:pPr>
        <w:ind w:left="1069" w:hanging="360"/>
      </w:pPr>
      <w:rPr>
        <w:rFonts w:asciiTheme="minorHAnsi" w:hAnsiTheme="minorHAnsi" w:cstheme="minorHAnsi" w:hint="default"/>
        <w:u w:val="single"/>
      </w:rPr>
    </w:lvl>
    <w:lvl w:ilvl="2">
      <w:start w:val="1"/>
      <w:numFmt w:val="decimal"/>
      <w:lvlText w:val="%1.%2.%3"/>
      <w:lvlJc w:val="left"/>
      <w:pPr>
        <w:ind w:left="2138" w:hanging="720"/>
      </w:pPr>
      <w:rPr>
        <w:rFonts w:asciiTheme="minorHAnsi" w:hAnsiTheme="minorHAnsi" w:cstheme="minorHAnsi" w:hint="default"/>
        <w:u w:val="single"/>
      </w:rPr>
    </w:lvl>
    <w:lvl w:ilvl="3">
      <w:start w:val="1"/>
      <w:numFmt w:val="decimal"/>
      <w:lvlText w:val="%1.%2.%3.%4"/>
      <w:lvlJc w:val="left"/>
      <w:pPr>
        <w:ind w:left="2847" w:hanging="720"/>
      </w:pPr>
      <w:rPr>
        <w:rFonts w:asciiTheme="minorHAnsi" w:hAnsiTheme="minorHAnsi" w:cstheme="minorHAnsi" w:hint="default"/>
        <w:u w:val="single"/>
      </w:rPr>
    </w:lvl>
    <w:lvl w:ilvl="4">
      <w:start w:val="1"/>
      <w:numFmt w:val="decimal"/>
      <w:lvlText w:val="%1.%2.%3.%4.%5"/>
      <w:lvlJc w:val="left"/>
      <w:pPr>
        <w:ind w:left="3916" w:hanging="1080"/>
      </w:pPr>
      <w:rPr>
        <w:rFonts w:asciiTheme="minorHAnsi" w:hAnsiTheme="minorHAnsi" w:cstheme="minorHAnsi" w:hint="default"/>
        <w:u w:val="single"/>
      </w:rPr>
    </w:lvl>
    <w:lvl w:ilvl="5">
      <w:start w:val="1"/>
      <w:numFmt w:val="decimal"/>
      <w:lvlText w:val="%1.%2.%3.%4.%5.%6"/>
      <w:lvlJc w:val="left"/>
      <w:pPr>
        <w:ind w:left="4625" w:hanging="1080"/>
      </w:pPr>
      <w:rPr>
        <w:rFonts w:asciiTheme="minorHAnsi" w:hAnsiTheme="minorHAnsi" w:cstheme="minorHAnsi" w:hint="default"/>
        <w:u w:val="single"/>
      </w:rPr>
    </w:lvl>
    <w:lvl w:ilvl="6">
      <w:start w:val="1"/>
      <w:numFmt w:val="decimal"/>
      <w:lvlText w:val="%1.%2.%3.%4.%5.%6.%7"/>
      <w:lvlJc w:val="left"/>
      <w:pPr>
        <w:ind w:left="5694" w:hanging="1440"/>
      </w:pPr>
      <w:rPr>
        <w:rFonts w:asciiTheme="minorHAnsi" w:hAnsiTheme="minorHAnsi" w:cstheme="minorHAnsi" w:hint="default"/>
        <w:u w:val="single"/>
      </w:rPr>
    </w:lvl>
    <w:lvl w:ilvl="7">
      <w:start w:val="1"/>
      <w:numFmt w:val="decimal"/>
      <w:lvlText w:val="%1.%2.%3.%4.%5.%6.%7.%8"/>
      <w:lvlJc w:val="left"/>
      <w:pPr>
        <w:ind w:left="6403" w:hanging="1440"/>
      </w:pPr>
      <w:rPr>
        <w:rFonts w:asciiTheme="minorHAnsi" w:hAnsiTheme="minorHAnsi" w:cstheme="minorHAnsi" w:hint="default"/>
        <w:u w:val="single"/>
      </w:rPr>
    </w:lvl>
    <w:lvl w:ilvl="8">
      <w:start w:val="1"/>
      <w:numFmt w:val="decimal"/>
      <w:lvlText w:val="%1.%2.%3.%4.%5.%6.%7.%8.%9"/>
      <w:lvlJc w:val="left"/>
      <w:pPr>
        <w:ind w:left="7112" w:hanging="1440"/>
      </w:pPr>
      <w:rPr>
        <w:rFonts w:asciiTheme="minorHAnsi" w:hAnsiTheme="minorHAnsi" w:cstheme="minorHAnsi" w:hint="default"/>
        <w:u w:val="single"/>
      </w:rPr>
    </w:lvl>
  </w:abstractNum>
  <w:abstractNum w:abstractNumId="3" w15:restartNumberingAfterBreak="0">
    <w:nsid w:val="5D89141A"/>
    <w:multiLevelType w:val="multilevel"/>
    <w:tmpl w:val="034CF58C"/>
    <w:lvl w:ilvl="0">
      <w:start w:val="1"/>
      <w:numFmt w:val="decimal"/>
      <w:lvlText w:val="%1."/>
      <w:lvlJc w:val="left"/>
      <w:pPr>
        <w:ind w:left="751"/>
      </w:pPr>
      <w:rPr>
        <w:rFonts w:ascii="Times New Roman" w:eastAsia="Calibri"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51"/>
      </w:pPr>
      <w:rPr>
        <w:rFonts w:ascii="Times New Roman" w:eastAsia="Calibri"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569802">
    <w:abstractNumId w:val="1"/>
  </w:num>
  <w:num w:numId="2" w16cid:durableId="189268158">
    <w:abstractNumId w:val="3"/>
  </w:num>
  <w:num w:numId="3" w16cid:durableId="158497182">
    <w:abstractNumId w:val="0"/>
  </w:num>
  <w:num w:numId="4" w16cid:durableId="697702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5B"/>
    <w:rsid w:val="00000D90"/>
    <w:rsid w:val="00042E52"/>
    <w:rsid w:val="000A7641"/>
    <w:rsid w:val="000D243F"/>
    <w:rsid w:val="00130EFB"/>
    <w:rsid w:val="001954BF"/>
    <w:rsid w:val="00197C19"/>
    <w:rsid w:val="00236A19"/>
    <w:rsid w:val="00251163"/>
    <w:rsid w:val="002E44FD"/>
    <w:rsid w:val="00347C2C"/>
    <w:rsid w:val="003B0D73"/>
    <w:rsid w:val="00426928"/>
    <w:rsid w:val="00461C66"/>
    <w:rsid w:val="004D3C8D"/>
    <w:rsid w:val="00666CC3"/>
    <w:rsid w:val="006F79C9"/>
    <w:rsid w:val="00800565"/>
    <w:rsid w:val="0081382E"/>
    <w:rsid w:val="00852B6A"/>
    <w:rsid w:val="00852ED2"/>
    <w:rsid w:val="00895D78"/>
    <w:rsid w:val="0094158B"/>
    <w:rsid w:val="009D6066"/>
    <w:rsid w:val="009F0664"/>
    <w:rsid w:val="00AB0B2D"/>
    <w:rsid w:val="00AE67F7"/>
    <w:rsid w:val="00B412FA"/>
    <w:rsid w:val="00B53F25"/>
    <w:rsid w:val="00BE325B"/>
    <w:rsid w:val="00BF5FE6"/>
    <w:rsid w:val="00BF7EFE"/>
    <w:rsid w:val="00C05C80"/>
    <w:rsid w:val="00C30BC2"/>
    <w:rsid w:val="00C47041"/>
    <w:rsid w:val="00C8343F"/>
    <w:rsid w:val="00C90FAC"/>
    <w:rsid w:val="00CD0127"/>
    <w:rsid w:val="00D96DA3"/>
    <w:rsid w:val="00EE521D"/>
    <w:rsid w:val="00F166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3E67"/>
  <w15:chartTrackingRefBased/>
  <w15:docId w15:val="{6484E27C-C2B8-4847-BFAF-BDB68D71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325B"/>
    <w:pPr>
      <w:spacing w:after="125" w:line="257" w:lineRule="auto"/>
      <w:ind w:left="888" w:right="536" w:hanging="10"/>
      <w:jc w:val="both"/>
    </w:pPr>
    <w:rPr>
      <w:rFonts w:ascii="Calibri" w:eastAsia="Calibri" w:hAnsi="Calibri" w:cs="Calibri"/>
      <w:color w:val="000000"/>
      <w:kern w:val="0"/>
      <w:lang w:eastAsia="cs-CZ"/>
      <w14:ligatures w14:val="none"/>
    </w:rPr>
  </w:style>
  <w:style w:type="paragraph" w:styleId="Nadpis2">
    <w:name w:val="heading 2"/>
    <w:basedOn w:val="Normln"/>
    <w:next w:val="Normln"/>
    <w:link w:val="Nadpis2Char"/>
    <w:uiPriority w:val="9"/>
    <w:semiHidden/>
    <w:unhideWhenUsed/>
    <w:qFormat/>
    <w:rsid w:val="00BE32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BE325B"/>
    <w:pPr>
      <w:tabs>
        <w:tab w:val="center" w:pos="4536"/>
        <w:tab w:val="right" w:pos="9072"/>
      </w:tabs>
      <w:spacing w:after="0" w:line="240" w:lineRule="auto"/>
    </w:pPr>
  </w:style>
  <w:style w:type="character" w:customStyle="1" w:styleId="ZpatChar">
    <w:name w:val="Zápatí Char"/>
    <w:basedOn w:val="Standardnpsmoodstavce"/>
    <w:link w:val="Zpat"/>
    <w:uiPriority w:val="99"/>
    <w:rsid w:val="00BE325B"/>
    <w:rPr>
      <w:rFonts w:ascii="Calibri" w:eastAsia="Calibri" w:hAnsi="Calibri" w:cs="Calibri"/>
      <w:color w:val="000000"/>
      <w:kern w:val="0"/>
      <w:lang w:eastAsia="cs-CZ"/>
      <w14:ligatures w14:val="none"/>
    </w:rPr>
  </w:style>
  <w:style w:type="paragraph" w:customStyle="1" w:styleId="Clanek11">
    <w:name w:val="Clanek 1.1"/>
    <w:basedOn w:val="Nadpis2"/>
    <w:link w:val="Clanek11Char"/>
    <w:qFormat/>
    <w:rsid w:val="00BE325B"/>
    <w:pPr>
      <w:keepNext w:val="0"/>
      <w:keepLines w:val="0"/>
      <w:widowControl w:val="0"/>
      <w:tabs>
        <w:tab w:val="num" w:pos="2694"/>
      </w:tabs>
      <w:spacing w:before="120" w:after="120" w:line="240" w:lineRule="auto"/>
      <w:ind w:left="2694" w:right="0" w:hanging="567"/>
    </w:pPr>
    <w:rPr>
      <w:rFonts w:ascii="Times New Roman" w:eastAsia="Times New Roman" w:hAnsi="Times New Roman" w:cs="Arial"/>
      <w:bCs/>
      <w:iCs/>
      <w:color w:val="auto"/>
      <w:sz w:val="22"/>
      <w:szCs w:val="28"/>
      <w:lang w:eastAsia="en-US"/>
    </w:rPr>
  </w:style>
  <w:style w:type="character" w:customStyle="1" w:styleId="Clanek11Char">
    <w:name w:val="Clanek 1.1 Char"/>
    <w:link w:val="Clanek11"/>
    <w:locked/>
    <w:rsid w:val="00BE325B"/>
    <w:rPr>
      <w:rFonts w:ascii="Times New Roman" w:eastAsia="Times New Roman" w:hAnsi="Times New Roman" w:cs="Arial"/>
      <w:bCs/>
      <w:iCs/>
      <w:kern w:val="0"/>
      <w:szCs w:val="28"/>
      <w14:ligatures w14:val="none"/>
    </w:rPr>
  </w:style>
  <w:style w:type="paragraph" w:styleId="Odstavecseseznamem">
    <w:name w:val="List Paragraph"/>
    <w:basedOn w:val="Normln"/>
    <w:uiPriority w:val="34"/>
    <w:qFormat/>
    <w:rsid w:val="00BE325B"/>
    <w:pPr>
      <w:ind w:left="720"/>
      <w:contextualSpacing/>
    </w:pPr>
  </w:style>
  <w:style w:type="character" w:customStyle="1" w:styleId="Nadpis2Char">
    <w:name w:val="Nadpis 2 Char"/>
    <w:basedOn w:val="Standardnpsmoodstavce"/>
    <w:link w:val="Nadpis2"/>
    <w:uiPriority w:val="9"/>
    <w:semiHidden/>
    <w:rsid w:val="00BE325B"/>
    <w:rPr>
      <w:rFonts w:asciiTheme="majorHAnsi" w:eastAsiaTheme="majorEastAsia" w:hAnsiTheme="majorHAnsi" w:cstheme="majorBidi"/>
      <w:color w:val="2F5496" w:themeColor="accent1" w:themeShade="BF"/>
      <w:kern w:val="0"/>
      <w:sz w:val="26"/>
      <w:szCs w:val="26"/>
      <w:lang w:eastAsia="cs-CZ"/>
      <w14:ligatures w14:val="none"/>
    </w:rPr>
  </w:style>
  <w:style w:type="paragraph" w:customStyle="1" w:styleId="RLdajeosmluvnstran">
    <w:name w:val="RL  údaje o smluvní straně"/>
    <w:basedOn w:val="Normln"/>
    <w:rsid w:val="00C05C80"/>
    <w:pPr>
      <w:spacing w:after="120" w:line="280" w:lineRule="exact"/>
      <w:ind w:left="0" w:right="0" w:firstLine="0"/>
      <w:jc w:val="center"/>
    </w:pPr>
    <w:rPr>
      <w:rFonts w:eastAsia="Times New Roman" w:cs="Times New Roman"/>
      <w:color w:val="auto"/>
      <w:szCs w:val="24"/>
      <w:lang w:eastAsia="en-US"/>
    </w:rPr>
  </w:style>
  <w:style w:type="character" w:customStyle="1" w:styleId="ZKLADNChar">
    <w:name w:val="ZÁKLADNÍ Char"/>
    <w:link w:val="ZKLADN"/>
    <w:locked/>
    <w:rsid w:val="00C05C80"/>
    <w:rPr>
      <w:rFonts w:ascii="Garamond" w:hAnsi="Garamond"/>
      <w:sz w:val="24"/>
      <w:szCs w:val="24"/>
      <w:lang w:val="x-none" w:eastAsia="x-none"/>
    </w:rPr>
  </w:style>
  <w:style w:type="paragraph" w:customStyle="1" w:styleId="ZKLADN">
    <w:name w:val="ZÁKLADNÍ"/>
    <w:basedOn w:val="Zkladntext"/>
    <w:link w:val="ZKLADNChar"/>
    <w:rsid w:val="00C05C80"/>
    <w:pPr>
      <w:widowControl w:val="0"/>
      <w:spacing w:before="120" w:line="280" w:lineRule="atLeast"/>
      <w:ind w:left="0" w:right="0" w:firstLine="0"/>
    </w:pPr>
    <w:rPr>
      <w:rFonts w:ascii="Garamond" w:eastAsiaTheme="minorHAnsi" w:hAnsi="Garamond" w:cstheme="minorBidi"/>
      <w:color w:val="auto"/>
      <w:kern w:val="2"/>
      <w:sz w:val="24"/>
      <w:szCs w:val="24"/>
      <w:lang w:val="x-none" w:eastAsia="x-none"/>
      <w14:ligatures w14:val="standardContextual"/>
    </w:rPr>
  </w:style>
  <w:style w:type="paragraph" w:customStyle="1" w:styleId="doplnuchaze">
    <w:name w:val="doplní uchazeč"/>
    <w:basedOn w:val="Normln"/>
    <w:link w:val="doplnuchazeChar"/>
    <w:qFormat/>
    <w:rsid w:val="00C05C80"/>
    <w:pPr>
      <w:spacing w:after="120" w:line="280" w:lineRule="exact"/>
      <w:ind w:left="0" w:right="0" w:firstLine="0"/>
      <w:jc w:val="center"/>
    </w:pPr>
    <w:rPr>
      <w:rFonts w:eastAsia="Times New Roman" w:cs="Times New Roman"/>
      <w:b/>
      <w:snapToGrid w:val="0"/>
      <w:color w:val="auto"/>
      <w:sz w:val="20"/>
      <w:szCs w:val="20"/>
      <w:lang w:val="x-none" w:eastAsia="x-none"/>
    </w:rPr>
  </w:style>
  <w:style w:type="character" w:customStyle="1" w:styleId="doplnuchazeChar">
    <w:name w:val="doplní uchazeč Char"/>
    <w:link w:val="doplnuchaze"/>
    <w:rsid w:val="00C05C80"/>
    <w:rPr>
      <w:rFonts w:ascii="Calibri" w:eastAsia="Times New Roman" w:hAnsi="Calibri" w:cs="Times New Roman"/>
      <w:b/>
      <w:snapToGrid w:val="0"/>
      <w:kern w:val="0"/>
      <w:sz w:val="20"/>
      <w:szCs w:val="20"/>
      <w:lang w:val="x-none" w:eastAsia="x-none"/>
      <w14:ligatures w14:val="none"/>
    </w:rPr>
  </w:style>
  <w:style w:type="paragraph" w:styleId="Zkladntext">
    <w:name w:val="Body Text"/>
    <w:basedOn w:val="Normln"/>
    <w:link w:val="ZkladntextChar"/>
    <w:uiPriority w:val="99"/>
    <w:semiHidden/>
    <w:unhideWhenUsed/>
    <w:rsid w:val="00C05C80"/>
    <w:pPr>
      <w:spacing w:after="120"/>
    </w:pPr>
  </w:style>
  <w:style w:type="character" w:customStyle="1" w:styleId="ZkladntextChar">
    <w:name w:val="Základní text Char"/>
    <w:basedOn w:val="Standardnpsmoodstavce"/>
    <w:link w:val="Zkladntext"/>
    <w:uiPriority w:val="99"/>
    <w:semiHidden/>
    <w:rsid w:val="00C05C80"/>
    <w:rPr>
      <w:rFonts w:ascii="Calibri" w:eastAsia="Calibri" w:hAnsi="Calibri" w:cs="Calibri"/>
      <w:color w:val="000000"/>
      <w:kern w:val="0"/>
      <w:lang w:eastAsia="cs-CZ"/>
      <w14:ligatures w14:val="none"/>
    </w:rPr>
  </w:style>
  <w:style w:type="paragraph" w:customStyle="1" w:styleId="RLProhlensmluvnchstran">
    <w:name w:val="RL Prohlášení smluvních stran"/>
    <w:basedOn w:val="Normln"/>
    <w:link w:val="RLProhlensmluvnchstranChar"/>
    <w:rsid w:val="00B53F25"/>
    <w:pPr>
      <w:spacing w:after="120" w:line="280" w:lineRule="exact"/>
      <w:ind w:left="0" w:right="0" w:firstLine="0"/>
      <w:jc w:val="center"/>
    </w:pPr>
    <w:rPr>
      <w:rFonts w:eastAsia="Times New Roman" w:cs="Times New Roman"/>
      <w:b/>
      <w:color w:val="auto"/>
      <w:szCs w:val="24"/>
    </w:rPr>
  </w:style>
  <w:style w:type="character" w:customStyle="1" w:styleId="RLProhlensmluvnchstranChar">
    <w:name w:val="RL Prohlášení smluvních stran Char"/>
    <w:basedOn w:val="Standardnpsmoodstavce"/>
    <w:link w:val="RLProhlensmluvnchstran"/>
    <w:rsid w:val="00B53F25"/>
    <w:rPr>
      <w:rFonts w:ascii="Calibri" w:eastAsia="Times New Roman" w:hAnsi="Calibri" w:cs="Times New Roman"/>
      <w:b/>
      <w:kern w:val="0"/>
      <w:szCs w:val="24"/>
      <w:lang w:eastAsia="cs-CZ"/>
      <w14:ligatures w14:val="none"/>
    </w:rPr>
  </w:style>
  <w:style w:type="paragraph" w:customStyle="1" w:styleId="RLTextlnkuslovan">
    <w:name w:val="RL Text článku číslovaný"/>
    <w:basedOn w:val="Normln"/>
    <w:link w:val="RLTextlnkuslovanChar"/>
    <w:qFormat/>
    <w:rsid w:val="000D243F"/>
    <w:pPr>
      <w:numPr>
        <w:ilvl w:val="1"/>
        <w:numId w:val="3"/>
      </w:numPr>
      <w:spacing w:after="120" w:line="280" w:lineRule="exact"/>
      <w:ind w:right="0"/>
    </w:pPr>
    <w:rPr>
      <w:rFonts w:eastAsia="Times New Roman" w:cs="Times New Roman"/>
      <w:color w:val="auto"/>
      <w:szCs w:val="24"/>
    </w:rPr>
  </w:style>
  <w:style w:type="paragraph" w:customStyle="1" w:styleId="RLlneksmlouvy">
    <w:name w:val="RL Článek smlouvy"/>
    <w:basedOn w:val="Normln"/>
    <w:next w:val="RLTextlnkuslovan"/>
    <w:qFormat/>
    <w:rsid w:val="000D243F"/>
    <w:pPr>
      <w:keepNext/>
      <w:numPr>
        <w:numId w:val="3"/>
      </w:numPr>
      <w:suppressAutoHyphens/>
      <w:spacing w:before="360" w:after="120" w:line="280" w:lineRule="exact"/>
      <w:ind w:right="0"/>
      <w:outlineLvl w:val="0"/>
    </w:pPr>
    <w:rPr>
      <w:rFonts w:eastAsia="Times New Roman" w:cs="Times New Roman"/>
      <w:b/>
      <w:color w:val="auto"/>
      <w:szCs w:val="24"/>
      <w:lang w:eastAsia="en-US"/>
    </w:rPr>
  </w:style>
  <w:style w:type="table" w:styleId="Mkatabulky">
    <w:name w:val="Table Grid"/>
    <w:basedOn w:val="Normlntabulka"/>
    <w:rsid w:val="000D243F"/>
    <w:pPr>
      <w:spacing w:after="120" w:line="280" w:lineRule="exact"/>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LTextlnkuslovanChar">
    <w:name w:val="RL Text článku číslovaný Char"/>
    <w:basedOn w:val="Standardnpsmoodstavce"/>
    <w:link w:val="RLTextlnkuslovan"/>
    <w:qFormat/>
    <w:rsid w:val="000D243F"/>
    <w:rPr>
      <w:rFonts w:ascii="Calibri" w:eastAsia="Times New Roman" w:hAnsi="Calibri" w:cs="Times New Roman"/>
      <w:kern w:val="0"/>
      <w:szCs w:val="24"/>
      <w:lang w:eastAsia="cs-CZ"/>
      <w14:ligatures w14:val="none"/>
    </w:rPr>
  </w:style>
  <w:style w:type="paragraph" w:styleId="Revize">
    <w:name w:val="Revision"/>
    <w:hidden/>
    <w:uiPriority w:val="99"/>
    <w:semiHidden/>
    <w:rsid w:val="00B412FA"/>
    <w:pPr>
      <w:spacing w:after="0" w:line="240" w:lineRule="auto"/>
    </w:pPr>
    <w:rPr>
      <w:rFonts w:ascii="Calibri" w:eastAsia="Calibri" w:hAnsi="Calibri" w:cs="Calibri"/>
      <w:color w:val="000000"/>
      <w:kern w:val="0"/>
      <w:lang w:eastAsia="cs-CZ"/>
      <w14:ligatures w14:val="none"/>
    </w:rPr>
  </w:style>
  <w:style w:type="character" w:styleId="Odkaznakoment">
    <w:name w:val="annotation reference"/>
    <w:basedOn w:val="Standardnpsmoodstavce"/>
    <w:uiPriority w:val="99"/>
    <w:semiHidden/>
    <w:unhideWhenUsed/>
    <w:rsid w:val="00347C2C"/>
    <w:rPr>
      <w:sz w:val="16"/>
      <w:szCs w:val="16"/>
    </w:rPr>
  </w:style>
  <w:style w:type="paragraph" w:styleId="Textkomente">
    <w:name w:val="annotation text"/>
    <w:basedOn w:val="Normln"/>
    <w:link w:val="TextkomenteChar"/>
    <w:uiPriority w:val="99"/>
    <w:unhideWhenUsed/>
    <w:rsid w:val="00347C2C"/>
    <w:pPr>
      <w:spacing w:line="240" w:lineRule="auto"/>
    </w:pPr>
    <w:rPr>
      <w:sz w:val="20"/>
      <w:szCs w:val="20"/>
    </w:rPr>
  </w:style>
  <w:style w:type="character" w:customStyle="1" w:styleId="TextkomenteChar">
    <w:name w:val="Text komentáře Char"/>
    <w:basedOn w:val="Standardnpsmoodstavce"/>
    <w:link w:val="Textkomente"/>
    <w:uiPriority w:val="99"/>
    <w:rsid w:val="00347C2C"/>
    <w:rPr>
      <w:rFonts w:ascii="Calibri" w:eastAsia="Calibri" w:hAnsi="Calibri" w:cs="Calibri"/>
      <w:color w:val="000000"/>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347C2C"/>
    <w:rPr>
      <w:b/>
      <w:bCs/>
    </w:rPr>
  </w:style>
  <w:style w:type="character" w:customStyle="1" w:styleId="PedmtkomenteChar">
    <w:name w:val="Předmět komentáře Char"/>
    <w:basedOn w:val="TextkomenteChar"/>
    <w:link w:val="Pedmtkomente"/>
    <w:uiPriority w:val="99"/>
    <w:semiHidden/>
    <w:rsid w:val="00347C2C"/>
    <w:rPr>
      <w:rFonts w:ascii="Calibri" w:eastAsia="Calibri" w:hAnsi="Calibri" w:cs="Calibri"/>
      <w:b/>
      <w:bCs/>
      <w:color w:val="000000"/>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0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1077</Words>
  <Characters>6356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Brychcová Martina</dc:creator>
  <cp:keywords/>
  <dc:description/>
  <cp:lastModifiedBy>Vítová Petra</cp:lastModifiedBy>
  <cp:revision>6</cp:revision>
  <dcterms:created xsi:type="dcterms:W3CDTF">2024-03-15T12:44:00Z</dcterms:created>
  <dcterms:modified xsi:type="dcterms:W3CDTF">2024-03-22T10:30:00Z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b2c928-728b-4698-a3fd-c5d03555aa71_Enabled">
    <vt:lpwstr>true</vt:lpwstr>
  </property>
  <property fmtid="{D5CDD505-2E9C-101B-9397-08002B2CF9AE}" pid="3" name="MSIP_Label_53b2c928-728b-4698-a3fd-c5d03555aa71_SetDate">
    <vt:lpwstr>2023-07-20T13:23:21Z</vt:lpwstr>
  </property>
  <property fmtid="{D5CDD505-2E9C-101B-9397-08002B2CF9AE}" pid="4" name="MSIP_Label_53b2c928-728b-4698-a3fd-c5d03555aa71_Method">
    <vt:lpwstr>Standard</vt:lpwstr>
  </property>
  <property fmtid="{D5CDD505-2E9C-101B-9397-08002B2CF9AE}" pid="5" name="MSIP_Label_53b2c928-728b-4698-a3fd-c5d03555aa71_Name">
    <vt:lpwstr>Veřejné</vt:lpwstr>
  </property>
  <property fmtid="{D5CDD505-2E9C-101B-9397-08002B2CF9AE}" pid="6" name="MSIP_Label_53b2c928-728b-4698-a3fd-c5d03555aa71_SiteId">
    <vt:lpwstr>4f5a3c8e-553d-4c27-8b3b-c51f48dcc5d5</vt:lpwstr>
  </property>
  <property fmtid="{D5CDD505-2E9C-101B-9397-08002B2CF9AE}" pid="7" name="MSIP_Label_53b2c928-728b-4698-a3fd-c5d03555aa71_ActionId">
    <vt:lpwstr>e45cd592-30cf-4b36-af86-bdbcc2078f70</vt:lpwstr>
  </property>
  <property fmtid="{D5CDD505-2E9C-101B-9397-08002B2CF9AE}" pid="8" name="MSIP_Label_53b2c928-728b-4698-a3fd-c5d03555aa71_ContentBits">
    <vt:lpwstr>0</vt:lpwstr>
  </property>
</Properties>
</file>