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1B5" w:rsidRDefault="0057028C">
      <w:pPr>
        <w:pStyle w:val="Bodytext50"/>
        <w:spacing w:after="140"/>
      </w:pPr>
      <w:r>
        <w:rPr>
          <w:rStyle w:val="Bodytext5"/>
        </w:rPr>
        <w:t>Příloha č. 1</w:t>
      </w:r>
    </w:p>
    <w:p w:rsidR="00CC51B5" w:rsidRDefault="0057028C">
      <w:pPr>
        <w:pStyle w:val="Heading210"/>
        <w:keepNext/>
        <w:keepLines/>
      </w:pPr>
      <w:bookmarkStart w:id="0" w:name="bookmark0"/>
      <w:r>
        <w:rPr>
          <w:rStyle w:val="Heading21"/>
          <w:b/>
          <w:bCs/>
        </w:rPr>
        <w:t>REKAPITULACE KUPNÍ CENY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6"/>
        <w:gridCol w:w="542"/>
        <w:gridCol w:w="1022"/>
        <w:gridCol w:w="1459"/>
        <w:gridCol w:w="1824"/>
      </w:tblGrid>
      <w:tr w:rsidR="00CC51B5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CCD5E8"/>
            <w:vAlign w:val="center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CCD5E8"/>
            <w:vAlign w:val="center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CCD5E8"/>
            <w:vAlign w:val="center"/>
          </w:tcPr>
          <w:p w:rsidR="00CC51B5" w:rsidRDefault="0057028C">
            <w:pPr>
              <w:pStyle w:val="Other1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Počet jednotek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CCD5E8"/>
            <w:vAlign w:val="bottom"/>
          </w:tcPr>
          <w:p w:rsidR="00CC51B5" w:rsidRDefault="0057028C">
            <w:pPr>
              <w:pStyle w:val="Other10"/>
              <w:spacing w:line="302" w:lineRule="auto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Nabídková cena za jednotku bez DPH v Kč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D5E8"/>
            <w:vAlign w:val="center"/>
          </w:tcPr>
          <w:p w:rsidR="00CC51B5" w:rsidRDefault="0057028C">
            <w:pPr>
              <w:pStyle w:val="Other1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Nabídková cena celkem bez DPH v Kč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51B5" w:rsidRDefault="0057028C">
            <w:pPr>
              <w:pStyle w:val="Other10"/>
              <w:spacing w:line="240" w:lineRule="auto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 xml:space="preserve">Infračervený bezkontaktní lékařský teploměr </w:t>
            </w:r>
            <w:proofErr w:type="spellStart"/>
            <w:r>
              <w:rPr>
                <w:rStyle w:val="Other1"/>
                <w:sz w:val="24"/>
                <w:szCs w:val="24"/>
              </w:rPr>
              <w:t>HuBDIC</w:t>
            </w:r>
            <w:proofErr w:type="spellEnd"/>
            <w:r>
              <w:rPr>
                <w:rStyle w:val="Other1"/>
                <w:sz w:val="24"/>
                <w:szCs w:val="24"/>
              </w:rPr>
              <w:t xml:space="preserve"> FS-700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51B5" w:rsidRDefault="0057028C">
            <w:pPr>
              <w:pStyle w:val="Other10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1 350,00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B5" w:rsidRDefault="0057028C">
            <w:pPr>
              <w:pStyle w:val="Other10"/>
              <w:spacing w:line="240" w:lineRule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253 800,00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 xml:space="preserve">Pořizovací cena zařízení </w:t>
            </w:r>
            <w:r>
              <w:rPr>
                <w:rStyle w:val="Other1"/>
                <w:b/>
                <w:bCs/>
                <w:sz w:val="24"/>
                <w:szCs w:val="24"/>
              </w:rPr>
              <w:t>(cena uvedená ve smlouvě)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CC51B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CC51B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253 800,00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CCD5E8"/>
            <w:vAlign w:val="center"/>
          </w:tcPr>
          <w:p w:rsidR="00CC51B5" w:rsidRDefault="0057028C">
            <w:pPr>
              <w:pStyle w:val="Other10"/>
              <w:spacing w:line="240" w:lineRule="auto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>Celková cena v Kč bez DPH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CCD5E8"/>
          </w:tcPr>
          <w:p w:rsidR="00CC51B5" w:rsidRDefault="00CC51B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CCD5E8"/>
          </w:tcPr>
          <w:p w:rsidR="00CC51B5" w:rsidRDefault="00CC51B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D5E8"/>
            <w:vAlign w:val="center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253 800,00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CCD5E8"/>
            <w:vAlign w:val="bottom"/>
          </w:tcPr>
          <w:p w:rsidR="00CC51B5" w:rsidRDefault="0057028C">
            <w:pPr>
              <w:pStyle w:val="Other10"/>
              <w:spacing w:line="240" w:lineRule="auto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>výše DPH (12 %) v Kč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CCD5E8"/>
          </w:tcPr>
          <w:p w:rsidR="00CC51B5" w:rsidRDefault="00CC51B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CCD5E8"/>
          </w:tcPr>
          <w:p w:rsidR="00CC51B5" w:rsidRDefault="00CC51B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D5E8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30 456,00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D5E8"/>
          </w:tcPr>
          <w:p w:rsidR="00CC51B5" w:rsidRDefault="0057028C">
            <w:pPr>
              <w:pStyle w:val="Other10"/>
              <w:spacing w:line="240" w:lineRule="auto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>CELKOVÁ CENA v Kč s DPH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D5E8"/>
          </w:tcPr>
          <w:p w:rsidR="00CC51B5" w:rsidRDefault="00CC51B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D5E8"/>
          </w:tcPr>
          <w:p w:rsidR="00CC51B5" w:rsidRDefault="00CC51B5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5E8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284 256,00</w:t>
            </w:r>
          </w:p>
        </w:tc>
      </w:tr>
    </w:tbl>
    <w:p w:rsidR="00CC51B5" w:rsidRDefault="0057028C">
      <w:pPr>
        <w:pStyle w:val="Tablecaption10"/>
        <w:ind w:left="62"/>
        <w:sectPr w:rsidR="00CC51B5">
          <w:headerReference w:type="even" r:id="rId7"/>
          <w:headerReference w:type="default" r:id="rId8"/>
          <w:pgSz w:w="11900" w:h="16840"/>
          <w:pgMar w:top="1501" w:right="988" w:bottom="1141" w:left="1399" w:header="0" w:footer="713" w:gutter="0"/>
          <w:pgNumType w:start="1"/>
          <w:cols w:space="720"/>
          <w:noEndnote/>
          <w:docGrid w:linePitch="360"/>
        </w:sectPr>
      </w:pPr>
      <w:r>
        <w:rPr>
          <w:rStyle w:val="Tablecaption1"/>
        </w:rPr>
        <w:t xml:space="preserve">(cena zařízení vč. příslušenství a nákladů na instalaci, montáž, proškolení personálu, nákladů na pojištění, odvoz a likvidaci obalů </w:t>
      </w:r>
      <w:proofErr w:type="gramStart"/>
      <w:r>
        <w:rPr>
          <w:rStyle w:val="Tablecaption1"/>
        </w:rPr>
        <w:t>atd.)...</w:t>
      </w:r>
      <w:proofErr w:type="gramEnd"/>
    </w:p>
    <w:p w:rsidR="00CC51B5" w:rsidRDefault="0057028C">
      <w:pPr>
        <w:pStyle w:val="Bodytext50"/>
        <w:spacing w:after="1100"/>
        <w:ind w:firstLine="200"/>
      </w:pPr>
      <w:r>
        <w:rPr>
          <w:rStyle w:val="Bodytext5"/>
        </w:rPr>
        <w:lastRenderedPageBreak/>
        <w:t>Příloha č. 2</w:t>
      </w:r>
    </w:p>
    <w:p w:rsidR="00CC51B5" w:rsidRDefault="0057028C">
      <w:pPr>
        <w:pStyle w:val="Heading310"/>
        <w:keepNext/>
        <w:keepLines/>
        <w:numPr>
          <w:ilvl w:val="0"/>
          <w:numId w:val="1"/>
        </w:numPr>
        <w:tabs>
          <w:tab w:val="left" w:pos="1525"/>
        </w:tabs>
        <w:spacing w:line="206" w:lineRule="auto"/>
        <w:ind w:left="1100" w:firstLine="20"/>
      </w:pPr>
      <w:bookmarkStart w:id="1" w:name="bookmark2"/>
      <w:r>
        <w:rPr>
          <w:rStyle w:val="Heading31"/>
          <w:b/>
          <w:bCs/>
        </w:rPr>
        <w:t xml:space="preserve">Doporučené </w:t>
      </w:r>
      <w:r>
        <w:rPr>
          <w:rStyle w:val="Heading31"/>
          <w:b/>
          <w:bCs/>
        </w:rPr>
        <w:t>teploty</w:t>
      </w:r>
      <w:bookmarkEnd w:id="1"/>
    </w:p>
    <w:p w:rsidR="00CC51B5" w:rsidRDefault="0057028C">
      <w:pPr>
        <w:pStyle w:val="Bodytext20"/>
        <w:numPr>
          <w:ilvl w:val="0"/>
          <w:numId w:val="2"/>
        </w:numPr>
        <w:tabs>
          <w:tab w:val="left" w:pos="1318"/>
        </w:tabs>
      </w:pPr>
      <w:r>
        <w:rPr>
          <w:rStyle w:val="Bodytext2"/>
        </w:rPr>
        <w:t>Doporučujeme, aby teplota v místnosti byla nastavena v rozmezí 24 °</w:t>
      </w:r>
      <w:proofErr w:type="gramStart"/>
      <w:r>
        <w:rPr>
          <w:rStyle w:val="Bodytext2"/>
        </w:rPr>
        <w:t>C - 26</w:t>
      </w:r>
      <w:proofErr w:type="gramEnd"/>
      <w:r>
        <w:rPr>
          <w:rStyle w:val="Bodytext2"/>
        </w:rPr>
        <w:t xml:space="preserve"> °C (75,2 °F - 78,8 °F), s relativní vlhkostí 40%-60%. Teploměry a vlhkoměry by měly být umístěny v pokoji kojenců.</w:t>
      </w:r>
    </w:p>
    <w:p w:rsidR="00CC51B5" w:rsidRDefault="0057028C">
      <w:pPr>
        <w:pStyle w:val="Bodytext20"/>
        <w:numPr>
          <w:ilvl w:val="0"/>
          <w:numId w:val="2"/>
        </w:numPr>
        <w:tabs>
          <w:tab w:val="left" w:pos="1323"/>
        </w:tabs>
        <w:spacing w:after="260"/>
      </w:pPr>
      <w:r>
        <w:rPr>
          <w:rStyle w:val="Bodytext2"/>
        </w:rPr>
        <w:t>Prostředí pro koupání kojenců je třeba udržovat v teplotním</w:t>
      </w:r>
      <w:r>
        <w:rPr>
          <w:rStyle w:val="Bodytext2"/>
        </w:rPr>
        <w:t xml:space="preserve"> rozmezí 24 °</w:t>
      </w:r>
      <w:proofErr w:type="gramStart"/>
      <w:r>
        <w:rPr>
          <w:rStyle w:val="Bodytext2"/>
        </w:rPr>
        <w:t>C - 27</w:t>
      </w:r>
      <w:proofErr w:type="gramEnd"/>
      <w:r>
        <w:rPr>
          <w:rStyle w:val="Bodytext2"/>
        </w:rPr>
        <w:t xml:space="preserve"> °C (75,2 °F - 80,6 °F). Doporučuje se koupat kojence 5 minut ve vodě o teplotě 38 °</w:t>
      </w:r>
      <w:proofErr w:type="gramStart"/>
      <w:r>
        <w:rPr>
          <w:rStyle w:val="Bodytext2"/>
        </w:rPr>
        <w:t>C - 40</w:t>
      </w:r>
      <w:proofErr w:type="gramEnd"/>
      <w:r>
        <w:rPr>
          <w:rStyle w:val="Bodytext2"/>
        </w:rPr>
        <w:t xml:space="preserve"> °C (100,4 °F - 104 °F). Po koupeli je třeba kojence pořádně osušit a správně hydratovat. V zimě doporučujeme koupat kojence mezi 11. hodinou dopol</w:t>
      </w:r>
      <w:r>
        <w:rPr>
          <w:rStyle w:val="Bodytext2"/>
        </w:rPr>
        <w:t>edne a 14. hodinou odpoledne. Teplota umělého mléka by měla být 38 °C (100,4 °F).</w:t>
      </w:r>
    </w:p>
    <w:p w:rsidR="00CC51B5" w:rsidRDefault="0057028C">
      <w:pPr>
        <w:pStyle w:val="Heading310"/>
        <w:keepNext/>
        <w:keepLines/>
        <w:numPr>
          <w:ilvl w:val="0"/>
          <w:numId w:val="1"/>
        </w:numPr>
        <w:tabs>
          <w:tab w:val="left" w:pos="1520"/>
        </w:tabs>
        <w:spacing w:line="204" w:lineRule="auto"/>
        <w:ind w:left="1100" w:firstLine="20"/>
      </w:pPr>
      <w:bookmarkStart w:id="2" w:name="bookmark4"/>
      <w:r>
        <w:rPr>
          <w:rStyle w:val="Heading31"/>
          <w:b/>
          <w:bCs/>
        </w:rPr>
        <w:t>Bezpečnost</w:t>
      </w:r>
      <w:bookmarkEnd w:id="2"/>
    </w:p>
    <w:p w:rsidR="00CC51B5" w:rsidRDefault="0057028C">
      <w:pPr>
        <w:pStyle w:val="Bodytext20"/>
        <w:numPr>
          <w:ilvl w:val="0"/>
          <w:numId w:val="3"/>
        </w:numPr>
        <w:tabs>
          <w:tab w:val="left" w:pos="1328"/>
        </w:tabs>
        <w:spacing w:line="240" w:lineRule="auto"/>
      </w:pPr>
      <w:r>
        <w:rPr>
          <w:rStyle w:val="Bodytext2"/>
        </w:rPr>
        <w:t>Výsledky měření tímto teploměrem nemohou nahradit lékařské vyšetření.</w:t>
      </w:r>
    </w:p>
    <w:p w:rsidR="00CC51B5" w:rsidRDefault="0057028C">
      <w:pPr>
        <w:pStyle w:val="Bodytext20"/>
        <w:numPr>
          <w:ilvl w:val="0"/>
          <w:numId w:val="3"/>
        </w:numPr>
        <w:tabs>
          <w:tab w:val="left" w:pos="1313"/>
        </w:tabs>
        <w:spacing w:line="240" w:lineRule="auto"/>
      </w:pPr>
      <w:r>
        <w:rPr>
          <w:rStyle w:val="Bodytext2"/>
        </w:rPr>
        <w:t>Při měření teploty kojenců a dětí je třeba, aby byly děti v klidu. Pohyby mohou způsobit nepř</w:t>
      </w:r>
      <w:r>
        <w:rPr>
          <w:rStyle w:val="Bodytext2"/>
        </w:rPr>
        <w:t>esné výsledky.</w:t>
      </w:r>
    </w:p>
    <w:p w:rsidR="00CC51B5" w:rsidRDefault="0057028C">
      <w:pPr>
        <w:pStyle w:val="Bodytext20"/>
        <w:numPr>
          <w:ilvl w:val="0"/>
          <w:numId w:val="3"/>
        </w:numPr>
        <w:tabs>
          <w:tab w:val="left" w:pos="1318"/>
        </w:tabs>
        <w:spacing w:line="240" w:lineRule="auto"/>
      </w:pPr>
      <w:r>
        <w:rPr>
          <w:rStyle w:val="Bodytext2"/>
        </w:rPr>
        <w:t>Za žádných okolností nemodifikujte, nerozebírejte ani neopravujte tento teploměr. Záruka zaniká, pokud je porucha či nesprávná funkce přístroje způsobena modifikací.</w:t>
      </w:r>
    </w:p>
    <w:p w:rsidR="00CC51B5" w:rsidRDefault="0057028C">
      <w:pPr>
        <w:pStyle w:val="Bodytext20"/>
        <w:numPr>
          <w:ilvl w:val="0"/>
          <w:numId w:val="3"/>
        </w:numPr>
        <w:tabs>
          <w:tab w:val="left" w:pos="1308"/>
        </w:tabs>
        <w:spacing w:after="220" w:line="240" w:lineRule="auto"/>
      </w:pPr>
      <w:r>
        <w:rPr>
          <w:rStyle w:val="Bodytext2"/>
        </w:rPr>
        <w:t xml:space="preserve">Pokud nepoužíváte teploměr po delší dobu, vyjměte z něj baterie a přístroj </w:t>
      </w:r>
      <w:r>
        <w:rPr>
          <w:rStyle w:val="Bodytext2"/>
        </w:rPr>
        <w:t>uložte na bezpečné místo. Vyjmuté baterie skladujte odděleně.</w:t>
      </w:r>
    </w:p>
    <w:p w:rsidR="00CC51B5" w:rsidRDefault="0057028C">
      <w:pPr>
        <w:pStyle w:val="Bodytext20"/>
        <w:spacing w:line="240" w:lineRule="auto"/>
      </w:pPr>
      <w:r>
        <w:rPr>
          <w:rStyle w:val="Bodytext2"/>
        </w:rPr>
        <w:t>Poznámka:</w:t>
      </w:r>
    </w:p>
    <w:p w:rsidR="00CC51B5" w:rsidRDefault="0057028C">
      <w:pPr>
        <w:pStyle w:val="Bodytext20"/>
        <w:spacing w:after="220" w:line="240" w:lineRule="auto"/>
      </w:pPr>
      <w:r>
        <w:rPr>
          <w:rStyle w:val="Bodytext2"/>
        </w:rPr>
        <w:t>Odchylka pro IR teploměry dle laboratorních požadavků na přesnost společnosti ASTM (Americká společnost pro testování a materiály) je pro teplotní rozmezí 22 °</w:t>
      </w:r>
      <w:proofErr w:type="gramStart"/>
      <w:r>
        <w:rPr>
          <w:rStyle w:val="Bodytext2"/>
        </w:rPr>
        <w:t>C - 40</w:t>
      </w:r>
      <w:proofErr w:type="gramEnd"/>
      <w:r>
        <w:rPr>
          <w:rStyle w:val="Bodytext2"/>
        </w:rPr>
        <w:t>°C (71,6 °C - 104,0</w:t>
      </w:r>
      <w:r>
        <w:rPr>
          <w:rStyle w:val="Bodytext2"/>
        </w:rPr>
        <w:t xml:space="preserve"> °F) ± 0,3 °C (± 0,5 °F). Pro skleněné rtuťové teploměry a elektronické teploměry je tato odchylka dle ASTM standardů E667-86 a El 112-86 ±0,1 °C (± 0,2 °F).</w:t>
      </w:r>
    </w:p>
    <w:p w:rsidR="00CC51B5" w:rsidRDefault="0057028C">
      <w:pPr>
        <w:pStyle w:val="Bodytext20"/>
        <w:ind w:firstLine="0"/>
      </w:pPr>
      <w:r>
        <w:rPr>
          <w:rStyle w:val="Bodytext2"/>
        </w:rPr>
        <w:t>Poznámka:</w:t>
      </w:r>
    </w:p>
    <w:p w:rsidR="00CC51B5" w:rsidRDefault="0057028C">
      <w:pPr>
        <w:pStyle w:val="Bodytext20"/>
      </w:pPr>
      <w:r>
        <w:rPr>
          <w:rStyle w:val="Bodytext2"/>
        </w:rPr>
        <w:t>Pacienti i teploměr by měl před měřením zůstat min. 30 min. v pokoji se stálými podmínka</w:t>
      </w:r>
      <w:r>
        <w:rPr>
          <w:rStyle w:val="Bodytext2"/>
        </w:rPr>
        <w:t>mi. Pokud je přístroj skladován na místě s teplotou mimo obvyklé rozmezí pokojové teploty, měl by teploměr před měřením zůstat 30 min. v místnosti s normální pokojovou teplotou.</w:t>
      </w:r>
    </w:p>
    <w:p w:rsidR="00CC51B5" w:rsidRDefault="0057028C">
      <w:pPr>
        <w:pStyle w:val="Bodytext20"/>
      </w:pPr>
      <w:r>
        <w:rPr>
          <w:rStyle w:val="Bodytext2"/>
        </w:rPr>
        <w:t>Neprovádějte měření během kojení, či těsně po kojení dítěte.</w:t>
      </w:r>
    </w:p>
    <w:p w:rsidR="00CC51B5" w:rsidRDefault="0057028C">
      <w:pPr>
        <w:pStyle w:val="Bodytext20"/>
      </w:pPr>
      <w:r>
        <w:rPr>
          <w:rStyle w:val="Bodytext2"/>
        </w:rPr>
        <w:t>Výsledky měření s</w:t>
      </w:r>
      <w:r>
        <w:rPr>
          <w:rStyle w:val="Bodytext2"/>
        </w:rPr>
        <w:t>e mohou lišit v závislosti na lokaci. Proto doporučujeme měřit teplotu na více než dvou místech na čele. Nejvyšší naměřenou teplotu považujte za správnou.</w:t>
      </w:r>
    </w:p>
    <w:p w:rsidR="00CC51B5" w:rsidRDefault="0057028C">
      <w:pPr>
        <w:pStyle w:val="Bodytext20"/>
      </w:pPr>
      <w:r>
        <w:rPr>
          <w:rStyle w:val="Bodytext2"/>
        </w:rPr>
        <w:t>Nepoužívejte teploměr v místech s vysokou vlhkostí.</w:t>
      </w:r>
    </w:p>
    <w:p w:rsidR="00CC51B5" w:rsidRDefault="0057028C">
      <w:pPr>
        <w:pStyle w:val="Bodytext20"/>
      </w:pPr>
      <w:r>
        <w:rPr>
          <w:rStyle w:val="Bodytext2"/>
        </w:rPr>
        <w:t>Nepohybujte s teploměrem a nevzdalujte jej z měři</w:t>
      </w:r>
      <w:r>
        <w:rPr>
          <w:rStyle w:val="Bodytext2"/>
        </w:rPr>
        <w:t>cí oblasti, dokud neuslyšíte pípnut signalizující ukončení měření.</w:t>
      </w:r>
    </w:p>
    <w:p w:rsidR="00CC51B5" w:rsidRDefault="0057028C">
      <w:pPr>
        <w:pStyle w:val="Bodytext20"/>
      </w:pPr>
      <w:r>
        <w:rPr>
          <w:rStyle w:val="Bodytext2"/>
        </w:rPr>
        <w:t>Typ ochrany proti elektrickému šoku: Vnitřně napájené zařízení.</w:t>
      </w:r>
    </w:p>
    <w:p w:rsidR="00CC51B5" w:rsidRDefault="0057028C">
      <w:pPr>
        <w:pStyle w:val="Bodytext20"/>
      </w:pPr>
      <w:r>
        <w:rPr>
          <w:rStyle w:val="Bodytext2"/>
        </w:rPr>
        <w:t>Stupeň ochrany proti elektrickému šoku: Aplikované části typu B.</w:t>
      </w:r>
    </w:p>
    <w:p w:rsidR="00CC51B5" w:rsidRDefault="0057028C">
      <w:pPr>
        <w:pStyle w:val="Bodytext20"/>
      </w:pPr>
      <w:r>
        <w:rPr>
          <w:rStyle w:val="Bodytext2"/>
        </w:rPr>
        <w:t>Klasifikace dle stupně ochrany proti vniku vody (dle normy I</w:t>
      </w:r>
      <w:r>
        <w:rPr>
          <w:rStyle w:val="Bodytext2"/>
        </w:rPr>
        <w:t xml:space="preserve">EC 60529): </w:t>
      </w:r>
      <w:r>
        <w:rPr>
          <w:rStyle w:val="Bodytext2"/>
          <w:lang w:val="en-US" w:eastAsia="en-US" w:bidi="en-US"/>
        </w:rPr>
        <w:t xml:space="preserve">IPX0, </w:t>
      </w:r>
      <w:r>
        <w:rPr>
          <w:rStyle w:val="Bodytext2"/>
        </w:rPr>
        <w:t>obyčejné zařízení.</w:t>
      </w:r>
    </w:p>
    <w:p w:rsidR="00CC51B5" w:rsidRDefault="0057028C">
      <w:pPr>
        <w:pStyle w:val="Bodytext20"/>
      </w:pPr>
      <w:r>
        <w:rPr>
          <w:rStyle w:val="Bodytext2"/>
        </w:rPr>
        <w:t>Toto zařízení není dovoleno užívat v přítomnosti zápalných anestetik či kyslíku.</w:t>
      </w:r>
    </w:p>
    <w:p w:rsidR="00CC51B5" w:rsidRDefault="0057028C">
      <w:pPr>
        <w:pStyle w:val="Bodytext20"/>
      </w:pPr>
      <w:r>
        <w:rPr>
          <w:rStyle w:val="Bodytext2"/>
        </w:rPr>
        <w:t>Operační režim: Kontinuální činnost.</w:t>
      </w:r>
    </w:p>
    <w:p w:rsidR="00CC51B5" w:rsidRDefault="0057028C">
      <w:pPr>
        <w:pStyle w:val="Bodytext20"/>
      </w:pPr>
      <w:r>
        <w:rPr>
          <w:rStyle w:val="Bodytext2"/>
        </w:rPr>
        <w:t xml:space="preserve">Toto zařízení bylo testováno a schváleno (odpovídá limitům pro lékařské přístroje dle normy IEC/EN </w:t>
      </w:r>
      <w:r>
        <w:rPr>
          <w:rStyle w:val="Bodytext2"/>
        </w:rPr>
        <w:t>60601-1-2:1994). Tyto limity poskytují přiměřenou ochranu proti škodlivým interferencím v běžných lékařských zařízeních.</w:t>
      </w:r>
    </w:p>
    <w:p w:rsidR="00CC51B5" w:rsidRDefault="0057028C">
      <w:pPr>
        <w:pStyle w:val="Bodytext20"/>
      </w:pPr>
      <w:r>
        <w:rPr>
          <w:rStyle w:val="Bodytext2"/>
        </w:rPr>
        <w:t>Toto zařízení generuje a může vyzařovat radiofrekvenční energii, která může způsobit škodlivou interferenci s ostatními přístroji v blí</w:t>
      </w:r>
      <w:r>
        <w:rPr>
          <w:rStyle w:val="Bodytext2"/>
        </w:rPr>
        <w:t>zkosti, pokud není zařízená nainstalováno a používáno dle instrukcí.</w:t>
      </w:r>
    </w:p>
    <w:p w:rsidR="00CC51B5" w:rsidRDefault="0057028C">
      <w:pPr>
        <w:pStyle w:val="Bodytext20"/>
        <w:sectPr w:rsidR="00CC51B5">
          <w:pgSz w:w="11900" w:h="16840"/>
          <w:pgMar w:top="1490" w:right="1100" w:bottom="1490" w:left="1287" w:header="0" w:footer="1062" w:gutter="0"/>
          <w:cols w:space="720"/>
          <w:noEndnote/>
          <w:docGrid w:linePitch="360"/>
        </w:sectPr>
      </w:pPr>
      <w:r>
        <w:rPr>
          <w:rStyle w:val="Bodytext2"/>
        </w:rPr>
        <w:t>Avšak ani při správné instalaci není zaručeno, že se interference neobjeví.</w:t>
      </w:r>
    </w:p>
    <w:p w:rsidR="00CC51B5" w:rsidRDefault="0057028C">
      <w:pPr>
        <w:pStyle w:val="Bodytext20"/>
        <w:spacing w:before="80" w:line="240" w:lineRule="auto"/>
        <w:ind w:left="1120" w:firstLine="0"/>
      </w:pPr>
      <w:r>
        <w:rPr>
          <w:rStyle w:val="Bodytext2"/>
        </w:rPr>
        <w:lastRenderedPageBreak/>
        <w:t>Pokud toto zařízení způsobí škodlivou interferenci s ostatními postroji, což může být zj</w:t>
      </w:r>
      <w:r>
        <w:rPr>
          <w:rStyle w:val="Bodytext2"/>
        </w:rPr>
        <w:t>ištěno vypnutím a zapnutím přístroje, doporučujeme uživateli, aby zabránil interferenci jedním z následujících opatření:</w:t>
      </w:r>
    </w:p>
    <w:p w:rsidR="00CC51B5" w:rsidRDefault="0057028C">
      <w:pPr>
        <w:pStyle w:val="Bodytext20"/>
        <w:spacing w:line="240" w:lineRule="auto"/>
        <w:ind w:left="1120" w:firstLine="0"/>
      </w:pPr>
      <w:r>
        <w:rPr>
          <w:rStyle w:val="Bodytext2"/>
        </w:rPr>
        <w:t>-Přeorientujte či přemístěte přijímací přístroj.</w:t>
      </w:r>
    </w:p>
    <w:p w:rsidR="00CC51B5" w:rsidRDefault="0057028C">
      <w:pPr>
        <w:pStyle w:val="Bodytext20"/>
        <w:numPr>
          <w:ilvl w:val="0"/>
          <w:numId w:val="3"/>
        </w:numPr>
        <w:tabs>
          <w:tab w:val="left" w:pos="1378"/>
        </w:tabs>
        <w:spacing w:line="240" w:lineRule="auto"/>
        <w:ind w:left="1120" w:firstLine="0"/>
      </w:pPr>
      <w:r>
        <w:rPr>
          <w:rStyle w:val="Bodytext2"/>
        </w:rPr>
        <w:t>Zvyšte vzdálenost/oddělení mezi zařízeními.</w:t>
      </w:r>
    </w:p>
    <w:p w:rsidR="00CC51B5" w:rsidRDefault="0057028C">
      <w:pPr>
        <w:pStyle w:val="Bodytext20"/>
        <w:numPr>
          <w:ilvl w:val="0"/>
          <w:numId w:val="3"/>
        </w:numPr>
        <w:tabs>
          <w:tab w:val="left" w:pos="1373"/>
        </w:tabs>
        <w:spacing w:line="240" w:lineRule="auto"/>
        <w:ind w:left="1120" w:firstLine="0"/>
      </w:pPr>
      <w:r>
        <w:rPr>
          <w:rStyle w:val="Bodytext2"/>
        </w:rPr>
        <w:t xml:space="preserve">Připojte zařízení do zdířky s jiným </w:t>
      </w:r>
      <w:r>
        <w:rPr>
          <w:rStyle w:val="Bodytext2"/>
        </w:rPr>
        <w:t>obvodem, než ke kterému jsou připojeny ostatní přístroje.</w:t>
      </w:r>
    </w:p>
    <w:p w:rsidR="00CC51B5" w:rsidRDefault="0057028C">
      <w:pPr>
        <w:pStyle w:val="Bodytext20"/>
        <w:numPr>
          <w:ilvl w:val="0"/>
          <w:numId w:val="3"/>
        </w:numPr>
        <w:tabs>
          <w:tab w:val="left" w:pos="1378"/>
        </w:tabs>
        <w:spacing w:after="500" w:line="240" w:lineRule="auto"/>
        <w:ind w:left="1120" w:firstLine="0"/>
      </w:pPr>
      <w:r>
        <w:rPr>
          <w:rStyle w:val="Bodytext2"/>
        </w:rPr>
        <w:t>Zkonzultujte problém s technickým odborníkem.</w:t>
      </w:r>
    </w:p>
    <w:p w:rsidR="00CC51B5" w:rsidRDefault="0057028C">
      <w:pPr>
        <w:pStyle w:val="Heading310"/>
        <w:keepNext/>
        <w:keepLines/>
        <w:numPr>
          <w:ilvl w:val="0"/>
          <w:numId w:val="1"/>
        </w:numPr>
        <w:tabs>
          <w:tab w:val="left" w:pos="1560"/>
        </w:tabs>
        <w:spacing w:line="206" w:lineRule="auto"/>
        <w:ind w:firstLine="0"/>
      </w:pPr>
      <w:bookmarkStart w:id="3" w:name="bookmark6"/>
      <w:r>
        <w:rPr>
          <w:rStyle w:val="Heading31"/>
          <w:b/>
          <w:bCs/>
        </w:rPr>
        <w:t>Čištění a skladování</w:t>
      </w:r>
      <w:bookmarkEnd w:id="3"/>
    </w:p>
    <w:p w:rsidR="00CC51B5" w:rsidRDefault="0057028C">
      <w:pPr>
        <w:pStyle w:val="Bodytext20"/>
        <w:numPr>
          <w:ilvl w:val="0"/>
          <w:numId w:val="4"/>
        </w:numPr>
        <w:tabs>
          <w:tab w:val="left" w:pos="1373"/>
        </w:tabs>
        <w:ind w:left="1120" w:firstLine="0"/>
      </w:pPr>
      <w:r>
        <w:rPr>
          <w:rStyle w:val="Bodytext2"/>
        </w:rPr>
        <w:t>Senzorová část teploměru je velmi citlivá a musí být udržována čistá a nepoškozená.</w:t>
      </w:r>
    </w:p>
    <w:p w:rsidR="00CC51B5" w:rsidRDefault="0057028C">
      <w:pPr>
        <w:pStyle w:val="Bodytext20"/>
        <w:numPr>
          <w:ilvl w:val="0"/>
          <w:numId w:val="4"/>
        </w:numPr>
        <w:tabs>
          <w:tab w:val="left" w:pos="1378"/>
        </w:tabs>
        <w:ind w:left="1120" w:firstLine="0"/>
      </w:pPr>
      <w:r>
        <w:rPr>
          <w:rStyle w:val="Bodytext2"/>
        </w:rPr>
        <w:t>Nevkládejte do sondy žádné cizí předměty.</w:t>
      </w:r>
    </w:p>
    <w:p w:rsidR="00CC51B5" w:rsidRDefault="0057028C">
      <w:pPr>
        <w:pStyle w:val="Bodytext20"/>
        <w:numPr>
          <w:ilvl w:val="0"/>
          <w:numId w:val="4"/>
        </w:numPr>
        <w:tabs>
          <w:tab w:val="left" w:pos="1373"/>
        </w:tabs>
        <w:ind w:left="1120" w:firstLine="0"/>
      </w:pPr>
      <w:r>
        <w:rPr>
          <w:rStyle w:val="Bodytext2"/>
        </w:rPr>
        <w:t>Pro o</w:t>
      </w:r>
      <w:r>
        <w:rPr>
          <w:rStyle w:val="Bodytext2"/>
        </w:rPr>
        <w:t>čištění senzoru použijte vatu či vatový tampon s metylalkoholem a jemně otřete povrch senzoru.</w:t>
      </w:r>
    </w:p>
    <w:p w:rsidR="00CC51B5" w:rsidRDefault="0057028C">
      <w:pPr>
        <w:pStyle w:val="Bodytext20"/>
        <w:numPr>
          <w:ilvl w:val="0"/>
          <w:numId w:val="4"/>
        </w:numPr>
        <w:tabs>
          <w:tab w:val="left" w:pos="1378"/>
        </w:tabs>
        <w:ind w:left="1120" w:firstLine="0"/>
      </w:pPr>
      <w:r>
        <w:rPr>
          <w:rStyle w:val="Bodytext2"/>
        </w:rPr>
        <w:t>Přístroj nesmí být vystaven žádným přímým slunečním paprskům a je třeba jej uchovávat na místě bez prachu a nečistot.</w:t>
      </w:r>
    </w:p>
    <w:p w:rsidR="00CC51B5" w:rsidRDefault="0057028C">
      <w:pPr>
        <w:pStyle w:val="Bodytext20"/>
        <w:numPr>
          <w:ilvl w:val="0"/>
          <w:numId w:val="4"/>
        </w:numPr>
        <w:tabs>
          <w:tab w:val="left" w:pos="1373"/>
        </w:tabs>
        <w:ind w:left="1120" w:firstLine="0"/>
      </w:pPr>
      <w:r>
        <w:rPr>
          <w:rStyle w:val="Bodytext2"/>
        </w:rPr>
        <w:t xml:space="preserve">Teploměr by měl být uchováván při pokojové </w:t>
      </w:r>
      <w:r>
        <w:rPr>
          <w:rStyle w:val="Bodytext2"/>
        </w:rPr>
        <w:t>teplotě. Vhodná venkovní teplota je v rozmezí 16 °C-40 °C (60,8 °C-104 °C).</w:t>
      </w:r>
    </w:p>
    <w:p w:rsidR="00CC51B5" w:rsidRDefault="0057028C">
      <w:pPr>
        <w:pStyle w:val="Bodytext20"/>
        <w:numPr>
          <w:ilvl w:val="0"/>
          <w:numId w:val="4"/>
        </w:numPr>
        <w:tabs>
          <w:tab w:val="left" w:pos="1373"/>
        </w:tabs>
        <w:ind w:left="1120" w:firstLine="0"/>
      </w:pPr>
      <w:r>
        <w:rPr>
          <w:rStyle w:val="Bodytext2"/>
        </w:rPr>
        <w:t>Pokud teploměr nebyl uskladněn při pokojové teplotě, nechte teploměr v místnosti</w:t>
      </w:r>
    </w:p>
    <w:p w:rsidR="00CC51B5" w:rsidRDefault="0057028C">
      <w:pPr>
        <w:pStyle w:val="Bodytext20"/>
        <w:ind w:left="1120" w:firstLine="0"/>
      </w:pPr>
      <w:r>
        <w:rPr>
          <w:rStyle w:val="Bodytext2"/>
        </w:rPr>
        <w:t>s pokojovou teplotou po dobu 30 min. před použitím.</w:t>
      </w:r>
    </w:p>
    <w:p w:rsidR="00CC51B5" w:rsidRDefault="0057028C">
      <w:pPr>
        <w:pStyle w:val="Bodytext20"/>
        <w:numPr>
          <w:ilvl w:val="0"/>
          <w:numId w:val="4"/>
        </w:numPr>
        <w:tabs>
          <w:tab w:val="left" w:pos="1368"/>
        </w:tabs>
        <w:spacing w:after="200"/>
        <w:ind w:left="1120" w:firstLine="0"/>
      </w:pPr>
      <w:r>
        <w:rPr>
          <w:rStyle w:val="Bodytext2"/>
        </w:rPr>
        <w:t xml:space="preserve">Pokud je potřeba přístroj opravit, kontaktujte </w:t>
      </w:r>
      <w:proofErr w:type="spellStart"/>
      <w:r>
        <w:rPr>
          <w:rStyle w:val="Bodytext2"/>
        </w:rPr>
        <w:t>prosim</w:t>
      </w:r>
      <w:proofErr w:type="spellEnd"/>
      <w:r>
        <w:rPr>
          <w:rStyle w:val="Bodytext2"/>
        </w:rPr>
        <w:t xml:space="preserve"> dodavatele/výrobce.</w:t>
      </w:r>
    </w:p>
    <w:p w:rsidR="00CC51B5" w:rsidRDefault="0057028C">
      <w:pPr>
        <w:pStyle w:val="Heading310"/>
        <w:keepNext/>
        <w:keepLines/>
        <w:numPr>
          <w:ilvl w:val="0"/>
          <w:numId w:val="1"/>
        </w:numPr>
        <w:tabs>
          <w:tab w:val="left" w:pos="1565"/>
        </w:tabs>
        <w:spacing w:after="240" w:line="240" w:lineRule="auto"/>
        <w:ind w:firstLine="0"/>
      </w:pPr>
      <w:bookmarkStart w:id="4" w:name="bookmark8"/>
      <w:r>
        <w:rPr>
          <w:rStyle w:val="Heading31"/>
          <w:b/>
          <w:bCs/>
        </w:rPr>
        <w:t>Specifikace produktu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5155"/>
      </w:tblGrid>
      <w:tr w:rsidR="00CC51B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Položka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Detailní popis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Měřicí metoda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Infračervené (IR) měření, bezkontaktní měření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Základní funkce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Multiměřeni</w:t>
            </w:r>
            <w:proofErr w:type="spellEnd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 (přepínání mezi Tělesnou teplotou a Teplotou objektu; mezi stupni Celsia a Fahrenheita), funkce</w:t>
            </w: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 paměti, ovládání zvuku (On/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Off</w:t>
            </w:r>
            <w:proofErr w:type="spellEnd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Operační podmínky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16 °</w:t>
            </w:r>
            <w:proofErr w:type="gramStart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C - 40</w:t>
            </w:r>
            <w:proofErr w:type="gramEnd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 °C (60,8 °F - 104 °F), vlhkost: pod 95%, atmosférický tlak (hPa): 700 ~ 1060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Podmínky pro skladování a transport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-20 °</w:t>
            </w:r>
            <w:proofErr w:type="gramStart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C - 50</w:t>
            </w:r>
            <w:proofErr w:type="gramEnd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 °C (-4 °F - 122 °F), vlhkost: pod 95%, atmosférický tlak (hPa): </w:t>
            </w: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700-1060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Měřicí vzdálenost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2-3 cm od měřicího bodu na spánkové oblasti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Měřicí rozmezí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Tělesná teplota: 22 °C -42,5 °C (71,6 °F - 108,5 °F) Přesnost: ± 0,2 °C (36 °</w:t>
            </w:r>
            <w:proofErr w:type="gramStart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C - 39</w:t>
            </w:r>
            <w:proofErr w:type="gramEnd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 °C) Další přesnost: ± 0,3 °C</w:t>
            </w:r>
          </w:p>
          <w:p w:rsidR="00CC51B5" w:rsidRDefault="0057028C">
            <w:pPr>
              <w:pStyle w:val="Other10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Teplota objektu: 10 °</w:t>
            </w:r>
            <w:proofErr w:type="gramStart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C - 80</w:t>
            </w:r>
            <w:proofErr w:type="gramEnd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 °C (50 °F - 176 °F)</w:t>
            </w:r>
          </w:p>
          <w:p w:rsidR="00CC51B5" w:rsidRDefault="0057028C">
            <w:pPr>
              <w:pStyle w:val="Other10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Přesnost: ± 2 °C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Měřicí čas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Méně než 2 sekundy, kontinuální měření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Rozlišení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0,1 °C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Výběr režimů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Tělesná teplota, Teplota objektu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Funkce paměti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Automatická pamětní funkce Potvrzeni výsledku použitím tlačítka paměti Uloží až 32 výsledků (</w:t>
            </w:r>
            <w:proofErr w:type="gramStart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1 - 32</w:t>
            </w:r>
            <w:proofErr w:type="gramEnd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Zvuk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Tlačítko pro zvuk, Měřicí zvuk, Zvuk pro výsledek; zvuk může být zapnut, či vypnut použitím tlačítka pro zvuk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Typ obrazovky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Mono LCD</w:t>
            </w:r>
          </w:p>
        </w:tc>
      </w:tr>
    </w:tbl>
    <w:p w:rsidR="00CC51B5" w:rsidRDefault="00CC51B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5179"/>
      </w:tblGrid>
      <w:tr w:rsidR="00CC51B5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Displej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57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Režim tělesné teploty, Režim měření teploty objektu, Umístění paměti, Slabá baterie, °C/°F, 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Hi</w:t>
            </w:r>
            <w:proofErr w:type="spellEnd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Lo</w:t>
            </w:r>
            <w:proofErr w:type="spellEnd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 indikuje </w:t>
            </w: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teplotu mimo měřitelné rozmezí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Tlačítka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Start, </w:t>
            </w: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 xml:space="preserve">Sound </w:t>
            </w: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(zvuk), Mode (režim), </w:t>
            </w: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Memory</w:t>
            </w:r>
            <w:proofErr w:type="spellEnd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 (paměť)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Podsvětlení</w:t>
            </w:r>
            <w:proofErr w:type="spellEnd"/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Zapnuto 3 sekundy po měření, vypnutí probíhá automaticky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Úspora energie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Vypnutí automatické po jedné minutě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Komponenty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Přístroj, manuál, 2 kusy </w:t>
            </w: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baterií AAA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Napájení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DC3V (AAA 1,5 V baterie 2 kusy)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Počet měření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Více než 5000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Velikost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152 mm x 36 mm x 37 mm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Hmotnost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68 g (bez baterií)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Původ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Korejská republika</w:t>
            </w:r>
          </w:p>
        </w:tc>
      </w:tr>
    </w:tbl>
    <w:p w:rsidR="00CC51B5" w:rsidRDefault="00CC51B5">
      <w:pPr>
        <w:spacing w:after="199" w:line="1" w:lineRule="exact"/>
      </w:pPr>
    </w:p>
    <w:p w:rsidR="00CC51B5" w:rsidRDefault="0057028C">
      <w:pPr>
        <w:pStyle w:val="Heading310"/>
        <w:keepNext/>
        <w:keepLines/>
        <w:numPr>
          <w:ilvl w:val="0"/>
          <w:numId w:val="1"/>
        </w:numPr>
        <w:tabs>
          <w:tab w:val="left" w:pos="1585"/>
        </w:tabs>
        <w:spacing w:line="240" w:lineRule="auto"/>
        <w:ind w:left="1140" w:firstLine="0"/>
      </w:pPr>
      <w:bookmarkStart w:id="5" w:name="bookmark10"/>
      <w:r>
        <w:rPr>
          <w:rStyle w:val="Heading31"/>
          <w:b/>
          <w:bCs/>
        </w:rPr>
        <w:t>Záruka</w:t>
      </w:r>
      <w:bookmarkEnd w:id="5"/>
    </w:p>
    <w:p w:rsidR="00CC51B5" w:rsidRDefault="0057028C">
      <w:pPr>
        <w:pStyle w:val="Bodytext20"/>
        <w:numPr>
          <w:ilvl w:val="0"/>
          <w:numId w:val="5"/>
        </w:numPr>
        <w:tabs>
          <w:tab w:val="left" w:pos="1393"/>
        </w:tabs>
        <w:spacing w:line="240" w:lineRule="auto"/>
        <w:ind w:left="1140" w:firstLine="0"/>
      </w:pPr>
      <w:r>
        <w:rPr>
          <w:rStyle w:val="Bodytext2"/>
        </w:rPr>
        <w:t>Záruční doba je dva roky od zakoupení produktu.</w:t>
      </w:r>
    </w:p>
    <w:p w:rsidR="00CC51B5" w:rsidRDefault="0057028C">
      <w:pPr>
        <w:pStyle w:val="Bodytext20"/>
        <w:numPr>
          <w:ilvl w:val="0"/>
          <w:numId w:val="5"/>
        </w:numPr>
        <w:tabs>
          <w:tab w:val="left" w:pos="1393"/>
        </w:tabs>
        <w:spacing w:line="240" w:lineRule="auto"/>
        <w:ind w:left="1140" w:firstLine="0"/>
      </w:pPr>
      <w:r>
        <w:rPr>
          <w:rStyle w:val="Bodytext2"/>
        </w:rPr>
        <w:t xml:space="preserve">Defektní produkty budou </w:t>
      </w:r>
      <w:r>
        <w:rPr>
          <w:rStyle w:val="Bodytext2"/>
        </w:rPr>
        <w:t>opraveny, či vyměněny zdarma v záruční době.</w:t>
      </w:r>
    </w:p>
    <w:p w:rsidR="00CC51B5" w:rsidRDefault="0057028C">
      <w:pPr>
        <w:pStyle w:val="Bodytext20"/>
        <w:numPr>
          <w:ilvl w:val="0"/>
          <w:numId w:val="5"/>
        </w:numPr>
        <w:tabs>
          <w:tab w:val="left" w:pos="1402"/>
        </w:tabs>
        <w:spacing w:after="780" w:line="240" w:lineRule="auto"/>
        <w:ind w:left="1140" w:firstLine="0"/>
      </w:pPr>
      <w:r>
        <w:rPr>
          <w:rStyle w:val="Bodytext2"/>
        </w:rPr>
        <w:t>V případě poškození přístroje uživatelovou nedbalostí záruka zaniká.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9"/>
        <w:gridCol w:w="1819"/>
      </w:tblGrid>
      <w:tr w:rsidR="00CC51B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Produkt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IR čelní teploměr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Datum nákupu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CC51B5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8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51B5" w:rsidRDefault="00CC51B5">
            <w:pPr>
              <w:rPr>
                <w:sz w:val="10"/>
                <w:szCs w:val="10"/>
              </w:rPr>
            </w:pP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Informace pro zákazníka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1B5" w:rsidRDefault="00CC51B5">
            <w:pPr>
              <w:rPr>
                <w:sz w:val="10"/>
                <w:szCs w:val="10"/>
              </w:rPr>
            </w:pP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Jméno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CC51B5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1B5" w:rsidRDefault="00CC51B5">
            <w:pPr>
              <w:rPr>
                <w:sz w:val="10"/>
                <w:szCs w:val="10"/>
              </w:rPr>
            </w:pP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Adresa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1B5" w:rsidRDefault="00CC51B5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1B5" w:rsidRDefault="00CC51B5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B5" w:rsidRDefault="00CC51B5">
            <w:pPr>
              <w:rPr>
                <w:sz w:val="10"/>
                <w:szCs w:val="10"/>
              </w:rPr>
            </w:pPr>
          </w:p>
        </w:tc>
      </w:tr>
    </w:tbl>
    <w:p w:rsidR="00CC51B5" w:rsidRDefault="00CC51B5">
      <w:pPr>
        <w:spacing w:after="439" w:line="1" w:lineRule="exact"/>
      </w:pPr>
    </w:p>
    <w:p w:rsidR="00CC51B5" w:rsidRDefault="0057028C">
      <w:pPr>
        <w:pStyle w:val="Bodytext20"/>
        <w:numPr>
          <w:ilvl w:val="0"/>
          <w:numId w:val="5"/>
        </w:numPr>
        <w:tabs>
          <w:tab w:val="left" w:pos="1561"/>
        </w:tabs>
        <w:spacing w:after="200" w:line="290" w:lineRule="auto"/>
        <w:ind w:left="1140" w:firstLine="0"/>
      </w:pPr>
      <w:r>
        <w:rPr>
          <w:rStyle w:val="Bodytext2"/>
        </w:rPr>
        <w:t>Symbol pro „PODÍVEJTE SE DO MANUÁLU“</w:t>
      </w:r>
    </w:p>
    <w:p w:rsidR="00CC51B5" w:rsidRDefault="0057028C">
      <w:pPr>
        <w:pStyle w:val="Bodytext20"/>
        <w:spacing w:after="260" w:line="187" w:lineRule="auto"/>
        <w:ind w:left="1240" w:firstLine="0"/>
      </w:pPr>
      <w:r>
        <w:rPr>
          <w:rStyle w:val="Bodytext2"/>
          <w:rFonts w:ascii="Arial" w:eastAsia="Arial" w:hAnsi="Arial" w:cs="Arial"/>
          <w:b/>
          <w:bCs/>
          <w:sz w:val="28"/>
          <w:szCs w:val="28"/>
        </w:rPr>
        <w:t xml:space="preserve">R </w:t>
      </w:r>
      <w:r>
        <w:rPr>
          <w:rStyle w:val="Bodytext2"/>
        </w:rPr>
        <w:t xml:space="preserve">Symbol </w:t>
      </w:r>
      <w:proofErr w:type="gramStart"/>
      <w:r>
        <w:rPr>
          <w:rStyle w:val="Bodytext2"/>
        </w:rPr>
        <w:t>pro .APLIKOVANÉ</w:t>
      </w:r>
      <w:proofErr w:type="gramEnd"/>
      <w:r>
        <w:rPr>
          <w:rStyle w:val="Bodytext2"/>
        </w:rPr>
        <w:t xml:space="preserve"> ČÁSTI TYPU B“</w:t>
      </w:r>
    </w:p>
    <w:p w:rsidR="00CC51B5" w:rsidRDefault="0057028C">
      <w:pPr>
        <w:pStyle w:val="Bodytext20"/>
        <w:numPr>
          <w:ilvl w:val="0"/>
          <w:numId w:val="5"/>
        </w:numPr>
        <w:tabs>
          <w:tab w:val="left" w:pos="1555"/>
        </w:tabs>
        <w:spacing w:after="260" w:line="187" w:lineRule="auto"/>
        <w:ind w:left="1240" w:firstLine="0"/>
      </w:pPr>
      <w:r>
        <w:rPr>
          <w:rStyle w:val="Bodytext2"/>
        </w:rPr>
        <w:t>Symbol pro „OCHRANA ŽIVOTNÍHO PROSTŘEDÍ“</w:t>
      </w:r>
    </w:p>
    <w:p w:rsidR="00CC51B5" w:rsidRDefault="0057028C">
      <w:pPr>
        <w:pStyle w:val="Bodytext20"/>
        <w:spacing w:after="200" w:line="290" w:lineRule="auto"/>
        <w:ind w:left="1140" w:firstLine="140"/>
      </w:pPr>
      <w:r>
        <w:rPr>
          <w:rStyle w:val="Bodytext2"/>
        </w:rPr>
        <w:t>“ Odpady elektrických produktů by neměly být vyhazovány do běžného domácího odpadu. Prosíme recyklujte tento odpad, zkonzultujte možnosti s místním úřadem či prodejcem.</w:t>
      </w:r>
    </w:p>
    <w:p w:rsidR="00CC51B5" w:rsidRDefault="0057028C">
      <w:pPr>
        <w:pStyle w:val="Bodytext20"/>
        <w:spacing w:after="200" w:line="290" w:lineRule="auto"/>
        <w:ind w:left="1240" w:firstLine="0"/>
      </w:pPr>
      <w:r>
        <w:rPr>
          <w:rStyle w:val="Bodytext2"/>
        </w:rPr>
        <w:t>• Symbo</w:t>
      </w:r>
      <w:r>
        <w:rPr>
          <w:rStyle w:val="Bodytext2"/>
        </w:rPr>
        <w:t>l pro „VÝROBCE“</w:t>
      </w:r>
    </w:p>
    <w:p w:rsidR="00CC51B5" w:rsidRDefault="0057028C">
      <w:pPr>
        <w:pStyle w:val="Bodytext20"/>
        <w:spacing w:after="200" w:line="290" w:lineRule="auto"/>
        <w:ind w:left="1240" w:firstLine="0"/>
      </w:pPr>
      <w:r>
        <w:rPr>
          <w:rStyle w:val="Bodytext2"/>
        </w:rPr>
        <w:t>C€012o Symbol pro „OZNAČENÍ CE“</w:t>
      </w:r>
    </w:p>
    <w:p w:rsidR="00CC51B5" w:rsidRDefault="0057028C">
      <w:pPr>
        <w:pStyle w:val="Bodytext20"/>
        <w:spacing w:line="240" w:lineRule="auto"/>
        <w:ind w:left="1240" w:firstLine="0"/>
      </w:pPr>
      <w:r>
        <w:rPr>
          <w:rStyle w:val="Bodytext2"/>
          <w:u w:val="single"/>
        </w:rPr>
        <w:t>—</w:t>
      </w:r>
    </w:p>
    <w:p w:rsidR="00CC51B5" w:rsidRDefault="0057028C">
      <w:pPr>
        <w:pStyle w:val="Bodytext20"/>
        <w:spacing w:after="260" w:line="180" w:lineRule="auto"/>
        <w:ind w:left="1240" w:firstLine="0"/>
      </w:pPr>
      <w:r>
        <w:rPr>
          <w:rStyle w:val="Bodytext2"/>
        </w:rPr>
        <w:t>— Symbol pro „DATUM VÝROBY"</w:t>
      </w:r>
    </w:p>
    <w:p w:rsidR="00CC51B5" w:rsidRDefault="0057028C">
      <w:pPr>
        <w:pStyle w:val="Other10"/>
        <w:tabs>
          <w:tab w:val="left" w:pos="3942"/>
        </w:tabs>
        <w:spacing w:line="240" w:lineRule="auto"/>
        <w:ind w:left="1240"/>
      </w:pPr>
      <w:r>
        <w:rPr>
          <w:rStyle w:val="Other1"/>
          <w:rFonts w:ascii="Times New Roman" w:eastAsia="Times New Roman" w:hAnsi="Times New Roman" w:cs="Times New Roman"/>
          <w:b/>
          <w:bCs/>
        </w:rPr>
        <w:t>EC|REP</w:t>
      </w:r>
      <w:r>
        <w:rPr>
          <w:rStyle w:val="Other1"/>
          <w:rFonts w:ascii="Times New Roman" w:eastAsia="Times New Roman" w:hAnsi="Times New Roman" w:cs="Times New Roman"/>
          <w:b/>
          <w:bCs/>
        </w:rPr>
        <w:tab/>
        <w:t>,</w:t>
      </w:r>
    </w:p>
    <w:p w:rsidR="00CC51B5" w:rsidRDefault="0057028C">
      <w:pPr>
        <w:pStyle w:val="Bodytext20"/>
        <w:spacing w:after="200" w:line="180" w:lineRule="auto"/>
        <w:ind w:left="1240" w:firstLine="0"/>
      </w:pPr>
      <w:r>
        <w:rPr>
          <w:rStyle w:val="Bodytext2"/>
        </w:rPr>
        <w:t>—— Symbol pro „ZASTOUPENI PRO EVROPU“</w:t>
      </w:r>
      <w:r>
        <w:br w:type="page"/>
      </w:r>
    </w:p>
    <w:p w:rsidR="00CC51B5" w:rsidRDefault="0057028C">
      <w:pPr>
        <w:pStyle w:val="Bodytext20"/>
        <w:spacing w:after="500" w:line="240" w:lineRule="auto"/>
        <w:ind w:left="1900" w:firstLine="0"/>
      </w:pPr>
      <w:r>
        <w:rPr>
          <w:rStyle w:val="Bodytext2"/>
          <w:lang w:val="en-US" w:eastAsia="en-US" w:bidi="en-US"/>
        </w:rPr>
        <w:lastRenderedPageBreak/>
        <w:t xml:space="preserve">Symbol pro </w:t>
      </w:r>
      <w:r>
        <w:rPr>
          <w:rStyle w:val="Bodytext2"/>
        </w:rPr>
        <w:t xml:space="preserve">„PODÍVEJTE SE </w:t>
      </w:r>
      <w:r>
        <w:rPr>
          <w:rStyle w:val="Bodytext2"/>
          <w:lang w:val="en-US" w:eastAsia="en-US" w:bidi="en-US"/>
        </w:rPr>
        <w:t xml:space="preserve">DO </w:t>
      </w:r>
      <w:r>
        <w:rPr>
          <w:rStyle w:val="Bodytext2"/>
        </w:rPr>
        <w:t>MANUÁLU'</w:t>
      </w:r>
    </w:p>
    <w:p w:rsidR="00CC51B5" w:rsidRDefault="007B2E24">
      <w:pPr>
        <w:pStyle w:val="Bodytext20"/>
        <w:spacing w:after="980" w:line="240" w:lineRule="auto"/>
        <w:ind w:left="0" w:firstLine="0"/>
      </w:pPr>
      <w:r>
        <w:rPr>
          <w:rStyle w:val="Bodytext2"/>
          <w:lang w:val="en-US" w:eastAsia="en-US" w:bidi="en-US"/>
        </w:rPr>
        <w:t xml:space="preserve">                            </w:t>
      </w:r>
      <w:r w:rsidR="0057028C">
        <w:rPr>
          <w:rStyle w:val="Bodytext2"/>
          <w:lang w:val="en-US" w:eastAsia="en-US" w:bidi="en-US"/>
        </w:rPr>
        <w:t xml:space="preserve">Symbol pro </w:t>
      </w:r>
      <w:r w:rsidR="0057028C">
        <w:rPr>
          <w:rStyle w:val="Bodytext2"/>
        </w:rPr>
        <w:t xml:space="preserve">„TEPLOTNÍ </w:t>
      </w:r>
      <w:proofErr w:type="gramStart"/>
      <w:r w:rsidR="0057028C">
        <w:rPr>
          <w:rStyle w:val="Bodytext2"/>
        </w:rPr>
        <w:t>LIMITACE“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738"/>
        <w:gridCol w:w="1358"/>
        <w:gridCol w:w="3590"/>
      </w:tblGrid>
      <w:tr w:rsidR="00CC51B5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Číslo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62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Standardní identifikace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Datum vydání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Standardní název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ISO 13485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Lékařské </w:t>
            </w:r>
            <w:proofErr w:type="gramStart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přístroje -Systém</w:t>
            </w:r>
            <w:proofErr w:type="gramEnd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 managementu kvality - Požadavky pro regulační účely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ISO 9001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57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Systémy kvality-Model pro zaručení kvality v návrhu, rozvoji, produkci, instalaci a obsluze.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ISO 14971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Lékařské přístroje-Aplikace </w:t>
            </w: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managementu rizik na lékařské přístroje.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EN 60601-1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1990/AI3:1996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Lékařská elektrická zařízení-Část 1: Obecné bezpečnostní požadavky.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EN 60601-1-2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Lékařská elektrická zařízení-Část 1-2, Obecné bezpečnostní požadavky-Současné standardy: </w:t>
            </w: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Elektromagnetická </w:t>
            </w:r>
            <w:proofErr w:type="gramStart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kompatibilita- Požadavky</w:t>
            </w:r>
            <w:proofErr w:type="gramEnd"/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 a testy.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EN 60601-1-4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5"/>
                <w:szCs w:val="15"/>
              </w:rPr>
              <w:t>1996/A1:1999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Lékařská elektrická zařízení-Část 1-4, Obecné bezpečnostní požadavky-Současné standardy: Programovatelné elektrické lékařské systémy.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EN 12470-5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62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Klinické </w:t>
            </w: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teploměry-Část 5: Výkon infračervených ušních teploměrů.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EN 980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57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Grafické symboly pro použití ve značeni lékařských přístrojů.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ind w:firstLine="200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EN 1041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ind w:firstLine="460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Informace poskytnuté výrobcem lékařského přístroje.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545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10 □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ASTME 1965-98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ind w:firstLine="460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 xml:space="preserve">Standardní specifikace pro </w:t>
            </w: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infračervené teploměry pro periodické určení pacientovy teploty</w:t>
            </w:r>
          </w:p>
        </w:tc>
      </w:tr>
    </w:tbl>
    <w:p w:rsidR="00CC51B5" w:rsidRDefault="00CC51B5">
      <w:pPr>
        <w:spacing w:after="379" w:line="1" w:lineRule="exact"/>
      </w:pPr>
    </w:p>
    <w:p w:rsidR="00CC51B5" w:rsidRDefault="0057028C">
      <w:pPr>
        <w:pStyle w:val="Bodytext20"/>
        <w:spacing w:line="240" w:lineRule="auto"/>
        <w:ind w:left="0" w:firstLine="0"/>
        <w:jc w:val="center"/>
        <w:sectPr w:rsidR="00CC51B5">
          <w:headerReference w:type="even" r:id="rId9"/>
          <w:headerReference w:type="default" r:id="rId10"/>
          <w:pgSz w:w="11900" w:h="16840"/>
          <w:pgMar w:top="2379" w:right="1121" w:bottom="3321" w:left="1265" w:header="1951" w:footer="2893" w:gutter="0"/>
          <w:cols w:space="720"/>
          <w:noEndnote/>
          <w:docGrid w:linePitch="360"/>
        </w:sectPr>
      </w:pPr>
      <w:hyperlink r:id="rId11" w:history="1">
        <w:r>
          <w:rPr>
            <w:rStyle w:val="Bodytext2"/>
            <w:b/>
            <w:bCs/>
            <w:lang w:val="en-US" w:eastAsia="en-US" w:bidi="en-US"/>
          </w:rPr>
          <w:t>www.vdimetros.cz</w:t>
        </w:r>
      </w:hyperlink>
    </w:p>
    <w:p w:rsidR="00CC51B5" w:rsidRDefault="0057028C">
      <w:pPr>
        <w:pStyle w:val="Bodytext50"/>
        <w:spacing w:after="460"/>
      </w:pPr>
      <w:r>
        <w:rPr>
          <w:rStyle w:val="Bodytext5"/>
        </w:rPr>
        <w:lastRenderedPageBreak/>
        <w:t>Příloha č.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8"/>
        <w:gridCol w:w="1560"/>
        <w:gridCol w:w="1426"/>
        <w:gridCol w:w="1555"/>
        <w:gridCol w:w="725"/>
        <w:gridCol w:w="1315"/>
      </w:tblGrid>
      <w:tr w:rsidR="00CC51B5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51B5" w:rsidRDefault="0057028C">
            <w:pPr>
              <w:pStyle w:val="Other10"/>
              <w:spacing w:line="240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Teploměr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Počet 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51B5" w:rsidRDefault="0057028C">
            <w:pPr>
              <w:pStyle w:val="Other10"/>
              <w:spacing w:line="240" w:lineRule="auto"/>
              <w:ind w:firstLine="34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Cena/ks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51B5" w:rsidRDefault="0057028C">
            <w:pPr>
              <w:pStyle w:val="Other10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DPH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after="8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s</w:t>
            </w:r>
          </w:p>
          <w:p w:rsidR="00CC51B5" w:rsidRDefault="0057028C">
            <w:pPr>
              <w:pStyle w:val="Other1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DPH</w:t>
            </w:r>
          </w:p>
        </w:tc>
      </w:tr>
      <w:tr w:rsidR="00CC51B5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 xml:space="preserve">Teploměr FS700 </w:t>
            </w:r>
            <w:proofErr w:type="spellStart"/>
            <w:r>
              <w:rPr>
                <w:rStyle w:val="Other1"/>
                <w:sz w:val="19"/>
                <w:szCs w:val="19"/>
              </w:rPr>
              <w:t>Hubdic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188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ind w:firstLine="42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1 350,00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ind w:firstLine="34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253 800,00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12 %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B5" w:rsidRDefault="0057028C">
            <w:pPr>
              <w:pStyle w:val="Other10"/>
              <w:spacing w:line="240" w:lineRule="auto"/>
              <w:ind w:firstLine="22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284 256,00</w:t>
            </w:r>
          </w:p>
        </w:tc>
      </w:tr>
    </w:tbl>
    <w:p w:rsidR="00CC51B5" w:rsidRDefault="0057028C">
      <w:pPr>
        <w:pStyle w:val="Tablecaption10"/>
        <w:tabs>
          <w:tab w:val="left" w:pos="8400"/>
        </w:tabs>
        <w:spacing w:line="240" w:lineRule="auto"/>
        <w:ind w:left="67"/>
        <w:sectPr w:rsidR="00CC51B5">
          <w:headerReference w:type="even" r:id="rId12"/>
          <w:headerReference w:type="default" r:id="rId13"/>
          <w:pgSz w:w="11900" w:h="16840"/>
          <w:pgMar w:top="1465" w:right="1083" w:bottom="1105" w:left="1318" w:header="0" w:footer="3" w:gutter="0"/>
          <w:cols w:space="720"/>
          <w:noEndnote/>
          <w:docGrid w:linePitch="360"/>
        </w:sectPr>
      </w:pPr>
      <w:r>
        <w:rPr>
          <w:rStyle w:val="Tablecaption1"/>
          <w:b/>
          <w:bCs/>
        </w:rPr>
        <w:t>Celkem</w:t>
      </w:r>
      <w:r>
        <w:rPr>
          <w:rStyle w:val="Tablecaption1"/>
          <w:b/>
          <w:bCs/>
        </w:rPr>
        <w:tab/>
        <w:t>284 256,00</w:t>
      </w:r>
    </w:p>
    <w:p w:rsidR="00CC51B5" w:rsidRDefault="0057028C">
      <w:pPr>
        <w:pStyle w:val="Bodytext40"/>
        <w:framePr w:w="1061" w:h="523" w:wrap="none" w:hAnchor="page" w:x="2121" w:y="1"/>
        <w:rPr>
          <w:sz w:val="16"/>
          <w:szCs w:val="16"/>
        </w:rPr>
      </w:pPr>
      <w:r>
        <w:rPr>
          <w:rStyle w:val="Bodytext4"/>
          <w:b/>
          <w:bCs/>
          <w:sz w:val="16"/>
          <w:szCs w:val="16"/>
        </w:rPr>
        <w:lastRenderedPageBreak/>
        <w:t>KRAJSKÁ</w:t>
      </w:r>
    </w:p>
    <w:p w:rsidR="00CC51B5" w:rsidRDefault="0057028C">
      <w:pPr>
        <w:pStyle w:val="Bodytext40"/>
        <w:framePr w:w="1061" w:h="523" w:wrap="none" w:hAnchor="page" w:x="2121" w:y="1"/>
        <w:spacing w:line="211" w:lineRule="auto"/>
        <w:rPr>
          <w:sz w:val="16"/>
          <w:szCs w:val="16"/>
        </w:rPr>
      </w:pPr>
      <w:r>
        <w:rPr>
          <w:rStyle w:val="Bodytext4"/>
          <w:b/>
          <w:bCs/>
          <w:sz w:val="16"/>
          <w:szCs w:val="16"/>
        </w:rPr>
        <w:t>NEMOCNICE</w:t>
      </w:r>
    </w:p>
    <w:p w:rsidR="00CC51B5" w:rsidRDefault="0057028C">
      <w:pPr>
        <w:pStyle w:val="Bodytext30"/>
        <w:framePr w:w="1061" w:h="523" w:wrap="none" w:hAnchor="page" w:x="2121" w:y="1"/>
        <w:spacing w:line="214" w:lineRule="auto"/>
        <w:rPr>
          <w:sz w:val="14"/>
          <w:szCs w:val="14"/>
        </w:rPr>
      </w:pPr>
      <w:r>
        <w:rPr>
          <w:rStyle w:val="Bodytext3"/>
          <w:b/>
          <w:bCs/>
          <w:sz w:val="14"/>
          <w:szCs w:val="14"/>
          <w:lang w:val="cs-CZ" w:eastAsia="cs-CZ" w:bidi="cs-CZ"/>
        </w:rPr>
        <w:t>TOMÁŠE BATI</w:t>
      </w:r>
    </w:p>
    <w:p w:rsidR="00CC51B5" w:rsidRDefault="0057028C">
      <w:pPr>
        <w:pStyle w:val="Bodytext50"/>
        <w:framePr w:w="1286" w:h="298" w:wrap="none" w:hAnchor="page" w:x="1453" w:y="937"/>
        <w:spacing w:after="0"/>
      </w:pPr>
      <w:r>
        <w:rPr>
          <w:rStyle w:val="Bodytext5"/>
        </w:rPr>
        <w:t>Příloha č. 4</w:t>
      </w:r>
    </w:p>
    <w:p w:rsidR="00CC51B5" w:rsidRDefault="0057028C">
      <w:pPr>
        <w:spacing w:line="360" w:lineRule="exact"/>
      </w:pPr>
      <w:r>
        <w:rPr>
          <w:noProof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1022985</wp:posOffset>
            </wp:positionH>
            <wp:positionV relativeFrom="margin">
              <wp:posOffset>33655</wp:posOffset>
            </wp:positionV>
            <wp:extent cx="267970" cy="28067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1B5" w:rsidRDefault="00CC51B5">
      <w:pPr>
        <w:spacing w:line="360" w:lineRule="exact"/>
      </w:pPr>
    </w:p>
    <w:p w:rsidR="00CC51B5" w:rsidRDefault="00CC51B5">
      <w:pPr>
        <w:spacing w:after="513" w:line="1" w:lineRule="exact"/>
      </w:pPr>
    </w:p>
    <w:p w:rsidR="00CC51B5" w:rsidRDefault="00CC51B5">
      <w:pPr>
        <w:spacing w:line="1" w:lineRule="exact"/>
        <w:sectPr w:rsidR="00CC51B5">
          <w:pgSz w:w="11900" w:h="16840"/>
          <w:pgMar w:top="552" w:right="1457" w:bottom="2351" w:left="1452" w:header="0" w:footer="3" w:gutter="0"/>
          <w:cols w:space="720"/>
          <w:noEndnote/>
          <w:docGrid w:linePitch="360"/>
        </w:sectPr>
      </w:pPr>
    </w:p>
    <w:p w:rsidR="00CC51B5" w:rsidRDefault="0057028C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5506720</wp:posOffset>
            </wp:positionH>
            <wp:positionV relativeFrom="paragraph">
              <wp:posOffset>54610</wp:posOffset>
            </wp:positionV>
            <wp:extent cx="335280" cy="506095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3528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5832475</wp:posOffset>
            </wp:positionH>
            <wp:positionV relativeFrom="paragraph">
              <wp:posOffset>12700</wp:posOffset>
            </wp:positionV>
            <wp:extent cx="676910" cy="646430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7691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1B5" w:rsidRDefault="0057028C">
      <w:pPr>
        <w:pStyle w:val="Bodytext30"/>
        <w:spacing w:line="384" w:lineRule="auto"/>
        <w:jc w:val="both"/>
      </w:pPr>
      <w:r>
        <w:rPr>
          <w:rStyle w:val="Bodytext3"/>
        </w:rPr>
        <w:t>EC Certificate Full Quality Assurance System: Certificate KR07/71481</w:t>
      </w:r>
    </w:p>
    <w:p w:rsidR="00CC51B5" w:rsidRDefault="0057028C">
      <w:pPr>
        <w:pStyle w:val="Bodytext10"/>
        <w:spacing w:after="100" w:line="384" w:lineRule="auto"/>
        <w:jc w:val="right"/>
      </w:pPr>
      <w:r>
        <w:rPr>
          <w:rStyle w:val="Bodytext1"/>
          <w:lang w:val="en-US" w:eastAsia="en-US" w:bidi="en-US"/>
        </w:rPr>
        <w:t xml:space="preserve">The </w:t>
      </w:r>
      <w:r>
        <w:rPr>
          <w:rStyle w:val="Bodytext1"/>
          <w:lang w:val="en-US" w:eastAsia="en-US" w:bidi="en-US"/>
        </w:rPr>
        <w:t>management system of</w:t>
      </w:r>
    </w:p>
    <w:p w:rsidR="00CC51B5" w:rsidRDefault="0057028C">
      <w:pPr>
        <w:pStyle w:val="Heading110"/>
        <w:keepNext/>
        <w:keepLines/>
        <w:spacing w:after="100"/>
        <w:ind w:left="1700"/>
        <w:jc w:val="both"/>
      </w:pPr>
      <w:bookmarkStart w:id="6" w:name="bookmark12"/>
      <w:proofErr w:type="spellStart"/>
      <w:r>
        <w:rPr>
          <w:rStyle w:val="Heading11"/>
          <w:b/>
          <w:bCs/>
        </w:rPr>
        <w:t>HuBDIC</w:t>
      </w:r>
      <w:proofErr w:type="spellEnd"/>
      <w:r>
        <w:rPr>
          <w:rStyle w:val="Heading11"/>
          <w:b/>
          <w:bCs/>
        </w:rPr>
        <w:t xml:space="preserve"> CO., LTD.</w:t>
      </w:r>
      <w:bookmarkEnd w:id="6"/>
    </w:p>
    <w:p w:rsidR="00CC51B5" w:rsidRDefault="0057028C">
      <w:pPr>
        <w:pStyle w:val="Bodytext30"/>
        <w:spacing w:line="480" w:lineRule="auto"/>
        <w:jc w:val="both"/>
      </w:pPr>
      <w:r>
        <w:rPr>
          <w:rStyle w:val="Bodytext3"/>
        </w:rPr>
        <w:t>301,191-1, Anyang-dong, Manan-</w:t>
      </w:r>
      <w:proofErr w:type="spellStart"/>
      <w:r>
        <w:rPr>
          <w:rStyle w:val="Bodytext3"/>
        </w:rPr>
        <w:t>gu</w:t>
      </w:r>
      <w:proofErr w:type="spellEnd"/>
      <w:r>
        <w:rPr>
          <w:rStyle w:val="Bodytext3"/>
        </w:rPr>
        <w:t>, Anyang-</w:t>
      </w:r>
      <w:proofErr w:type="spellStart"/>
      <w:r>
        <w:rPr>
          <w:rStyle w:val="Bodytext3"/>
        </w:rPr>
        <w:t>si</w:t>
      </w:r>
      <w:proofErr w:type="spellEnd"/>
      <w:r>
        <w:rPr>
          <w:rStyle w:val="Bodytext3"/>
        </w:rPr>
        <w:t>, Gyeonggi-do, Korea</w:t>
      </w:r>
    </w:p>
    <w:p w:rsidR="00CC51B5" w:rsidRDefault="0057028C">
      <w:pPr>
        <w:pStyle w:val="Bodytext10"/>
        <w:spacing w:line="480" w:lineRule="auto"/>
        <w:ind w:left="1460"/>
        <w:jc w:val="both"/>
      </w:pPr>
      <w:r>
        <w:rPr>
          <w:rStyle w:val="Bodytext1"/>
          <w:lang w:val="en-US" w:eastAsia="en-US" w:bidi="en-US"/>
        </w:rPr>
        <w:t>has been assessed and certified as meeting the requirements of</w:t>
      </w:r>
    </w:p>
    <w:p w:rsidR="00CC51B5" w:rsidRDefault="0057028C">
      <w:pPr>
        <w:pStyle w:val="Heading110"/>
        <w:keepNext/>
        <w:keepLines/>
        <w:spacing w:after="0"/>
        <w:ind w:left="0"/>
        <w:jc w:val="right"/>
      </w:pPr>
      <w:bookmarkStart w:id="7" w:name="bookmark14"/>
      <w:r>
        <w:rPr>
          <w:rStyle w:val="Heading11"/>
          <w:b/>
          <w:bCs/>
        </w:rPr>
        <w:t>Directive 93/42/EEC</w:t>
      </w:r>
      <w:bookmarkEnd w:id="7"/>
    </w:p>
    <w:p w:rsidR="00CC51B5" w:rsidRDefault="0057028C">
      <w:pPr>
        <w:pStyle w:val="Bodytext30"/>
        <w:spacing w:after="100"/>
        <w:ind w:firstLine="1000"/>
        <w:jc w:val="both"/>
      </w:pPr>
      <w:r>
        <w:rPr>
          <w:rStyle w:val="Bodytext3"/>
          <w:b/>
          <w:bCs/>
        </w:rPr>
        <w:t>on medical devices, Annex II (excluding Section 4)</w:t>
      </w:r>
    </w:p>
    <w:p w:rsidR="00CC51B5" w:rsidRDefault="0057028C">
      <w:pPr>
        <w:pStyle w:val="Bodytext10"/>
        <w:spacing w:after="100" w:line="286" w:lineRule="auto"/>
        <w:jc w:val="right"/>
      </w:pPr>
      <w:r>
        <w:rPr>
          <w:rStyle w:val="Bodytext1"/>
          <w:lang w:val="en-US" w:eastAsia="en-US" w:bidi="en-US"/>
        </w:rPr>
        <w:t xml:space="preserve">For the following </w:t>
      </w:r>
      <w:r>
        <w:rPr>
          <w:rStyle w:val="Bodytext1"/>
          <w:lang w:val="en-US" w:eastAsia="en-US" w:bidi="en-US"/>
        </w:rPr>
        <w:t>products</w:t>
      </w:r>
    </w:p>
    <w:p w:rsidR="00CC51B5" w:rsidRDefault="0057028C">
      <w:pPr>
        <w:pStyle w:val="Bodytext30"/>
        <w:ind w:left="1460"/>
        <w:jc w:val="both"/>
      </w:pPr>
      <w:r>
        <w:rPr>
          <w:rStyle w:val="Bodytext3"/>
          <w:b/>
          <w:bCs/>
        </w:rPr>
        <w:t>Infrared ear thermometers (Model: TB-100);</w:t>
      </w:r>
    </w:p>
    <w:p w:rsidR="00CC51B5" w:rsidRDefault="0057028C">
      <w:pPr>
        <w:pStyle w:val="Bodytext30"/>
        <w:jc w:val="right"/>
      </w:pPr>
      <w:r>
        <w:rPr>
          <w:rStyle w:val="Bodytext3"/>
          <w:b/>
          <w:bCs/>
        </w:rPr>
        <w:t>Infrared forehead thermometers (Model: FS-300, FS-301, FS-700, HFS-900, HFS-1000, HFS-700, HFS-800/800B);</w:t>
      </w:r>
    </w:p>
    <w:p w:rsidR="00CC51B5" w:rsidRDefault="0057028C">
      <w:pPr>
        <w:pStyle w:val="Bodytext30"/>
        <w:ind w:left="1500"/>
        <w:jc w:val="right"/>
      </w:pPr>
      <w:r>
        <w:rPr>
          <w:rStyle w:val="Bodytext3"/>
          <w:b/>
          <w:bCs/>
        </w:rPr>
        <w:t>Monitoring thermometer (HMT-100) Blood pressure monitors (Model: BP-400);</w:t>
      </w:r>
    </w:p>
    <w:p w:rsidR="00CC51B5" w:rsidRDefault="0057028C">
      <w:pPr>
        <w:pStyle w:val="Bodytext30"/>
        <w:ind w:firstLine="540"/>
        <w:jc w:val="both"/>
      </w:pPr>
      <w:r>
        <w:rPr>
          <w:rStyle w:val="Bodytext3"/>
          <w:b/>
          <w:bCs/>
        </w:rPr>
        <w:t>Infrared ear and forehea</w:t>
      </w:r>
      <w:r>
        <w:rPr>
          <w:rStyle w:val="Bodytext3"/>
          <w:b/>
          <w:bCs/>
        </w:rPr>
        <w:t>d thermometer (Model: TET-200);</w:t>
      </w:r>
    </w:p>
    <w:p w:rsidR="00CC51B5" w:rsidRDefault="0057028C">
      <w:pPr>
        <w:pStyle w:val="Bodytext30"/>
        <w:ind w:left="2000"/>
        <w:jc w:val="both"/>
      </w:pPr>
      <w:r>
        <w:rPr>
          <w:rStyle w:val="Bodytext3"/>
          <w:b/>
          <w:bCs/>
        </w:rPr>
        <w:t>Nasal Aspirator (Model: HNA-100);</w:t>
      </w:r>
    </w:p>
    <w:p w:rsidR="00CC51B5" w:rsidRDefault="0057028C">
      <w:pPr>
        <w:pStyle w:val="Bodytext30"/>
        <w:ind w:firstLine="140"/>
        <w:jc w:val="both"/>
      </w:pPr>
      <w:r>
        <w:rPr>
          <w:rStyle w:val="Bodytext3"/>
          <w:b/>
          <w:bCs/>
        </w:rPr>
        <w:t>Transcutaneous electrical nerve stimulators (Model: HMB-1000,</w:t>
      </w:r>
    </w:p>
    <w:p w:rsidR="00CC51B5" w:rsidRDefault="0057028C">
      <w:pPr>
        <w:pStyle w:val="Bodytext30"/>
        <w:jc w:val="right"/>
      </w:pPr>
      <w:r>
        <w:rPr>
          <w:rStyle w:val="Bodytext3"/>
          <w:b/>
          <w:bCs/>
        </w:rPr>
        <w:t>HMB-100)</w:t>
      </w:r>
    </w:p>
    <w:p w:rsidR="00CC51B5" w:rsidRDefault="0057028C">
      <w:pPr>
        <w:pStyle w:val="Bodytext10"/>
        <w:spacing w:after="100" w:line="286" w:lineRule="auto"/>
        <w:jc w:val="right"/>
      </w:pPr>
      <w:r>
        <w:rPr>
          <w:rStyle w:val="Bodytext1"/>
          <w:lang w:val="en-US" w:eastAsia="en-US" w:bidi="en-US"/>
        </w:rPr>
        <w:t>Where the above scope Includes class III medical device(s), a valid EC Design Examination Certificate according to Anne</w:t>
      </w:r>
      <w:r>
        <w:rPr>
          <w:rStyle w:val="Bodytext1"/>
          <w:lang w:val="en-US" w:eastAsia="en-US" w:bidi="en-US"/>
        </w:rPr>
        <w:t>x II (Section 4) is a mandatory requirement for each device in addition to this certificate to place that device on the market</w:t>
      </w:r>
    </w:p>
    <w:p w:rsidR="00CC51B5" w:rsidRDefault="0057028C">
      <w:pPr>
        <w:pStyle w:val="Bodytext30"/>
        <w:spacing w:after="100" w:line="307" w:lineRule="auto"/>
        <w:ind w:left="420"/>
        <w:jc w:val="right"/>
      </w:pPr>
      <w:r>
        <w:rPr>
          <w:rStyle w:val="Bodytext3"/>
        </w:rPr>
        <w:t xml:space="preserve">This certificate is valid from 28 March 2019 until 28 March 2024 and remains valid subject to satisfactory surveillance audits. </w:t>
      </w:r>
      <w:r>
        <w:rPr>
          <w:rStyle w:val="Bodytext3"/>
        </w:rPr>
        <w:t>Re certification audit due before 12 March 2022 Issue 26. Certified since 28 March 2007</w:t>
      </w:r>
    </w:p>
    <w:p w:rsidR="00CC51B5" w:rsidRDefault="0057028C">
      <w:pPr>
        <w:pStyle w:val="Other10"/>
        <w:spacing w:after="340" w:line="240" w:lineRule="auto"/>
        <w:ind w:left="1640"/>
        <w:jc w:val="both"/>
        <w:rPr>
          <w:sz w:val="9"/>
          <w:szCs w:val="9"/>
        </w:rPr>
      </w:pPr>
      <w:r>
        <w:rPr>
          <w:rStyle w:val="Other1"/>
          <w:sz w:val="9"/>
          <w:szCs w:val="9"/>
          <w:lang w:val="en-US" w:eastAsia="en-US" w:bidi="en-US"/>
        </w:rPr>
        <w:t>Certification is based on reports numbered WW/PCI 216328</w:t>
      </w:r>
    </w:p>
    <w:p w:rsidR="00CC51B5" w:rsidRDefault="0057028C">
      <w:pPr>
        <w:pStyle w:val="Bodytext10"/>
        <w:spacing w:after="420" w:line="240" w:lineRule="auto"/>
        <w:jc w:val="right"/>
      </w:pPr>
      <w:proofErr w:type="spellStart"/>
      <w:r>
        <w:rPr>
          <w:rStyle w:val="Bodytext1"/>
          <w:lang w:val="en-US" w:eastAsia="en-US" w:bidi="en-US"/>
        </w:rPr>
        <w:t>Authorised</w:t>
      </w:r>
      <w:proofErr w:type="spellEnd"/>
      <w:r>
        <w:rPr>
          <w:rStyle w:val="Bodytext1"/>
          <w:lang w:val="en-US" w:eastAsia="en-US" w:bidi="en-US"/>
        </w:rPr>
        <w:t xml:space="preserve"> by</w:t>
      </w:r>
    </w:p>
    <w:p w:rsidR="00CC51B5" w:rsidRDefault="006038B7">
      <w:pPr>
        <w:pStyle w:val="Other10"/>
        <w:spacing w:after="480" w:line="240" w:lineRule="auto"/>
        <w:ind w:right="180"/>
        <w:jc w:val="right"/>
        <w:rPr>
          <w:sz w:val="26"/>
          <w:szCs w:val="26"/>
        </w:rPr>
      </w:pPr>
      <w:r>
        <w:rPr>
          <w:rStyle w:val="Other1"/>
          <w:sz w:val="19"/>
          <w:szCs w:val="19"/>
          <w:lang w:val="en-US" w:eastAsia="en-US" w:bidi="en-US"/>
        </w:rPr>
        <w:t>xxxxxxxxxxxxxxx</w:t>
      </w:r>
      <w:bookmarkStart w:id="8" w:name="_GoBack"/>
      <w:bookmarkEnd w:id="8"/>
    </w:p>
    <w:p w:rsidR="00CC51B5" w:rsidRDefault="0057028C">
      <w:pPr>
        <w:pStyle w:val="Bodytext10"/>
        <w:spacing w:after="100" w:line="209" w:lineRule="auto"/>
        <w:ind w:left="280"/>
        <w:jc w:val="right"/>
      </w:pPr>
      <w:r>
        <w:rPr>
          <w:rStyle w:val="Bodytext1"/>
          <w:sz w:val="24"/>
          <w:szCs w:val="24"/>
          <w:lang w:val="en-US" w:eastAsia="en-US" w:bidi="en-US"/>
        </w:rPr>
        <w:t xml:space="preserve">SGS United Kingdom Ltd, Notified Body 0120 </w:t>
      </w:r>
      <w:r>
        <w:rPr>
          <w:rStyle w:val="Bodytext1"/>
          <w:lang w:val="en-US" w:eastAsia="en-US" w:bidi="en-US"/>
        </w:rPr>
        <w:t xml:space="preserve">202B </w:t>
      </w:r>
      <w:proofErr w:type="spellStart"/>
      <w:r>
        <w:rPr>
          <w:rStyle w:val="Bodytext1"/>
          <w:lang w:val="en-US" w:eastAsia="en-US" w:bidi="en-US"/>
        </w:rPr>
        <w:t>Worle</w:t>
      </w:r>
      <w:proofErr w:type="spellEnd"/>
      <w:r>
        <w:rPr>
          <w:rStyle w:val="Bodytext1"/>
          <w:lang w:val="en-US" w:eastAsia="en-US" w:bidi="en-US"/>
        </w:rPr>
        <w:t xml:space="preserve"> Parkway. Weston-super-Mare, BS22 6WA UK t +44 (0)1934 522917 f *44 (0)1934 522137 </w:t>
      </w:r>
      <w:hyperlink r:id="rId17" w:history="1">
        <w:r>
          <w:rPr>
            <w:rStyle w:val="Bodytext1"/>
            <w:lang w:val="en-US" w:eastAsia="en-US" w:bidi="en-US"/>
          </w:rPr>
          <w:t>www.sgs.com</w:t>
        </w:r>
      </w:hyperlink>
    </w:p>
    <w:p w:rsidR="00CC51B5" w:rsidRDefault="0057028C">
      <w:pPr>
        <w:pStyle w:val="Bodytext10"/>
        <w:spacing w:after="100" w:line="307" w:lineRule="auto"/>
        <w:jc w:val="right"/>
      </w:pPr>
      <w:r>
        <w:rPr>
          <w:rStyle w:val="Bodytext1"/>
          <w:lang w:val="en-US" w:eastAsia="en-US" w:bidi="en-US"/>
        </w:rPr>
        <w:t>SGS CE 02 0215</w:t>
      </w:r>
    </w:p>
    <w:p w:rsidR="00CC51B5" w:rsidRDefault="0057028C">
      <w:pPr>
        <w:pStyle w:val="Bodytext10"/>
        <w:spacing w:line="307" w:lineRule="auto"/>
        <w:jc w:val="right"/>
        <w:sectPr w:rsidR="00CC51B5">
          <w:type w:val="continuous"/>
          <w:pgSz w:w="11900" w:h="16840"/>
          <w:pgMar w:top="552" w:right="4279" w:bottom="2351" w:left="3281" w:header="0" w:footer="3" w:gutter="0"/>
          <w:cols w:space="720"/>
          <w:noEndnote/>
          <w:docGrid w:linePitch="360"/>
        </w:sectPr>
      </w:pPr>
      <w:r>
        <w:rPr>
          <w:rStyle w:val="Bodytext1"/>
          <w:lang w:val="en-US" w:eastAsia="en-US" w:bidi="en-US"/>
        </w:rPr>
        <w:t>Page 1 of 1</w:t>
      </w:r>
    </w:p>
    <w:p w:rsidR="00CC51B5" w:rsidRDefault="00CC51B5">
      <w:pPr>
        <w:spacing w:line="199" w:lineRule="exact"/>
        <w:rPr>
          <w:sz w:val="16"/>
          <w:szCs w:val="16"/>
        </w:rPr>
      </w:pPr>
    </w:p>
    <w:p w:rsidR="00CC51B5" w:rsidRDefault="00CC51B5">
      <w:pPr>
        <w:spacing w:line="1" w:lineRule="exact"/>
        <w:sectPr w:rsidR="00CC51B5">
          <w:type w:val="continuous"/>
          <w:pgSz w:w="11900" w:h="16840"/>
          <w:pgMar w:top="552" w:right="0" w:bottom="552" w:left="0" w:header="0" w:footer="3" w:gutter="0"/>
          <w:cols w:space="720"/>
          <w:noEndnote/>
          <w:docGrid w:linePitch="360"/>
        </w:sectPr>
      </w:pPr>
    </w:p>
    <w:p w:rsidR="00CC51B5" w:rsidRDefault="0057028C">
      <w:pPr>
        <w:pStyle w:val="Picturecaption10"/>
        <w:framePr w:w="2654" w:h="850" w:wrap="none" w:vAnchor="text" w:hAnchor="page" w:x="3301" w:y="1543"/>
      </w:pPr>
      <w:r>
        <w:rPr>
          <w:rStyle w:val="Picturecaption1"/>
          <w:b/>
          <w:bCs/>
        </w:rPr>
        <w:t xml:space="preserve">This </w:t>
      </w:r>
      <w:proofErr w:type="spellStart"/>
      <w:r>
        <w:rPr>
          <w:rStyle w:val="Picturecaption1"/>
          <w:b/>
          <w:bCs/>
        </w:rPr>
        <w:t>documant</w:t>
      </w:r>
      <w:proofErr w:type="spellEnd"/>
      <w:r>
        <w:rPr>
          <w:rStyle w:val="Picturecaption1"/>
          <w:b/>
          <w:bCs/>
        </w:rPr>
        <w:t xml:space="preserve"> E issued ty </w:t>
      </w:r>
      <w:proofErr w:type="spellStart"/>
      <w:r>
        <w:rPr>
          <w:rStyle w:val="Picturecaption1"/>
          <w:b/>
          <w:bCs/>
        </w:rPr>
        <w:t>tho</w:t>
      </w:r>
      <w:proofErr w:type="spellEnd"/>
      <w:r>
        <w:rPr>
          <w:rStyle w:val="Picturecaption1"/>
          <w:b/>
          <w:bCs/>
        </w:rPr>
        <w:t xml:space="preserve"> Company sub</w:t>
      </w:r>
      <w:r>
        <w:rPr>
          <w:rStyle w:val="Picturecaption1"/>
          <w:b/>
          <w:bCs/>
        </w:rPr>
        <w:t xml:space="preserve">ject to t General </w:t>
      </w:r>
      <w:proofErr w:type="spellStart"/>
      <w:r>
        <w:rPr>
          <w:rStyle w:val="Picturecaption1"/>
          <w:b/>
          <w:bCs/>
        </w:rPr>
        <w:t>Condtions</w:t>
      </w:r>
      <w:proofErr w:type="spellEnd"/>
      <w:r>
        <w:rPr>
          <w:rStyle w:val="Picturecaption1"/>
          <w:b/>
          <w:bCs/>
        </w:rPr>
        <w:t xml:space="preserve"> of </w:t>
      </w:r>
      <w:proofErr w:type="spellStart"/>
      <w:r>
        <w:rPr>
          <w:rStyle w:val="Picturecaption1"/>
          <w:b/>
          <w:bCs/>
        </w:rPr>
        <w:t>Cerlficalon</w:t>
      </w:r>
      <w:proofErr w:type="spellEnd"/>
      <w:r>
        <w:rPr>
          <w:rStyle w:val="Picturecaption1"/>
          <w:b/>
          <w:bCs/>
        </w:rPr>
        <w:t xml:space="preserve"> </w:t>
      </w:r>
      <w:proofErr w:type="spellStart"/>
      <w:r>
        <w:rPr>
          <w:rStyle w:val="Picturecaption1"/>
          <w:b/>
          <w:bCs/>
        </w:rPr>
        <w:t>Servions</w:t>
      </w:r>
      <w:proofErr w:type="spellEnd"/>
      <w:r>
        <w:rPr>
          <w:rStyle w:val="Picturecaption1"/>
          <w:b/>
          <w:bCs/>
        </w:rPr>
        <w:t xml:space="preserve"> </w:t>
      </w:r>
      <w:proofErr w:type="spellStart"/>
      <w:r>
        <w:rPr>
          <w:rStyle w:val="Picturecaption1"/>
          <w:b/>
          <w:bCs/>
        </w:rPr>
        <w:t>accossiolo</w:t>
      </w:r>
      <w:proofErr w:type="spellEnd"/>
      <w:r>
        <w:rPr>
          <w:rStyle w:val="Picturecaption1"/>
          <w:b/>
          <w:bCs/>
        </w:rPr>
        <w:t xml:space="preserve"> at </w:t>
      </w:r>
      <w:proofErr w:type="spellStart"/>
      <w:r>
        <w:rPr>
          <w:rStyle w:val="Picturecaption1"/>
          <w:b/>
          <w:bCs/>
        </w:rPr>
        <w:t>ww</w:t>
      </w:r>
      <w:proofErr w:type="spellEnd"/>
      <w:r>
        <w:rPr>
          <w:rStyle w:val="Picturecaption1"/>
          <w:b/>
          <w:bCs/>
        </w:rPr>
        <w:t xml:space="preserve"> </w:t>
      </w:r>
      <w:proofErr w:type="spellStart"/>
      <w:r>
        <w:rPr>
          <w:rStyle w:val="Picturecaption1"/>
          <w:b/>
          <w:bCs/>
        </w:rPr>
        <w:t>Kga.comlirma_and_condronshim</w:t>
      </w:r>
      <w:proofErr w:type="spellEnd"/>
      <w:r>
        <w:rPr>
          <w:rStyle w:val="Picturecaption1"/>
          <w:b/>
          <w:bCs/>
        </w:rPr>
        <w:t xml:space="preserve"> Attention ss </w:t>
      </w:r>
      <w:proofErr w:type="spellStart"/>
      <w:r>
        <w:rPr>
          <w:rStyle w:val="Picturecaption1"/>
          <w:b/>
          <w:bCs/>
        </w:rPr>
        <w:t>draa</w:t>
      </w:r>
      <w:proofErr w:type="spellEnd"/>
      <w:r>
        <w:rPr>
          <w:rStyle w:val="Picturecaption1"/>
          <w:b/>
          <w:bCs/>
        </w:rPr>
        <w:t xml:space="preserve"> b the </w:t>
      </w:r>
      <w:proofErr w:type="spellStart"/>
      <w:r>
        <w:rPr>
          <w:rStyle w:val="Picturecaption1"/>
          <w:b/>
          <w:bCs/>
        </w:rPr>
        <w:t>Imilations</w:t>
      </w:r>
      <w:proofErr w:type="spellEnd"/>
      <w:r>
        <w:rPr>
          <w:rStyle w:val="Picturecaption1"/>
          <w:b/>
          <w:bCs/>
        </w:rPr>
        <w:t xml:space="preserve"> o </w:t>
      </w:r>
      <w:proofErr w:type="spellStart"/>
      <w:r>
        <w:rPr>
          <w:rStyle w:val="Picturecaption1"/>
          <w:b/>
          <w:bCs/>
        </w:rPr>
        <w:t>labiry</w:t>
      </w:r>
      <w:proofErr w:type="spellEnd"/>
      <w:r>
        <w:rPr>
          <w:rStyle w:val="Picturecaption1"/>
          <w:b/>
          <w:bCs/>
        </w:rPr>
        <w:t xml:space="preserve">, </w:t>
      </w:r>
      <w:proofErr w:type="spellStart"/>
      <w:r>
        <w:rPr>
          <w:rStyle w:val="Picturecaption1"/>
          <w:b/>
          <w:bCs/>
        </w:rPr>
        <w:t>indorrifeation</w:t>
      </w:r>
      <w:proofErr w:type="spellEnd"/>
      <w:r>
        <w:rPr>
          <w:rStyle w:val="Picturecaption1"/>
          <w:b/>
          <w:bCs/>
        </w:rPr>
        <w:t xml:space="preserve"> and </w:t>
      </w:r>
      <w:proofErr w:type="spellStart"/>
      <w:r>
        <w:rPr>
          <w:rStyle w:val="Picturecaption1"/>
          <w:b/>
          <w:bCs/>
        </w:rPr>
        <w:t>juridictional</w:t>
      </w:r>
      <w:proofErr w:type="spellEnd"/>
      <w:r>
        <w:rPr>
          <w:rStyle w:val="Picturecaption1"/>
          <w:b/>
          <w:bCs/>
        </w:rPr>
        <w:t xml:space="preserve"> issues </w:t>
      </w:r>
      <w:proofErr w:type="spellStart"/>
      <w:r>
        <w:rPr>
          <w:rStyle w:val="Picturecaption1"/>
          <w:b/>
          <w:bCs/>
        </w:rPr>
        <w:t>estebished</w:t>
      </w:r>
      <w:proofErr w:type="spellEnd"/>
      <w:r>
        <w:rPr>
          <w:rStyle w:val="Picturecaption1"/>
          <w:b/>
          <w:bCs/>
        </w:rPr>
        <w:t xml:space="preserve"> therein </w:t>
      </w:r>
      <w:proofErr w:type="gramStart"/>
      <w:r>
        <w:rPr>
          <w:rStyle w:val="Picturecaption1"/>
          <w:b/>
          <w:bCs/>
        </w:rPr>
        <w:t>The</w:t>
      </w:r>
      <w:proofErr w:type="gramEnd"/>
      <w:r>
        <w:rPr>
          <w:rStyle w:val="Picturecaption1"/>
          <w:b/>
          <w:bCs/>
        </w:rPr>
        <w:t xml:space="preserve"> </w:t>
      </w:r>
      <w:proofErr w:type="spellStart"/>
      <w:r>
        <w:rPr>
          <w:rStyle w:val="Picturecaption1"/>
          <w:b/>
          <w:bCs/>
        </w:rPr>
        <w:t>mthenticilyolthis</w:t>
      </w:r>
      <w:proofErr w:type="spellEnd"/>
      <w:r>
        <w:rPr>
          <w:rStyle w:val="Picturecaption1"/>
          <w:b/>
          <w:bCs/>
        </w:rPr>
        <w:t xml:space="preserve"> document may </w:t>
      </w:r>
      <w:proofErr w:type="spellStart"/>
      <w:r>
        <w:rPr>
          <w:rStyle w:val="Picturecaption1"/>
          <w:b/>
          <w:bCs/>
        </w:rPr>
        <w:t>bo</w:t>
      </w:r>
      <w:proofErr w:type="spellEnd"/>
      <w:r>
        <w:rPr>
          <w:rStyle w:val="Picturecaption1"/>
          <w:b/>
          <w:bCs/>
        </w:rPr>
        <w:t xml:space="preserve"> </w:t>
      </w:r>
      <w:proofErr w:type="spellStart"/>
      <w:r>
        <w:rPr>
          <w:rStyle w:val="Picturecaption1"/>
          <w:b/>
          <w:bCs/>
        </w:rPr>
        <w:t>varifnd</w:t>
      </w:r>
      <w:proofErr w:type="spellEnd"/>
      <w:r>
        <w:rPr>
          <w:rStyle w:val="Picturecaption1"/>
          <w:b/>
          <w:bCs/>
        </w:rPr>
        <w:t xml:space="preserve"> at hitpj</w:t>
      </w:r>
      <w:r>
        <w:rPr>
          <w:rStyle w:val="Picturecaption1"/>
          <w:b/>
          <w:bCs/>
        </w:rPr>
        <w:t xml:space="preserve">/oworsga.comen/cerdfed-cionts-and-producte/ceruiledcfont-droclory. Any unauthorized </w:t>
      </w:r>
      <w:proofErr w:type="spellStart"/>
      <w:r>
        <w:rPr>
          <w:rStyle w:val="Picturecaption1"/>
          <w:b/>
          <w:bCs/>
        </w:rPr>
        <w:t>ateraton</w:t>
      </w:r>
      <w:proofErr w:type="spellEnd"/>
      <w:r>
        <w:rPr>
          <w:rStyle w:val="Picturecaption1"/>
          <w:b/>
          <w:bCs/>
        </w:rPr>
        <w:t xml:space="preserve">, forgery or </w:t>
      </w:r>
      <w:proofErr w:type="spellStart"/>
      <w:r>
        <w:rPr>
          <w:rStyle w:val="Picturecaption1"/>
          <w:b/>
          <w:bCs/>
        </w:rPr>
        <w:t>falliction</w:t>
      </w:r>
      <w:proofErr w:type="spellEnd"/>
      <w:r>
        <w:rPr>
          <w:rStyle w:val="Picturecaption1"/>
          <w:b/>
          <w:bCs/>
        </w:rPr>
        <w:t xml:space="preserve"> </w:t>
      </w:r>
      <w:proofErr w:type="spellStart"/>
      <w:r>
        <w:rPr>
          <w:rStyle w:val="Picturecaption1"/>
          <w:b/>
          <w:bCs/>
        </w:rPr>
        <w:t>ol</w:t>
      </w:r>
      <w:proofErr w:type="spellEnd"/>
      <w:r>
        <w:rPr>
          <w:rStyle w:val="Picturecaption1"/>
          <w:b/>
          <w:bCs/>
        </w:rPr>
        <w:t xml:space="preserve"> </w:t>
      </w:r>
      <w:proofErr w:type="spellStart"/>
      <w:r>
        <w:rPr>
          <w:rStyle w:val="Picturecaption1"/>
          <w:b/>
          <w:bCs/>
        </w:rPr>
        <w:t>th</w:t>
      </w:r>
      <w:proofErr w:type="spellEnd"/>
      <w:r>
        <w:rPr>
          <w:rStyle w:val="Picturecaption1"/>
          <w:b/>
          <w:bCs/>
        </w:rPr>
        <w:t xml:space="preserve"> content o </w:t>
      </w:r>
      <w:proofErr w:type="spellStart"/>
      <w:r>
        <w:rPr>
          <w:rStyle w:val="Picturecaption1"/>
          <w:b/>
          <w:bCs/>
        </w:rPr>
        <w:t>oppoarence</w:t>
      </w:r>
      <w:proofErr w:type="spellEnd"/>
      <w:r>
        <w:rPr>
          <w:rStyle w:val="Picturecaption1"/>
          <w:b/>
          <w:bCs/>
        </w:rPr>
        <w:t xml:space="preserve"> of this document is </w:t>
      </w:r>
      <w:proofErr w:type="spellStart"/>
      <w:r>
        <w:rPr>
          <w:rStyle w:val="Picturecaption1"/>
          <w:b/>
          <w:bCs/>
        </w:rPr>
        <w:t>unbwful</w:t>
      </w:r>
      <w:proofErr w:type="spellEnd"/>
      <w:r>
        <w:rPr>
          <w:rStyle w:val="Picturecaption1"/>
          <w:b/>
          <w:bCs/>
        </w:rPr>
        <w:t xml:space="preserve"> and offenders ray </w:t>
      </w:r>
      <w:proofErr w:type="spellStart"/>
      <w:r>
        <w:rPr>
          <w:rStyle w:val="Picturecaption1"/>
          <w:b/>
          <w:bCs/>
        </w:rPr>
        <w:t>bo</w:t>
      </w:r>
      <w:proofErr w:type="spellEnd"/>
      <w:r>
        <w:rPr>
          <w:rStyle w:val="Picturecaption1"/>
          <w:b/>
          <w:bCs/>
        </w:rPr>
        <w:t xml:space="preserve"> </w:t>
      </w:r>
      <w:proofErr w:type="spellStart"/>
      <w:r>
        <w:rPr>
          <w:rStyle w:val="Picturecaption1"/>
          <w:b/>
          <w:bCs/>
        </w:rPr>
        <w:t>proseculsd</w:t>
      </w:r>
      <w:proofErr w:type="spellEnd"/>
      <w:r>
        <w:rPr>
          <w:rStyle w:val="Picturecaption1"/>
          <w:b/>
          <w:bCs/>
        </w:rPr>
        <w:t xml:space="preserve"> b the </w:t>
      </w:r>
      <w:proofErr w:type="spellStart"/>
      <w:r>
        <w:rPr>
          <w:rStyle w:val="Picturecaption1"/>
          <w:b/>
          <w:bCs/>
        </w:rPr>
        <w:t>fulls</w:t>
      </w:r>
      <w:proofErr w:type="spellEnd"/>
      <w:r>
        <w:rPr>
          <w:rStyle w:val="Picturecaption1"/>
          <w:b/>
          <w:bCs/>
        </w:rPr>
        <w:t xml:space="preserve"> </w:t>
      </w:r>
      <w:proofErr w:type="spellStart"/>
      <w:r>
        <w:rPr>
          <w:rStyle w:val="Picturecaption1"/>
          <w:b/>
          <w:bCs/>
        </w:rPr>
        <w:t>exiontolthelan</w:t>
      </w:r>
      <w:proofErr w:type="spellEnd"/>
      <w:r>
        <w:rPr>
          <w:rStyle w:val="Picturecaption1"/>
          <w:b/>
          <w:bCs/>
        </w:rPr>
        <w:t>.</w:t>
      </w:r>
    </w:p>
    <w:p w:rsidR="00CC51B5" w:rsidRDefault="0057028C">
      <w:pPr>
        <w:spacing w:line="360" w:lineRule="exact"/>
      </w:pPr>
      <w:r>
        <w:rPr>
          <w:noProof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1141730</wp:posOffset>
            </wp:positionH>
            <wp:positionV relativeFrom="paragraph">
              <wp:posOffset>341630</wp:posOffset>
            </wp:positionV>
            <wp:extent cx="609600" cy="57277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60960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423545" distL="597535" distR="0" simplePos="0" relativeHeight="62914698" behindDoc="1" locked="0" layoutInCell="1" allowOverlap="1">
            <wp:simplePos x="0" y="0"/>
            <wp:positionH relativeFrom="page">
              <wp:posOffset>2693035</wp:posOffset>
            </wp:positionH>
            <wp:positionV relativeFrom="paragraph">
              <wp:posOffset>12700</wp:posOffset>
            </wp:positionV>
            <wp:extent cx="3938270" cy="1085215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393827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1B5" w:rsidRDefault="00CC51B5">
      <w:pPr>
        <w:spacing w:line="360" w:lineRule="exact"/>
      </w:pPr>
    </w:p>
    <w:p w:rsidR="00CC51B5" w:rsidRDefault="00CC51B5">
      <w:pPr>
        <w:spacing w:line="360" w:lineRule="exact"/>
      </w:pPr>
    </w:p>
    <w:p w:rsidR="00CC51B5" w:rsidRDefault="00CC51B5">
      <w:pPr>
        <w:spacing w:line="360" w:lineRule="exact"/>
      </w:pPr>
    </w:p>
    <w:p w:rsidR="00CC51B5" w:rsidRDefault="00CC51B5">
      <w:pPr>
        <w:spacing w:line="360" w:lineRule="exact"/>
      </w:pPr>
    </w:p>
    <w:p w:rsidR="00CC51B5" w:rsidRDefault="00CC51B5">
      <w:pPr>
        <w:spacing w:after="570" w:line="1" w:lineRule="exact"/>
      </w:pPr>
    </w:p>
    <w:p w:rsidR="00CC51B5" w:rsidRDefault="00CC51B5">
      <w:pPr>
        <w:spacing w:line="1" w:lineRule="exact"/>
        <w:sectPr w:rsidR="00CC51B5">
          <w:type w:val="continuous"/>
          <w:pgSz w:w="11900" w:h="16840"/>
          <w:pgMar w:top="552" w:right="1457" w:bottom="552" w:left="1452" w:header="0" w:footer="3" w:gutter="0"/>
          <w:cols w:space="720"/>
          <w:noEndnote/>
          <w:docGrid w:linePitch="360"/>
        </w:sectPr>
      </w:pPr>
    </w:p>
    <w:p w:rsidR="00CC51B5" w:rsidRDefault="0057028C">
      <w:pPr>
        <w:pStyle w:val="Bodytext50"/>
        <w:spacing w:after="1320"/>
        <w:ind w:hanging="840"/>
      </w:pPr>
      <w:r>
        <w:rPr>
          <w:rStyle w:val="Bodytext5"/>
        </w:rPr>
        <w:lastRenderedPageBreak/>
        <w:t>Příloha č. 5</w:t>
      </w:r>
    </w:p>
    <w:p w:rsidR="00CC51B5" w:rsidRDefault="0057028C">
      <w:pPr>
        <w:pStyle w:val="Bodytext30"/>
        <w:pBdr>
          <w:top w:val="single" w:sz="4" w:space="0" w:color="auto"/>
        </w:pBdr>
        <w:spacing w:line="240" w:lineRule="auto"/>
        <w:jc w:val="both"/>
      </w:pPr>
      <w:r>
        <w:rPr>
          <w:rStyle w:val="Bodytext3"/>
          <w:lang w:val="cs-CZ" w:eastAsia="cs-CZ" w:bidi="cs-CZ"/>
        </w:rPr>
        <w:t>Krajská nemocnice T. Bati, a. s., Havlíčkovo nábřeží 600, 762 75 Zlín</w:t>
      </w:r>
    </w:p>
    <w:p w:rsidR="00CC51B5" w:rsidRDefault="0057028C">
      <w:pPr>
        <w:pStyle w:val="Bodytext10"/>
        <w:pBdr>
          <w:bottom w:val="single" w:sz="4" w:space="0" w:color="auto"/>
        </w:pBdr>
        <w:spacing w:after="240" w:line="240" w:lineRule="auto"/>
        <w:jc w:val="both"/>
      </w:pPr>
      <w:r>
        <w:rPr>
          <w:rStyle w:val="Bodytext1"/>
        </w:rPr>
        <w:t xml:space="preserve">IČ: 276 61 989, zapsána v obchodním rejstříku vedeném KS v Brně, </w:t>
      </w:r>
      <w:r>
        <w:rPr>
          <w:rStyle w:val="Bodytext1"/>
          <w:lang w:val="en-US" w:eastAsia="en-US" w:bidi="en-US"/>
        </w:rPr>
        <w:t xml:space="preserve">odd. </w:t>
      </w:r>
      <w:r>
        <w:rPr>
          <w:rStyle w:val="Bodytext1"/>
        </w:rPr>
        <w:t>B, vložka 4437</w:t>
      </w:r>
    </w:p>
    <w:p w:rsidR="00CC51B5" w:rsidRDefault="0057028C">
      <w:pPr>
        <w:pStyle w:val="Other10"/>
        <w:spacing w:line="240" w:lineRule="auto"/>
        <w:jc w:val="center"/>
        <w:rPr>
          <w:sz w:val="20"/>
          <w:szCs w:val="20"/>
        </w:rPr>
      </w:pPr>
      <w:r>
        <w:rPr>
          <w:rStyle w:val="Other1"/>
          <w:b/>
          <w:bCs/>
          <w:sz w:val="20"/>
          <w:szCs w:val="20"/>
        </w:rPr>
        <w:t>NÁKUPNÍ PODMÍNKY</w:t>
      </w:r>
    </w:p>
    <w:p w:rsidR="00CC51B5" w:rsidRDefault="0057028C">
      <w:pPr>
        <w:pStyle w:val="Bodytext40"/>
        <w:jc w:val="center"/>
      </w:pPr>
      <w:r>
        <w:rPr>
          <w:rStyle w:val="Bodytext4"/>
        </w:rPr>
        <w:t xml:space="preserve">pro dodávky zdravotnických prostředků do </w:t>
      </w:r>
      <w:r>
        <w:rPr>
          <w:rStyle w:val="Bodytext4"/>
        </w:rPr>
        <w:t>KNTB, a. s.</w:t>
      </w:r>
    </w:p>
    <w:p w:rsidR="00CC51B5" w:rsidRDefault="0057028C">
      <w:pPr>
        <w:pStyle w:val="Bodytext40"/>
        <w:spacing w:after="280"/>
        <w:jc w:val="center"/>
      </w:pPr>
      <w:r>
        <w:rPr>
          <w:rStyle w:val="Bodytext4"/>
        </w:rPr>
        <w:t>(verze 12/2022)</w:t>
      </w:r>
    </w:p>
    <w:p w:rsidR="00CC51B5" w:rsidRDefault="0057028C">
      <w:pPr>
        <w:pStyle w:val="Bodytext10"/>
        <w:numPr>
          <w:ilvl w:val="0"/>
          <w:numId w:val="6"/>
        </w:numPr>
        <w:tabs>
          <w:tab w:val="left" w:pos="217"/>
        </w:tabs>
        <w:spacing w:after="80"/>
        <w:jc w:val="center"/>
      </w:pPr>
      <w:r>
        <w:rPr>
          <w:rStyle w:val="Bodytext1"/>
        </w:rPr>
        <w:t>Obecná ustanovení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303"/>
        </w:tabs>
        <w:ind w:left="260" w:hanging="260"/>
        <w:jc w:val="both"/>
      </w:pPr>
      <w:r>
        <w:rPr>
          <w:rStyle w:val="Bodytext1"/>
        </w:rPr>
        <w:t xml:space="preserve">Tyto nákupní podmínky pro dodávky zdravotnických prostředků do KNTB, a. s. (dále Jen „Nákupní podmínky ZP" a „KNTB") upravují základní podmínky dodávek zdravotnických prostředků (dále jen ZP") do KNTB a jsou součástí všech smluv na ZP uzavřených KNTB jako </w:t>
      </w:r>
      <w:r>
        <w:rPr>
          <w:rStyle w:val="Bodytext1"/>
        </w:rPr>
        <w:t xml:space="preserve">odběratelem (kupujícím). Za zdravotnický prostředek je považován každý přistroj, výrobek, předmět nebo </w:t>
      </w:r>
      <w:proofErr w:type="spellStart"/>
      <w:r>
        <w:rPr>
          <w:rStyle w:val="Bodytext1"/>
        </w:rPr>
        <w:t>matenál</w:t>
      </w:r>
      <w:proofErr w:type="spellEnd"/>
      <w:r>
        <w:rPr>
          <w:rStyle w:val="Bodytext1"/>
        </w:rPr>
        <w:t xml:space="preserve">. který odpovídá definici uvedené v platných zákonech upravujících zdravotnické prostředky a diagnostické zdravotnické prostředky </w:t>
      </w:r>
      <w:r>
        <w:rPr>
          <w:rStyle w:val="Bodytext1"/>
          <w:lang w:val="en-US" w:eastAsia="en-US" w:bidi="en-US"/>
        </w:rPr>
        <w:t xml:space="preserve">in vitro </w:t>
      </w:r>
      <w:r>
        <w:rPr>
          <w:rStyle w:val="Bodytext1"/>
        </w:rPr>
        <w:t>(zejmén</w:t>
      </w:r>
      <w:r>
        <w:rPr>
          <w:rStyle w:val="Bodytext1"/>
        </w:rPr>
        <w:t>a zákon č. 375/2022 Sb., resp. zákon č. 89/2021 Sb.).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298"/>
        </w:tabs>
        <w:jc w:val="both"/>
      </w:pPr>
      <w:r>
        <w:rPr>
          <w:rStyle w:val="Bodytext1"/>
        </w:rPr>
        <w:t>Tyto Nákupní podmínky ZP platí pro všechny</w:t>
      </w:r>
    </w:p>
    <w:p w:rsidR="00CC51B5" w:rsidRDefault="0057028C">
      <w:pPr>
        <w:pStyle w:val="Bodytext10"/>
        <w:numPr>
          <w:ilvl w:val="0"/>
          <w:numId w:val="7"/>
        </w:numPr>
        <w:tabs>
          <w:tab w:val="left" w:pos="495"/>
        </w:tabs>
        <w:ind w:firstLine="260"/>
        <w:jc w:val="both"/>
      </w:pPr>
      <w:r>
        <w:rPr>
          <w:rStyle w:val="Bodytext1"/>
        </w:rPr>
        <w:t>veřejné zakázky ve smyslu zákona č. 134/2016 Sb., o zadávání veřejných zakázek, v platném zněni (dále jen ^</w:t>
      </w:r>
      <w:proofErr w:type="spellStart"/>
      <w:r>
        <w:rPr>
          <w:rStyle w:val="Bodytext1"/>
        </w:rPr>
        <w:t>ákon'j</w:t>
      </w:r>
      <w:proofErr w:type="spellEnd"/>
      <w:r>
        <w:rPr>
          <w:rStyle w:val="Bodytext1"/>
        </w:rPr>
        <w:t xml:space="preserve"> na dodávku ZP</w:t>
      </w:r>
    </w:p>
    <w:p w:rsidR="00CC51B5" w:rsidRDefault="0057028C">
      <w:pPr>
        <w:pStyle w:val="Bodytext10"/>
        <w:numPr>
          <w:ilvl w:val="0"/>
          <w:numId w:val="7"/>
        </w:numPr>
        <w:tabs>
          <w:tab w:val="left" w:pos="495"/>
        </w:tabs>
        <w:spacing w:line="341" w:lineRule="auto"/>
        <w:ind w:firstLine="260"/>
        <w:jc w:val="both"/>
      </w:pPr>
      <w:r>
        <w:rPr>
          <w:rStyle w:val="Bodytext1"/>
        </w:rPr>
        <w:t>zakázky malého rozsahu na jedno</w:t>
      </w:r>
      <w:r>
        <w:rPr>
          <w:rStyle w:val="Bodytext1"/>
        </w:rPr>
        <w:t>rázové i opakované dodávky ZP s předpokládanou cenou předmětu plněni bez DPH do 2.000 000,-</w:t>
      </w:r>
    </w:p>
    <w:p w:rsidR="00CC51B5" w:rsidRDefault="0057028C">
      <w:pPr>
        <w:pStyle w:val="Bodytext10"/>
        <w:spacing w:line="341" w:lineRule="auto"/>
        <w:ind w:left="560"/>
        <w:jc w:val="both"/>
      </w:pPr>
      <w:r>
        <w:rPr>
          <w:rStyle w:val="Bodytext1"/>
        </w:rPr>
        <w:t>Kč realizované přímo bez zadávacího o řízení (dále jen „ostatní zakázky"). V tomto případě se Nákupní podmínky pro ZP podepisují při uzavírání smlouvy.</w:t>
      </w:r>
    </w:p>
    <w:p w:rsidR="00CC51B5" w:rsidRDefault="0057028C">
      <w:pPr>
        <w:pStyle w:val="Bodytext10"/>
        <w:spacing w:line="331" w:lineRule="auto"/>
        <w:ind w:left="260" w:firstLine="20"/>
        <w:jc w:val="both"/>
      </w:pPr>
      <w:r>
        <w:rPr>
          <w:rStyle w:val="Bodytext1"/>
        </w:rPr>
        <w:t>Nabídka účas</w:t>
      </w:r>
      <w:r>
        <w:rPr>
          <w:rStyle w:val="Bodytext1"/>
        </w:rPr>
        <w:t>tníka v zadávacím řízení (dále jen „nabídka“) i návrh smlouvy, podle níž má být zakázka realizována (dále jen „návrh smlouvy“), musí být v souladu s podmínkami uvedenými v dalších ustanoveních.</w:t>
      </w:r>
    </w:p>
    <w:p w:rsidR="00CC51B5" w:rsidRDefault="0057028C">
      <w:pPr>
        <w:pStyle w:val="Bodytext10"/>
        <w:ind w:left="260" w:firstLine="20"/>
        <w:jc w:val="both"/>
      </w:pPr>
      <w:r>
        <w:rPr>
          <w:rStyle w:val="Bodytext1"/>
        </w:rPr>
        <w:t>Nabídka i návrh smlouvy se mohou odchylovat od ustanovení Náku</w:t>
      </w:r>
      <w:r>
        <w:rPr>
          <w:rStyle w:val="Bodytext1"/>
        </w:rPr>
        <w:t>pních podmínek ZP jen v případě, že to bude výslovně připuštěno v podmínkách zadání zakázky nebo v zadávací dokumentaci, a jen v rozsahu a za podmínek uvedených v těchto dokumentech. V takovém případě má odchylná úprava ve smlouvě přednost před těmito náku</w:t>
      </w:r>
      <w:r>
        <w:rPr>
          <w:rStyle w:val="Bodytext1"/>
        </w:rPr>
        <w:t>pními podmínkami.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298"/>
        </w:tabs>
        <w:jc w:val="both"/>
      </w:pPr>
      <w:r>
        <w:rPr>
          <w:rStyle w:val="Bodytext1"/>
        </w:rPr>
        <w:t>Nákupní podmínky ZP jsou součásti každého návrhu smlouvy, který se týká pořizování ZP podle odst. 1.1 těchto NP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294"/>
        </w:tabs>
        <w:spacing w:line="343" w:lineRule="auto"/>
        <w:ind w:left="260" w:hanging="260"/>
        <w:jc w:val="both"/>
      </w:pPr>
      <w:r>
        <w:rPr>
          <w:rStyle w:val="Bodytext1"/>
        </w:rPr>
        <w:t xml:space="preserve">Účastník zadávacího řízení, resp. dodavatel přiloží ke každému vyhotovení návrhu smlouvy jedno podepsané vyhotovení nákupních </w:t>
      </w:r>
      <w:r>
        <w:rPr>
          <w:rStyle w:val="Bodytext1"/>
        </w:rPr>
        <w:t xml:space="preserve">podmínek ZP, tzn., že předlož! nákupní </w:t>
      </w:r>
      <w:proofErr w:type="spellStart"/>
      <w:r>
        <w:rPr>
          <w:rStyle w:val="Bodytext1"/>
        </w:rPr>
        <w:t>podminky</w:t>
      </w:r>
      <w:proofErr w:type="spellEnd"/>
      <w:r>
        <w:rPr>
          <w:rStyle w:val="Bodytext1"/>
        </w:rPr>
        <w:t xml:space="preserve"> ZP v jednom vyhotoveni. Účastník zadávacího řízeni předloží podepsané nákupní podmínky ZP samostatně u každé nabídky, a to i </w:t>
      </w:r>
      <w:proofErr w:type="spellStart"/>
      <w:r>
        <w:rPr>
          <w:rStyle w:val="Bodytext1"/>
        </w:rPr>
        <w:t>vpripadě</w:t>
      </w:r>
      <w:proofErr w:type="spellEnd"/>
      <w:r>
        <w:rPr>
          <w:rStyle w:val="Bodytext1"/>
        </w:rPr>
        <w:t>, že nákupní podmínky ZP podepsal a předložil již dříve. V případě ostatníc</w:t>
      </w:r>
      <w:r>
        <w:rPr>
          <w:rStyle w:val="Bodytext1"/>
        </w:rPr>
        <w:t xml:space="preserve">h zakázek se nákupní podmínky ZP stávají součástí každé smlouvy jejím uzavřením bez ohledu na formu uzavřeni smlouvy. Nákupní podmínky ZP musí být podepsány u fyzických osob účastníkem zadávacího řízení a u právnických osob statutárním orgánem nebo osobou </w:t>
      </w:r>
      <w:r>
        <w:rPr>
          <w:rStyle w:val="Bodytext1"/>
        </w:rPr>
        <w:t>oprávněnou podepsat návrh smlouvy podle bodu 2.2.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308"/>
        </w:tabs>
        <w:spacing w:after="240" w:line="353" w:lineRule="auto"/>
        <w:ind w:left="260" w:hanging="260"/>
        <w:jc w:val="both"/>
      </w:pPr>
      <w:r>
        <w:rPr>
          <w:rStyle w:val="Bodytext1"/>
        </w:rPr>
        <w:t>NP nemusí být součástí smlouvy u zakázek, u nichž neproběhlo zadávací řízení dle zákona nebo příslušné vnitřní směrnice a Jejichž předmětem jsou jednorázové dodávky s cenou plnění do 5.000,- Kč.</w:t>
      </w:r>
    </w:p>
    <w:p w:rsidR="00CC51B5" w:rsidRDefault="0057028C">
      <w:pPr>
        <w:pStyle w:val="Bodytext10"/>
        <w:numPr>
          <w:ilvl w:val="0"/>
          <w:numId w:val="6"/>
        </w:numPr>
        <w:tabs>
          <w:tab w:val="left" w:pos="217"/>
        </w:tabs>
        <w:spacing w:after="80"/>
        <w:jc w:val="center"/>
      </w:pPr>
      <w:r>
        <w:rPr>
          <w:rStyle w:val="Bodytext1"/>
        </w:rPr>
        <w:t>Návrh smlou</w:t>
      </w:r>
      <w:r>
        <w:rPr>
          <w:rStyle w:val="Bodytext1"/>
        </w:rPr>
        <w:t>vy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313"/>
        </w:tabs>
        <w:spacing w:line="350" w:lineRule="auto"/>
        <w:ind w:left="260" w:hanging="260"/>
        <w:jc w:val="both"/>
      </w:pPr>
      <w:r>
        <w:rPr>
          <w:rStyle w:val="Bodytext1"/>
        </w:rPr>
        <w:t xml:space="preserve">Návrh smlouvy musí být v souladu s platnými právními předpisy, zadáním zakázky, nabídkou účastníka zadávacího řízení a těmito nákupními podmínkami ZP a musí v něm být výslovně uvedeno, že nákupní </w:t>
      </w:r>
      <w:proofErr w:type="spellStart"/>
      <w:r>
        <w:rPr>
          <w:rStyle w:val="Bodytext1"/>
        </w:rPr>
        <w:t>podminky</w:t>
      </w:r>
      <w:proofErr w:type="spellEnd"/>
      <w:r>
        <w:rPr>
          <w:rStyle w:val="Bodytext1"/>
        </w:rPr>
        <w:t xml:space="preserve"> ZP jsou součástí smlouvy Jako její příloha. Smlo</w:t>
      </w:r>
      <w:r>
        <w:rPr>
          <w:rStyle w:val="Bodytext1"/>
        </w:rPr>
        <w:t xml:space="preserve">uva (případně včetně příloh) musí jako jediný a úplný dokument řešit všechny vztahy mezi smluvními stranami a nesmí v ní být odkaz na žádné dodací, nákupní, cenové, platební či jiné </w:t>
      </w:r>
      <w:proofErr w:type="spellStart"/>
      <w:r>
        <w:rPr>
          <w:rStyle w:val="Bodytext1"/>
        </w:rPr>
        <w:t>podminky</w:t>
      </w:r>
      <w:proofErr w:type="spellEnd"/>
      <w:r>
        <w:rPr>
          <w:rStyle w:val="Bodytext1"/>
        </w:rPr>
        <w:t xml:space="preserve"> účastníka (prodávajícího), které by nebyly v souladu s nákupními </w:t>
      </w:r>
      <w:r>
        <w:rPr>
          <w:rStyle w:val="Bodytext1"/>
        </w:rPr>
        <w:t>podmínkami ZP. není-li v zadáni veřejné zakázky nebo ve výzvě k podání nabídek připuštěno jinak. Pokud by návrh smlouvy obsahoval podobný odkaz, nebude ze strany KNTB akceptován, nabídka účastníka zadávacího řízení bude vyřazena a účastník zadávacího řízen</w:t>
      </w:r>
      <w:r>
        <w:rPr>
          <w:rStyle w:val="Bodytext1"/>
        </w:rPr>
        <w:t>i vyloučen z další účasti na zadávání zakázky.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308"/>
        </w:tabs>
        <w:spacing w:line="350" w:lineRule="auto"/>
        <w:ind w:left="260" w:hanging="260"/>
        <w:jc w:val="both"/>
      </w:pPr>
      <w:r>
        <w:rPr>
          <w:rStyle w:val="Bodytext1"/>
        </w:rPr>
        <w:t>Krycí list nabídky v zadávacím řízení musí být podepsán u fyzických osob účastníkem zadávacího řízeni a u právnických osob statutárním orgánem. Pokud bude krycí list podepsán jinou osobou, musí být součástí na</w:t>
      </w:r>
      <w:r>
        <w:rPr>
          <w:rStyle w:val="Bodytext1"/>
        </w:rPr>
        <w:t>bídky buď písemná plná moc (pověření) podepsané u fyzických osob účastníkem zadávacího řízení a u právnických osob statutárním orgánem účastníka zadávacího řízení nebo příslušné doklady, z nichž bude vyplývat zákonné zmocnění osoby podepisovat jménem účast</w:t>
      </w:r>
      <w:r>
        <w:rPr>
          <w:rStyle w:val="Bodytext1"/>
        </w:rPr>
        <w:t xml:space="preserve">níka zadávacího řízení doklady pro zadávací řízení na dodávku ZP. U podpisu návrhu smlouvy, nákupní </w:t>
      </w:r>
      <w:proofErr w:type="spellStart"/>
      <w:r>
        <w:rPr>
          <w:rStyle w:val="Bodytext1"/>
        </w:rPr>
        <w:t>podminky</w:t>
      </w:r>
      <w:proofErr w:type="spellEnd"/>
      <w:r>
        <w:rPr>
          <w:rStyle w:val="Bodytext1"/>
        </w:rPr>
        <w:t xml:space="preserve"> ZP i vlastní nabídky musí být vždy uvedeno jméno, příjmení a funkce podepisující osoby.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303"/>
        </w:tabs>
        <w:spacing w:line="353" w:lineRule="auto"/>
        <w:ind w:left="260" w:hanging="260"/>
        <w:jc w:val="both"/>
        <w:sectPr w:rsidR="00CC51B5">
          <w:pgSz w:w="11900" w:h="16840"/>
          <w:pgMar w:top="1577" w:right="2385" w:bottom="1577" w:left="2233" w:header="0" w:footer="3" w:gutter="0"/>
          <w:cols w:space="720"/>
          <w:noEndnote/>
          <w:docGrid w:linePitch="360"/>
        </w:sectPr>
      </w:pPr>
      <w:r>
        <w:rPr>
          <w:rStyle w:val="Bodytext1"/>
        </w:rPr>
        <w:t>V záhlaví návrhu smlouvy musí být uv</w:t>
      </w:r>
      <w:r>
        <w:rPr>
          <w:rStyle w:val="Bodytext1"/>
        </w:rPr>
        <w:t xml:space="preserve">edeno číslo smlouvy, které je shodné s číslem zakázky uvedené v zadáni zakázky. Návrhem smlouvy je účastník zadávacího řízeni vázán po zadávací </w:t>
      </w:r>
      <w:proofErr w:type="spellStart"/>
      <w:r>
        <w:rPr>
          <w:rStyle w:val="Bodytext1"/>
        </w:rPr>
        <w:t>lhůlu</w:t>
      </w:r>
      <w:proofErr w:type="spellEnd"/>
      <w:r>
        <w:rPr>
          <w:rStyle w:val="Bodytext1"/>
        </w:rPr>
        <w:t>. která je u veřejných zakázek uvedena v zadání veřejné zakázky a vyplývá ze zákona a u zakázek malého rozs</w:t>
      </w:r>
      <w:r>
        <w:rPr>
          <w:rStyle w:val="Bodytext1"/>
        </w:rPr>
        <w:t>ahu činí 30 dnů ode dne doručeni oznámeni KNTB o výběru nejvhodnější nabídky.</w:t>
      </w:r>
    </w:p>
    <w:p w:rsidR="00CC51B5" w:rsidRDefault="0057028C">
      <w:pPr>
        <w:pStyle w:val="Bodytext10"/>
        <w:numPr>
          <w:ilvl w:val="0"/>
          <w:numId w:val="6"/>
        </w:numPr>
        <w:tabs>
          <w:tab w:val="left" w:pos="2217"/>
        </w:tabs>
        <w:spacing w:after="80"/>
        <w:ind w:left="2000"/>
      </w:pPr>
      <w:r>
        <w:rPr>
          <w:rStyle w:val="Bodytext1"/>
        </w:rPr>
        <w:lastRenderedPageBreak/>
        <w:t>Kvalitativní a technické požadavky na zdravotnické prostředky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510"/>
        </w:tabs>
        <w:ind w:left="480" w:hanging="240"/>
        <w:jc w:val="both"/>
      </w:pPr>
      <w:r>
        <w:rPr>
          <w:rStyle w:val="Bodytext1"/>
        </w:rPr>
        <w:t>Kvalitativní a technické vlastnosti ZP musí odpovídat požadavkům stanoveným obecné závaznými právními předpisy, zejm</w:t>
      </w:r>
      <w:r>
        <w:rPr>
          <w:rStyle w:val="Bodytext1"/>
        </w:rPr>
        <w:t xml:space="preserve">éna z č 375/2022 </w:t>
      </w:r>
      <w:proofErr w:type="gramStart"/>
      <w:r>
        <w:rPr>
          <w:rStyle w:val="Bodytext1"/>
        </w:rPr>
        <w:t>Sb..</w:t>
      </w:r>
      <w:proofErr w:type="gramEnd"/>
      <w:r>
        <w:rPr>
          <w:rStyle w:val="Bodytext1"/>
        </w:rPr>
        <w:t xml:space="preserve"> o zdravotnických prostředcích a diagnostických zdravotnických prostředcích </w:t>
      </w:r>
      <w:r>
        <w:rPr>
          <w:rStyle w:val="Bodytext1"/>
          <w:lang w:val="en-US" w:eastAsia="en-US" w:bidi="en-US"/>
        </w:rPr>
        <w:t xml:space="preserve">in vitro, </w:t>
      </w:r>
      <w:r>
        <w:rPr>
          <w:rStyle w:val="Bodytext1"/>
        </w:rPr>
        <w:t xml:space="preserve">z. č. 89/2021 </w:t>
      </w:r>
      <w:proofErr w:type="gramStart"/>
      <w:r>
        <w:rPr>
          <w:rStyle w:val="Bodytext1"/>
        </w:rPr>
        <w:t>Sb..</w:t>
      </w:r>
      <w:proofErr w:type="gramEnd"/>
      <w:r>
        <w:rPr>
          <w:rStyle w:val="Bodytext1"/>
        </w:rPr>
        <w:t xml:space="preserve"> o zdravotnických prostředcích, z. č. 102/2001 Sb., o obecné bezpečnosti výrobků, z. č. 22/1997 Sb., o technických požadavcích na v</w:t>
      </w:r>
      <w:r>
        <w:rPr>
          <w:rStyle w:val="Bodytext1"/>
        </w:rPr>
        <w:t xml:space="preserve">ýrobky, a příslušnými prováděcími nařízeními vlády k zákonu o zdravotnických prostředcích (dále jen „nařízení vlády"), harmonizovanými českými technickými normami a ostatními ČSN a požadavkům stanoveným v zadáni zakázky. Nabízený předmět plněni nesmí </w:t>
      </w:r>
      <w:proofErr w:type="spellStart"/>
      <w:r>
        <w:rPr>
          <w:rStyle w:val="Bodytext1"/>
        </w:rPr>
        <w:t>mit</w:t>
      </w:r>
      <w:proofErr w:type="spellEnd"/>
      <w:r>
        <w:rPr>
          <w:rStyle w:val="Bodytext1"/>
        </w:rPr>
        <w:t xml:space="preserve"> ž</w:t>
      </w:r>
      <w:r>
        <w:rPr>
          <w:rStyle w:val="Bodytext1"/>
        </w:rPr>
        <w:t xml:space="preserve">ádné právní vady, zejména </w:t>
      </w:r>
      <w:proofErr w:type="spellStart"/>
      <w:r>
        <w:rPr>
          <w:rStyle w:val="Bodytext1"/>
        </w:rPr>
        <w:t>nesmi</w:t>
      </w:r>
      <w:proofErr w:type="spellEnd"/>
      <w:r>
        <w:rPr>
          <w:rStyle w:val="Bodytext1"/>
        </w:rPr>
        <w:t xml:space="preserve"> být zatížen jakýmikoliv právy třetích osob. Účastník zadávacího řízeni může nabídnout jen takový předmět plnění, k němuž získal vlastnické či jiné odpovídající právo v souladu s platnými právními předpisy.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524"/>
        </w:tabs>
        <w:ind w:left="480" w:hanging="240"/>
        <w:jc w:val="both"/>
      </w:pPr>
      <w:r>
        <w:rPr>
          <w:rStyle w:val="Bodytext1"/>
        </w:rPr>
        <w:t xml:space="preserve">Účastník </w:t>
      </w:r>
      <w:r>
        <w:rPr>
          <w:rStyle w:val="Bodytext1"/>
        </w:rPr>
        <w:t xml:space="preserve">zadávacího </w:t>
      </w:r>
      <w:proofErr w:type="spellStart"/>
      <w:r>
        <w:rPr>
          <w:rStyle w:val="Bodytext1"/>
        </w:rPr>
        <w:t>řizeni</w:t>
      </w:r>
      <w:proofErr w:type="spellEnd"/>
      <w:r>
        <w:rPr>
          <w:rStyle w:val="Bodytext1"/>
        </w:rPr>
        <w:t xml:space="preserve"> musí v nabídce prokázat, že nabízený ZP je z hlediska platných právních předpisů způsobilý a vhodný pro použiti </w:t>
      </w:r>
      <w:proofErr w:type="spellStart"/>
      <w:r>
        <w:rPr>
          <w:rStyle w:val="Bodytext1"/>
        </w:rPr>
        <w:t>pň</w:t>
      </w:r>
      <w:proofErr w:type="spellEnd"/>
      <w:r>
        <w:rPr>
          <w:rStyle w:val="Bodytext1"/>
        </w:rPr>
        <w:t xml:space="preserve"> poskytování zdravotní péče v ČR. zejména, že u ZP byla stanoveným způsobem posouzena shoda jeho vlastností s technickými po</w:t>
      </w:r>
      <w:r>
        <w:rPr>
          <w:rStyle w:val="Bodytext1"/>
        </w:rPr>
        <w:t>žadavky, které stanoví nařízení vlády, je označen stanoveným způsobem a výrobce nebo jeho zplnomocněný zástupce o tom vydal písemné prohlášeni o shodě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524"/>
        </w:tabs>
        <w:spacing w:line="353" w:lineRule="auto"/>
        <w:ind w:left="480" w:hanging="240"/>
        <w:jc w:val="both"/>
      </w:pPr>
      <w:r>
        <w:rPr>
          <w:rStyle w:val="Bodytext1"/>
        </w:rPr>
        <w:t xml:space="preserve">Jedná-li se o ZP, který již byl uveden na trh v některém z členských států EU a je opatřen značkou CE ve </w:t>
      </w:r>
      <w:r>
        <w:rPr>
          <w:rStyle w:val="Bodytext1"/>
        </w:rPr>
        <w:t xml:space="preserve">smyslu nar. </w:t>
      </w:r>
      <w:proofErr w:type="spellStart"/>
      <w:r>
        <w:rPr>
          <w:rStyle w:val="Bodytext1"/>
        </w:rPr>
        <w:t>vi</w:t>
      </w:r>
      <w:proofErr w:type="spellEnd"/>
      <w:r>
        <w:rPr>
          <w:rStyle w:val="Bodytext1"/>
        </w:rPr>
        <w:t xml:space="preserve">. č. 291/2000 </w:t>
      </w:r>
      <w:proofErr w:type="spellStart"/>
      <w:proofErr w:type="gramStart"/>
      <w:r>
        <w:rPr>
          <w:rStyle w:val="Bodytext1"/>
        </w:rPr>
        <w:t>Sb</w:t>
      </w:r>
      <w:proofErr w:type="spellEnd"/>
      <w:r>
        <w:rPr>
          <w:rStyle w:val="Bodytext1"/>
        </w:rPr>
        <w:t xml:space="preserve"> .</w:t>
      </w:r>
      <w:proofErr w:type="gramEnd"/>
      <w:r>
        <w:rPr>
          <w:rStyle w:val="Bodytext1"/>
        </w:rPr>
        <w:t xml:space="preserve"> platného a účinného do 31. 12 2009, je účastník zadávacího řízení povinen v nabídce předložit kopii prohlášeni o shodě vystaveného výrobcem nebo jeho zplnomocněným zástupcem a kopii CE certifikátu vystaveného notifikovanou </w:t>
      </w:r>
      <w:r>
        <w:rPr>
          <w:rStyle w:val="Bodytext1"/>
        </w:rPr>
        <w:t>osobou, která se podílela na posuzováni shody.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519"/>
        </w:tabs>
        <w:spacing w:line="353" w:lineRule="auto"/>
        <w:ind w:left="480" w:hanging="240"/>
        <w:jc w:val="both"/>
      </w:pPr>
      <w:r>
        <w:rPr>
          <w:rStyle w:val="Bodytext1"/>
        </w:rPr>
        <w:t>V případě ZP. který dosud nebyl uveden na trh v některém z členských států EU a není opatřen značkou CE. avšak může být uváděn do provozu podle přechodných ustanovení příslušného nařízeni vlády, je účastník za</w:t>
      </w:r>
      <w:r>
        <w:rPr>
          <w:rStyle w:val="Bodytext1"/>
        </w:rPr>
        <w:t>dávacího řízeni povinen předložit jako doklad o vhodnosti ZP pro použiti při poskytováni zdravotní péče kopii závěrečné zprávy o provedení klinického hodnoceni zdravotnického prostředku (nebo její část obsahující alespoň základní identifikační údaje a údaj</w:t>
      </w:r>
      <w:r>
        <w:rPr>
          <w:rStyle w:val="Bodytext1"/>
        </w:rPr>
        <w:t>e o ověření vhodnosti zdravotnického prostředku pro určený účel použití).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529"/>
        </w:tabs>
        <w:spacing w:line="353" w:lineRule="auto"/>
        <w:ind w:left="480" w:hanging="240"/>
        <w:jc w:val="both"/>
      </w:pPr>
      <w:r>
        <w:rPr>
          <w:rStyle w:val="Bodytext1"/>
        </w:rPr>
        <w:t>Součástí nabídky musí být i kopie případných dalších veřejnoprávních rozhodnuti, povolení, osvědčeni, certifikátů a atestů, které jsou podle zvláštních právních předpisů (např. z. č.</w:t>
      </w:r>
      <w:r>
        <w:rPr>
          <w:rStyle w:val="Bodytext1"/>
        </w:rPr>
        <w:t xml:space="preserve"> 18/1997 </w:t>
      </w:r>
      <w:proofErr w:type="gramStart"/>
      <w:r>
        <w:rPr>
          <w:rStyle w:val="Bodytext1"/>
        </w:rPr>
        <w:t>Sb..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resp</w:t>
      </w:r>
      <w:proofErr w:type="spellEnd"/>
      <w:r>
        <w:rPr>
          <w:rStyle w:val="Bodytext1"/>
        </w:rPr>
        <w:t xml:space="preserve"> z č. 263/2016 Sb., atomový zákon, a prováděcí předpisy) vydávány pro jednotlivé druhy ZP a vztahuji se k předmětu plněni.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524"/>
        </w:tabs>
        <w:ind w:left="480" w:hanging="240"/>
        <w:jc w:val="both"/>
      </w:pPr>
      <w:r>
        <w:rPr>
          <w:rStyle w:val="Bodytext1"/>
        </w:rPr>
        <w:t>Požadované doklady prokazujíc! splněni kvalitativních a technických požadavků ZP podle čl. 3 musí být platné v příp</w:t>
      </w:r>
      <w:r>
        <w:rPr>
          <w:rStyle w:val="Bodytext1"/>
        </w:rPr>
        <w:t xml:space="preserve">adě zadávacích </w:t>
      </w:r>
      <w:proofErr w:type="spellStart"/>
      <w:r>
        <w:rPr>
          <w:rStyle w:val="Bodytext1"/>
        </w:rPr>
        <w:t>řizeni</w:t>
      </w:r>
      <w:proofErr w:type="spellEnd"/>
      <w:r>
        <w:rPr>
          <w:rStyle w:val="Bodytext1"/>
        </w:rPr>
        <w:t xml:space="preserve"> a v případě zakázek malého rozsahu nejpozději v den podáni nabídky (v případě ostatních zakázek nejpozději v den uzavřeni smlouvy) a jejich platnost musí trvat po celou sjednanou nebo předpokládanou dobu plněni. Všechny tyto doklady l</w:t>
      </w:r>
      <w:r>
        <w:rPr>
          <w:rStyle w:val="Bodytext1"/>
        </w:rPr>
        <w:t>ze předložit ve fotokopii, která nemusí být úředně ověřena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524"/>
        </w:tabs>
        <w:spacing w:line="353" w:lineRule="auto"/>
        <w:ind w:left="480" w:hanging="240"/>
        <w:jc w:val="both"/>
      </w:pPr>
      <w:r>
        <w:rPr>
          <w:rStyle w:val="Bodytext1"/>
        </w:rPr>
        <w:t xml:space="preserve">Jednotlivý ZP bude označen dle nařízeni Evropského parlamentu a Rady č. 2017/745. a to </w:t>
      </w:r>
      <w:proofErr w:type="spellStart"/>
      <w:r>
        <w:rPr>
          <w:rStyle w:val="Bodytext1"/>
        </w:rPr>
        <w:t>konkrétné</w:t>
      </w:r>
      <w:proofErr w:type="spellEnd"/>
      <w:r>
        <w:rPr>
          <w:rStyle w:val="Bodytext1"/>
        </w:rPr>
        <w:t xml:space="preserve"> označením shody CE dle d. 20. a to v souladu s Přílohou V. u prostředků malých rozměrů bude označení</w:t>
      </w:r>
      <w:r>
        <w:rPr>
          <w:rStyle w:val="Bodytext1"/>
        </w:rPr>
        <w:t xml:space="preserve"> shody o velikosti min. 2.5 mm x 2,5 mm Nařízeni, dále dle pravidel čl. 27 Nařízeni Systém jedinečné identifikace prostředku </w:t>
      </w:r>
      <w:proofErr w:type="gramStart"/>
      <w:r>
        <w:rPr>
          <w:rStyle w:val="Bodytext1"/>
        </w:rPr>
        <w:t>(.systém</w:t>
      </w:r>
      <w:proofErr w:type="gramEnd"/>
      <w:r>
        <w:rPr>
          <w:rStyle w:val="Bodytext1"/>
        </w:rPr>
        <w:t xml:space="preserve"> UDI“) spolu s části C Přílohy VI.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524"/>
        </w:tabs>
        <w:spacing w:after="260" w:line="353" w:lineRule="auto"/>
        <w:ind w:left="480" w:hanging="240"/>
        <w:jc w:val="both"/>
      </w:pPr>
      <w:r>
        <w:rPr>
          <w:rStyle w:val="Bodytext1"/>
        </w:rPr>
        <w:t>Instrumentárium bude označeno označením shody CE o velikosti min. 2.5 mm x 2,5 mm. katal</w:t>
      </w:r>
      <w:r>
        <w:rPr>
          <w:rStyle w:val="Bodytext1"/>
        </w:rPr>
        <w:t xml:space="preserve">ogovým číslem a strojově čitelným kódem typu </w:t>
      </w:r>
      <w:proofErr w:type="gramStart"/>
      <w:r>
        <w:rPr>
          <w:rStyle w:val="Bodytext1"/>
        </w:rPr>
        <w:t>2D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Datamatrix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gravirovaný</w:t>
      </w:r>
      <w:proofErr w:type="spellEnd"/>
      <w:r>
        <w:rPr>
          <w:rStyle w:val="Bodytext1"/>
        </w:rPr>
        <w:t xml:space="preserve"> laserem (dle EN 9132) a bude obsahovat standardní značení UDI v systému strojového značeni GS1, minimální obsažené údaje: stát, výrobce, katalogové číslo a sériové číslo.</w:t>
      </w:r>
    </w:p>
    <w:p w:rsidR="00CC51B5" w:rsidRDefault="0057028C">
      <w:pPr>
        <w:pStyle w:val="Bodytext10"/>
        <w:numPr>
          <w:ilvl w:val="0"/>
          <w:numId w:val="6"/>
        </w:numPr>
        <w:tabs>
          <w:tab w:val="left" w:pos="226"/>
        </w:tabs>
        <w:spacing w:after="80"/>
        <w:jc w:val="center"/>
      </w:pPr>
      <w:r>
        <w:rPr>
          <w:rStyle w:val="Bodytext1"/>
        </w:rPr>
        <w:t>Záruka, záručn</w:t>
      </w:r>
      <w:r>
        <w:rPr>
          <w:rStyle w:val="Bodytext1"/>
        </w:rPr>
        <w:t>í a pozáruční servis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548"/>
        </w:tabs>
        <w:spacing w:line="341" w:lineRule="auto"/>
        <w:ind w:left="480" w:hanging="240"/>
        <w:jc w:val="both"/>
      </w:pPr>
      <w:r>
        <w:rPr>
          <w:rStyle w:val="Bodytext1"/>
        </w:rPr>
        <w:t xml:space="preserve">Smlouva musí obsahovat výslovné ustanoveni o převzetí záruky za jakost a její délce </w:t>
      </w:r>
      <w:proofErr w:type="spellStart"/>
      <w:r>
        <w:rPr>
          <w:rStyle w:val="Bodytext1"/>
        </w:rPr>
        <w:t>stim</w:t>
      </w:r>
      <w:proofErr w:type="spellEnd"/>
      <w:r>
        <w:rPr>
          <w:rStyle w:val="Bodytext1"/>
        </w:rPr>
        <w:t>, že práva zodpovědnosti za vady se řídi příslušnými ustanoveními občanského zákoníku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548"/>
        </w:tabs>
        <w:spacing w:line="353" w:lineRule="auto"/>
        <w:ind w:left="480" w:hanging="240"/>
        <w:jc w:val="both"/>
      </w:pPr>
      <w:r>
        <w:rPr>
          <w:rStyle w:val="Bodytext1"/>
        </w:rPr>
        <w:t>U dodávek ZP. které mají charakter lékařských přístrojů, musí</w:t>
      </w:r>
      <w:r>
        <w:rPr>
          <w:rStyle w:val="Bodytext1"/>
        </w:rPr>
        <w:t xml:space="preserve"> smlouva (nebo její příloha) obsahovat ustanoveni o záručním a pozáručním servisu, v nichž bude uvedeno, kdo (zda přímo smluvní strana nebo jiná servisní firma) a za jakých podmínek provádí záruční servis, jaká je doba od nahlášeni vady do nástupu servisní</w:t>
      </w:r>
      <w:r>
        <w:rPr>
          <w:rStyle w:val="Bodytext1"/>
        </w:rPr>
        <w:t xml:space="preserve"> firmy, jaká je doba na odstraněni vad a sankce za její nedodržení.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553"/>
        </w:tabs>
        <w:spacing w:after="360" w:line="341" w:lineRule="auto"/>
        <w:ind w:left="480" w:hanging="240"/>
        <w:jc w:val="both"/>
      </w:pPr>
      <w:r>
        <w:rPr>
          <w:rStyle w:val="Bodytext1"/>
        </w:rPr>
        <w:t>V ustanoveních o pozáručním servisu musí být uvedeno, kdo (zda přímo smluvní strana nebo jiná servisní firma) a za jakých podmínek provádí pozáruční servis. Podmínky pozáručního servisu mu</w:t>
      </w:r>
      <w:r>
        <w:rPr>
          <w:rStyle w:val="Bodytext1"/>
        </w:rPr>
        <w:t xml:space="preserve">sí být stanoveny tak. že servis je prováděn jen v případě potřeby KNTB a na její výzvu, a účtovány budou jen jednotlivé servisní práce a dodávky podle aktuálního ceníku servisní organizace Ze strany KNTB nebudou zejména akceptována ustanoveni, podle nichž </w:t>
      </w:r>
      <w:r>
        <w:rPr>
          <w:rStyle w:val="Bodytext1"/>
        </w:rPr>
        <w:t>by pozáruční servis měl být poskytován výlučné jen jako paušální soubor dodávek náhradních dílů a servisních práci za určité časové období a účtován jako paušální platba za určité období bez ohledu na skutečný rozsah provedených servisních práci a dodávek.</w:t>
      </w:r>
      <w:r>
        <w:rPr>
          <w:rStyle w:val="Bodytext1"/>
        </w:rPr>
        <w:t xml:space="preserve"> Takováto nabídka bude posouzena jako v rozporu s těmito nákupními podmínkami ZP a bude vyřazena a účastník zadávacího řízeni vyloučen. Pozáruční servis musí být zajištěn tak, aby KNTB měla možnost zadával </w:t>
      </w:r>
      <w:proofErr w:type="spellStart"/>
      <w:r>
        <w:rPr>
          <w:rStyle w:val="Bodytext1"/>
        </w:rPr>
        <w:t>servisni</w:t>
      </w:r>
      <w:proofErr w:type="spellEnd"/>
      <w:r>
        <w:rPr>
          <w:rStyle w:val="Bodytext1"/>
        </w:rPr>
        <w:t xml:space="preserve"> práce více než jednomu dodavateli kromě p</w:t>
      </w:r>
      <w:r>
        <w:rPr>
          <w:rStyle w:val="Bodytext1"/>
        </w:rPr>
        <w:t xml:space="preserve">řípadů, kdy v důsledku specifického charakteru dodaného lékařského přístroje pověřil výrobce některou </w:t>
      </w:r>
      <w:proofErr w:type="spellStart"/>
      <w:r>
        <w:rPr>
          <w:rStyle w:val="Bodytext1"/>
        </w:rPr>
        <w:t>servisni</w:t>
      </w:r>
      <w:proofErr w:type="spellEnd"/>
      <w:r>
        <w:rPr>
          <w:rStyle w:val="Bodytext1"/>
        </w:rPr>
        <w:t xml:space="preserve"> firmu výhradním prováděním pozáručního servisu (tuto skutečnost musí účastník zadávacího řízeni prokázat).</w:t>
      </w:r>
    </w:p>
    <w:p w:rsidR="00CC51B5" w:rsidRDefault="0057028C">
      <w:pPr>
        <w:pStyle w:val="Bodytext10"/>
        <w:numPr>
          <w:ilvl w:val="0"/>
          <w:numId w:val="6"/>
        </w:numPr>
        <w:tabs>
          <w:tab w:val="left" w:pos="222"/>
        </w:tabs>
        <w:spacing w:after="80" w:line="343" w:lineRule="auto"/>
        <w:jc w:val="center"/>
      </w:pPr>
      <w:r>
        <w:rPr>
          <w:rStyle w:val="Bodytext1"/>
        </w:rPr>
        <w:t>Dodací podmínky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548"/>
        </w:tabs>
        <w:spacing w:line="336" w:lineRule="auto"/>
        <w:ind w:left="480" w:hanging="240"/>
        <w:jc w:val="both"/>
      </w:pPr>
      <w:r>
        <w:rPr>
          <w:rStyle w:val="Bodytext1"/>
        </w:rPr>
        <w:t>U smluv uzavíraných na</w:t>
      </w:r>
      <w:r>
        <w:rPr>
          <w:rStyle w:val="Bodytext1"/>
        </w:rPr>
        <w:t xml:space="preserve"> opakující se plnění na období delší, než jedno čtvrtletí bude ve smlouvě dohodnut předmět plnění a orientační množství za dobu platnosti smlouvy s tím, že orientační množství je nezávazný údaj a že konkrétní množství a dobu plněni u jednotlivých dílčích d</w:t>
      </w:r>
      <w:r>
        <w:rPr>
          <w:rStyle w:val="Bodytext1"/>
        </w:rPr>
        <w:t xml:space="preserve">odávek určí KNTB písemně, faxem, e-mailem </w:t>
      </w:r>
      <w:proofErr w:type="gramStart"/>
      <w:r>
        <w:rPr>
          <w:rStyle w:val="Bodytext1"/>
        </w:rPr>
        <w:t>nebo - je</w:t>
      </w:r>
      <w:proofErr w:type="gramEnd"/>
      <w:r>
        <w:rPr>
          <w:rStyle w:val="Bodytext1"/>
        </w:rPr>
        <w:t>-li to obvyklé - i telefonicky.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543"/>
        </w:tabs>
        <w:spacing w:line="343" w:lineRule="auto"/>
        <w:ind w:left="480" w:hanging="240"/>
        <w:jc w:val="both"/>
        <w:sectPr w:rsidR="00CC51B5">
          <w:headerReference w:type="even" r:id="rId20"/>
          <w:headerReference w:type="default" r:id="rId21"/>
          <w:footerReference w:type="even" r:id="rId22"/>
          <w:footerReference w:type="default" r:id="rId23"/>
          <w:pgSz w:w="11900" w:h="16840"/>
          <w:pgMar w:top="2413" w:right="2365" w:bottom="2413" w:left="2209" w:header="0" w:footer="3" w:gutter="0"/>
          <w:cols w:space="720"/>
          <w:noEndnote/>
          <w:docGrid w:linePitch="360"/>
        </w:sectPr>
      </w:pPr>
      <w:r>
        <w:rPr>
          <w:rStyle w:val="Bodytext1"/>
        </w:rPr>
        <w:t>U dodávek ZP. které mají charakter spotřebního materiálu, je dodávka splněna dodáním do areálu KNTB, Havlíčkovo nábřeží 600, Zlín a potvrzení</w:t>
      </w:r>
      <w:r>
        <w:rPr>
          <w:rStyle w:val="Bodytext1"/>
        </w:rPr>
        <w:t xml:space="preserve">m převzetí KNTB s tím, že vlastnické právo přechází na KNTB splněním každé dílčí dodávky. V případě zahraničních dodavatelů (osob se sídlem mimo ČR) bude akceptována pouze dodací podmínka DDP Zlín dle </w:t>
      </w:r>
      <w:r>
        <w:rPr>
          <w:rStyle w:val="Bodytext1"/>
          <w:lang w:val="en-US" w:eastAsia="en-US" w:bidi="en-US"/>
        </w:rPr>
        <w:t xml:space="preserve">INCOTERMS </w:t>
      </w:r>
      <w:r>
        <w:rPr>
          <w:rStyle w:val="Bodytext1"/>
        </w:rPr>
        <w:t>2000. Není-li v zadání zakázky uvedeno jinak,</w:t>
      </w:r>
      <w:r>
        <w:rPr>
          <w:rStyle w:val="Bodytext1"/>
        </w:rPr>
        <w:t xml:space="preserve"> mohou být předmětem dodávek ZP spotřebního charakteru jen ty ZP, u nichž ke dni splnění neuplynula více než 1/3 stanovené expirační doby. ZP, u nichž uplynula větší část než 1/3 expirační doby, mohou být dodávány jen po předchozím souhlasu KNTB a se slevo</w:t>
      </w:r>
      <w:r>
        <w:rPr>
          <w:rStyle w:val="Bodytext1"/>
        </w:rPr>
        <w:t>u z ceny, která bude sjednána před vlastním plněním.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483"/>
        </w:tabs>
        <w:spacing w:line="240" w:lineRule="auto"/>
        <w:ind w:firstLine="180"/>
        <w:jc w:val="both"/>
      </w:pPr>
      <w:r>
        <w:rPr>
          <w:rStyle w:val="Bodytext1"/>
        </w:rPr>
        <w:lastRenderedPageBreak/>
        <w:t>Není-h v zadaní zakázky na dodávku lékařských přístrojů výslovně uvedeno jinak, je součástí předmětu plnění a bude zahrnuto</w:t>
      </w:r>
    </w:p>
    <w:p w:rsidR="00CC51B5" w:rsidRDefault="0057028C">
      <w:pPr>
        <w:pStyle w:val="Bodytext10"/>
        <w:ind w:left="440" w:firstLine="20"/>
        <w:jc w:val="both"/>
      </w:pPr>
      <w:r>
        <w:rPr>
          <w:rStyle w:val="Bodytext1"/>
        </w:rPr>
        <w:t xml:space="preserve">v nabídkové ceně kromě dodáni lékařského </w:t>
      </w:r>
      <w:proofErr w:type="spellStart"/>
      <w:r>
        <w:rPr>
          <w:rStyle w:val="Bodytext1"/>
        </w:rPr>
        <w:t>přistroje</w:t>
      </w:r>
      <w:proofErr w:type="spellEnd"/>
      <w:r>
        <w:rPr>
          <w:rStyle w:val="Bodytext1"/>
        </w:rPr>
        <w:t xml:space="preserve"> do KNTB i jeho montáž nebo </w:t>
      </w:r>
      <w:r>
        <w:rPr>
          <w:rStyle w:val="Bodytext1"/>
        </w:rPr>
        <w:t xml:space="preserve">instalace, uvedeni do provozu, obstarání všech veřejnoprávních rozhodnuti a povolení potřených pro uvedeni do provozu, provedení zkušebního provozu, zaškoleni personálu, dodání českého návodu k použiti i veškeré další náklady a výdaje spojené s dodávkou a </w:t>
      </w:r>
      <w:r>
        <w:rPr>
          <w:rStyle w:val="Bodytext1"/>
        </w:rPr>
        <w:t xml:space="preserve">rovněž poskytování bezplatného záručního servisu během záruční doby s tím, že dodávka je považována za splněnou </w:t>
      </w:r>
      <w:proofErr w:type="spellStart"/>
      <w:r>
        <w:rPr>
          <w:rStyle w:val="Bodytext1"/>
        </w:rPr>
        <w:t>podepsánlm</w:t>
      </w:r>
      <w:proofErr w:type="spellEnd"/>
      <w:r>
        <w:rPr>
          <w:rStyle w:val="Bodytext1"/>
        </w:rPr>
        <w:t xml:space="preserve"> zápisu o předáni a převzetí předmětu plnění (nebo jiného podobného dokladu) oběma stranami.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508"/>
        </w:tabs>
        <w:ind w:left="440" w:hanging="240"/>
        <w:jc w:val="both"/>
      </w:pPr>
      <w:r>
        <w:rPr>
          <w:rStyle w:val="Bodytext1"/>
        </w:rPr>
        <w:t xml:space="preserve">Dodávka lékařského přístroje nebo jiného </w:t>
      </w:r>
      <w:r>
        <w:rPr>
          <w:rStyle w:val="Bodytext1"/>
        </w:rPr>
        <w:t xml:space="preserve">zařízení </w:t>
      </w:r>
      <w:proofErr w:type="spellStart"/>
      <w:r>
        <w:rPr>
          <w:rStyle w:val="Bodytext1"/>
        </w:rPr>
        <w:t>nesmi</w:t>
      </w:r>
      <w:proofErr w:type="spellEnd"/>
      <w:r>
        <w:rPr>
          <w:rStyle w:val="Bodytext1"/>
        </w:rPr>
        <w:t xml:space="preserve"> být podmíněna budoucím odběrem spotřebního materiálu nebo jiných výrobků, pokud tyto materiály či výrobky nejsou podle zadání zakázky předmětem plnění. Z dodávky přístroje nebo zařízení nesmí vyplývat povinnost KNTB odebírat v budoucnu výluč</w:t>
      </w:r>
      <w:r>
        <w:rPr>
          <w:rStyle w:val="Bodytext1"/>
        </w:rPr>
        <w:t>né určený spotřební materiál nebo výrobky kromě případů, kdy odběr konkrétního spotřebního materiálu nebo výrobků je předepsán výrobcem (tuto skutečnost musí dodavatel prokázat).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513"/>
        </w:tabs>
        <w:spacing w:line="343" w:lineRule="auto"/>
        <w:ind w:left="440" w:hanging="240"/>
        <w:jc w:val="both"/>
      </w:pPr>
      <w:r>
        <w:rPr>
          <w:rStyle w:val="Bodytext1"/>
        </w:rPr>
        <w:t>K přechodu vlastnického práva k předmětu plněni dochází ve všech případech sp</w:t>
      </w:r>
      <w:r>
        <w:rPr>
          <w:rStyle w:val="Bodytext1"/>
        </w:rPr>
        <w:t xml:space="preserve">lněním dodávky podle předchozích ustanovení, pokud </w:t>
      </w:r>
      <w:proofErr w:type="spellStart"/>
      <w:r>
        <w:rPr>
          <w:rStyle w:val="Bodytext1"/>
        </w:rPr>
        <w:t>neni</w:t>
      </w:r>
      <w:proofErr w:type="spellEnd"/>
      <w:r>
        <w:rPr>
          <w:rStyle w:val="Bodytext1"/>
        </w:rPr>
        <w:t xml:space="preserve"> dále uvedeno jinak. Je-li obsahem spolupráce i zřízeni a provozování </w:t>
      </w:r>
      <w:proofErr w:type="spellStart"/>
      <w:r>
        <w:rPr>
          <w:rStyle w:val="Bodytext1"/>
        </w:rPr>
        <w:t>konsignačnlho</w:t>
      </w:r>
      <w:proofErr w:type="spellEnd"/>
      <w:r>
        <w:rPr>
          <w:rStyle w:val="Bodytext1"/>
        </w:rPr>
        <w:t xml:space="preserve"> skladu, přechází vlastnické právo z dodavatele na KNTB okamžikem vydání předmětu plnění z </w:t>
      </w:r>
      <w:proofErr w:type="spellStart"/>
      <w:r>
        <w:rPr>
          <w:rStyle w:val="Bodytext1"/>
        </w:rPr>
        <w:t>konsignačnlho</w:t>
      </w:r>
      <w:proofErr w:type="spellEnd"/>
      <w:r>
        <w:rPr>
          <w:rStyle w:val="Bodytext1"/>
        </w:rPr>
        <w:t xml:space="preserve"> skladu. Návrh</w:t>
      </w:r>
      <w:r>
        <w:rPr>
          <w:rStyle w:val="Bodytext1"/>
        </w:rPr>
        <w:t xml:space="preserve"> smlouvy nesmí obsahovat ustanoveni o výhradě vlastnického práva, podle něhož by vlastnické právo k předmětu plněni přecházelo na KNTB až zaplacením dohodnuté ceny nebo splněním jiných podmínek. K přechodu nebezpečí poškození, zničení nebo ztráty předmětu </w:t>
      </w:r>
      <w:r>
        <w:rPr>
          <w:rStyle w:val="Bodytext1"/>
        </w:rPr>
        <w:t>plněni nebo jeho části na KNTB dochází vždy přechodem vlastnického práva.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513"/>
        </w:tabs>
        <w:spacing w:line="341" w:lineRule="auto"/>
        <w:ind w:left="440" w:hanging="240"/>
        <w:jc w:val="both"/>
      </w:pPr>
      <w:r>
        <w:rPr>
          <w:rStyle w:val="Bodytext1"/>
        </w:rPr>
        <w:t>Není-li mezi smluvními stranami předem dohodnuto jinak, lze plnění poskytnout předáním v areálu KNTB jen v pracovních dnech v době od 7,00 hodin do 15.00 hodin.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508"/>
        </w:tabs>
        <w:spacing w:after="260" w:line="353" w:lineRule="auto"/>
        <w:ind w:left="440" w:hanging="240"/>
        <w:jc w:val="both"/>
      </w:pPr>
      <w:r>
        <w:rPr>
          <w:rStyle w:val="Bodytext1"/>
        </w:rPr>
        <w:t xml:space="preserve">Dodávku lékařského </w:t>
      </w:r>
      <w:r>
        <w:rPr>
          <w:rStyle w:val="Bodytext1"/>
        </w:rPr>
        <w:t>přístroje je za KNTB oprávněn převzít a zápis o předání a převzetí podepsat pouze příslušný pověřený zaměstnanec, jehož jméno, příjmení a funkce budou uvedeny v zadání zakázky a v příslušné smlouvě s tím, že v době nepřítomností tohoto pracovníka rozhoduje</w:t>
      </w:r>
      <w:r>
        <w:rPr>
          <w:rStyle w:val="Bodytext1"/>
        </w:rPr>
        <w:t xml:space="preserve"> o převzetí dodávky a podepsání příslušného zápisu pracovník pověřený k tomuto jednání představenstvem KNTB. Nebude-li ve smlouvě o dodávce lékařského </w:t>
      </w:r>
      <w:proofErr w:type="spellStart"/>
      <w:r>
        <w:rPr>
          <w:rStyle w:val="Bodytext1"/>
        </w:rPr>
        <w:t>přistroje</w:t>
      </w:r>
      <w:proofErr w:type="spellEnd"/>
      <w:r>
        <w:rPr>
          <w:rStyle w:val="Bodytext1"/>
        </w:rPr>
        <w:t xml:space="preserve"> uveden pracovník příslušný k převzetí, potvrzuje převzetí a podepisuje příslušný zápis technik </w:t>
      </w:r>
      <w:r>
        <w:rPr>
          <w:rStyle w:val="Bodytext1"/>
        </w:rPr>
        <w:t xml:space="preserve">zdravotnických prostředků KNTB. Podepsání zápisu o předáni a převzetí lékařského </w:t>
      </w:r>
      <w:proofErr w:type="spellStart"/>
      <w:r>
        <w:rPr>
          <w:rStyle w:val="Bodytext1"/>
        </w:rPr>
        <w:t>přistroje</w:t>
      </w:r>
      <w:proofErr w:type="spellEnd"/>
      <w:r>
        <w:rPr>
          <w:rStyle w:val="Bodytext1"/>
        </w:rPr>
        <w:t xml:space="preserve"> jinou </w:t>
      </w:r>
      <w:proofErr w:type="gramStart"/>
      <w:r>
        <w:rPr>
          <w:rStyle w:val="Bodytext1"/>
        </w:rPr>
        <w:t>osobou</w:t>
      </w:r>
      <w:proofErr w:type="gramEnd"/>
      <w:r>
        <w:rPr>
          <w:rStyle w:val="Bodytext1"/>
        </w:rPr>
        <w:t xml:space="preserve"> než pracovníkem uvedeným ve smlouvě není považováno za splněni dodávky.</w:t>
      </w:r>
    </w:p>
    <w:p w:rsidR="00CC51B5" w:rsidRDefault="0057028C">
      <w:pPr>
        <w:pStyle w:val="Bodytext10"/>
        <w:numPr>
          <w:ilvl w:val="0"/>
          <w:numId w:val="6"/>
        </w:numPr>
        <w:tabs>
          <w:tab w:val="left" w:pos="222"/>
        </w:tabs>
        <w:spacing w:after="140" w:line="240" w:lineRule="auto"/>
        <w:jc w:val="center"/>
      </w:pPr>
      <w:r>
        <w:rPr>
          <w:rStyle w:val="Bodytext1"/>
        </w:rPr>
        <w:t>Cena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445"/>
        </w:tabs>
        <w:ind w:left="400" w:hanging="260"/>
        <w:jc w:val="both"/>
      </w:pPr>
      <w:r>
        <w:rPr>
          <w:rStyle w:val="Bodytext1"/>
        </w:rPr>
        <w:t>Cena uvedená v nabídce účastníka zadávacího řízeni a ve smlouvě musí obsaho</w:t>
      </w:r>
      <w:r>
        <w:rPr>
          <w:rStyle w:val="Bodytext1"/>
        </w:rPr>
        <w:t>vat všechny výdaje a náklady spojené se splněním dodávky. Nabídková cena musí být uvedena buď přímo ve smlouvě nebo v cenové nabídce, ceníku či specifikaci ceny, který bude tvořit nedílnou součást smlouvy jako její příloha. Nabídková cena (vč. DPH) na zdra</w:t>
      </w:r>
      <w:r>
        <w:rPr>
          <w:rStyle w:val="Bodytext1"/>
        </w:rPr>
        <w:t>votnické prostředky, které jsou zařazeny v aktuálním číselníku ZP vydávaném VZP ČR. nesmí překročit maximální cenu stanovenou tímto Číselníkem.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453"/>
        </w:tabs>
        <w:spacing w:line="336" w:lineRule="auto"/>
        <w:ind w:left="400" w:hanging="260"/>
        <w:jc w:val="both"/>
      </w:pPr>
      <w:r>
        <w:rPr>
          <w:rStyle w:val="Bodytext1"/>
        </w:rPr>
        <w:t>Nabídková cena bez DPH je zásadně pevnou cenou platnou po celou dobu platnosti smlouvy v měně Kč. bez vazby na s</w:t>
      </w:r>
      <w:r>
        <w:rPr>
          <w:rStyle w:val="Bodytext1"/>
        </w:rPr>
        <w:t>távající nebo budoucí kurz jiné měny nebo jiné skutečnosti. Pouze v případě, že je to výslovně připuštěno v zadání zakázky, může být cena stanovena jako nejvýše přípustná, která může být změněna pouze z důvodů a způsobem uvedeným v zadání zakázky.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453"/>
        </w:tabs>
        <w:spacing w:after="140" w:line="360" w:lineRule="auto"/>
        <w:ind w:left="400" w:hanging="260"/>
        <w:jc w:val="both"/>
      </w:pPr>
      <w:r>
        <w:rPr>
          <w:rStyle w:val="Bodytext1"/>
        </w:rPr>
        <w:t xml:space="preserve">Není-li </w:t>
      </w:r>
      <w:r>
        <w:rPr>
          <w:rStyle w:val="Bodytext1"/>
        </w:rPr>
        <w:t>v zadáni zakázky výslovně uvedeno jinak, musí být nabídková cena uvedena v členění jednotková cena (cena jednotlivých dílčích plnění) bez DPH. celková cena bez DPH, DPH (samostatně podle základní a snížené sazby). DPH celkem, celková nabídková cena vč. DPH</w:t>
      </w:r>
      <w:r>
        <w:rPr>
          <w:rStyle w:val="Bodytext1"/>
        </w:rPr>
        <w:t>.</w:t>
      </w:r>
    </w:p>
    <w:p w:rsidR="00CC51B5" w:rsidRDefault="0057028C">
      <w:pPr>
        <w:pStyle w:val="Bodytext10"/>
        <w:numPr>
          <w:ilvl w:val="0"/>
          <w:numId w:val="6"/>
        </w:numPr>
        <w:tabs>
          <w:tab w:val="left" w:pos="226"/>
        </w:tabs>
        <w:spacing w:after="140" w:line="240" w:lineRule="auto"/>
        <w:jc w:val="center"/>
      </w:pPr>
      <w:r>
        <w:rPr>
          <w:rStyle w:val="Bodytext1"/>
        </w:rPr>
        <w:t>Platební podmínky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313"/>
        </w:tabs>
        <w:spacing w:line="360" w:lineRule="auto"/>
        <w:ind w:left="260" w:hanging="260"/>
        <w:jc w:val="both"/>
      </w:pPr>
      <w:r>
        <w:rPr>
          <w:rStyle w:val="Bodytext1"/>
        </w:rPr>
        <w:t>Splatnost faktur je účastník zadávacího řízení povinen výslovně navrhnout v návrhu smlouvy počtem dnů ode dne doručení faktury (daňového dokladu) KNTB. Není-li v zadáni zakázky výslovně uvedeno jinak, musí činit navržená splatnost faktu</w:t>
      </w:r>
      <w:r>
        <w:rPr>
          <w:rStyle w:val="Bodytext1"/>
        </w:rPr>
        <w:t>r minimálně 30 kalendářních dnů od doručeni faktury KNTB. Není-li v případě ostatních zakázek splatnost faktur uvedena ve smlouvě, činí minimálně 30 dnů od doručeni faktury KNTB.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318"/>
        </w:tabs>
        <w:ind w:left="260" w:hanging="260"/>
        <w:jc w:val="both"/>
      </w:pPr>
      <w:r>
        <w:rPr>
          <w:rStyle w:val="Bodytext1"/>
        </w:rPr>
        <w:t xml:space="preserve">V návrhu smlouvy uvede účastník zadávacího </w:t>
      </w:r>
      <w:proofErr w:type="spellStart"/>
      <w:r>
        <w:rPr>
          <w:rStyle w:val="Bodytext1"/>
        </w:rPr>
        <w:t>ňzeni</w:t>
      </w:r>
      <w:proofErr w:type="spellEnd"/>
      <w:r>
        <w:rPr>
          <w:rStyle w:val="Bodytext1"/>
        </w:rPr>
        <w:t>, resp. dodavatel výslovně us</w:t>
      </w:r>
      <w:r>
        <w:rPr>
          <w:rStyle w:val="Bodytext1"/>
        </w:rPr>
        <w:t>tanoveni o úrocích z prodlení. Výslovné uvede, zda navrhuje zákonné či smluvní úroky z prodleni. Pokud navrhne zákonné úroky z prodleni, má se zato, že úroky jsou stanovovány podle občanského zákoníku a platného nařízení vlády. Pokud navrhne smluvní úrok z</w:t>
      </w:r>
      <w:r>
        <w:rPr>
          <w:rStyle w:val="Bodytext1"/>
        </w:rPr>
        <w:t xml:space="preserve"> prodleni, vyjádří číselné jeho výši, a to buď jako denní či jako roční smluvní úrok z prodlení. Smluvní úrok z prodleni může být navržen i ve formě Řepo sazby ČNB případné zvýšené o další procentní body (v celých procentních bodech). Řepo sazbou ČNB podle</w:t>
      </w:r>
      <w:r>
        <w:rPr>
          <w:rStyle w:val="Bodytext1"/>
        </w:rPr>
        <w:t xml:space="preserve"> předchozího ustanovení je míněna dvoutýdenní řepo sazba stanovená ČNB a platná pro první den kalendářního pololetí, v němž došlo k prodlení. Smluvní úrok z prodleni, navržený v jakékoli shora uvedené formě, však nesmí být navržen ve výši přesahující výši </w:t>
      </w:r>
      <w:r>
        <w:rPr>
          <w:rStyle w:val="Bodytext1"/>
        </w:rPr>
        <w:t>zákonného úroku z prodlení, stanovené podle výše citovaných předpisů občanského práva.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313"/>
        </w:tabs>
        <w:spacing w:line="353" w:lineRule="auto"/>
        <w:ind w:left="260" w:hanging="260"/>
        <w:jc w:val="both"/>
      </w:pPr>
      <w:r>
        <w:rPr>
          <w:rStyle w:val="Bodytext1"/>
        </w:rPr>
        <w:t xml:space="preserve">Za prodlení s úhradou faktury </w:t>
      </w:r>
      <w:proofErr w:type="spellStart"/>
      <w:r>
        <w:rPr>
          <w:rStyle w:val="Bodytext1"/>
        </w:rPr>
        <w:t>neni</w:t>
      </w:r>
      <w:proofErr w:type="spellEnd"/>
      <w:r>
        <w:rPr>
          <w:rStyle w:val="Bodytext1"/>
        </w:rPr>
        <w:t xml:space="preserve"> KNTB povinna hradit kromě navrženého úroku z prodlení podle předchozích ustanovení jakoukoliv smluvní pokutu nebo jinou smluvní sankci</w:t>
      </w:r>
      <w:r>
        <w:rPr>
          <w:rStyle w:val="Bodytext1"/>
        </w:rPr>
        <w:t>. Při prodlení s úhradou faktury není dodavatel oprávněn pozastavit další dílčí plnění až do zaplaceni a prodlení nebude považováno za podstatné porušení smlouvy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284"/>
        </w:tabs>
        <w:spacing w:line="343" w:lineRule="auto"/>
        <w:ind w:left="260" w:hanging="260"/>
        <w:jc w:val="both"/>
      </w:pPr>
      <w:r>
        <w:rPr>
          <w:rStyle w:val="Bodytext1"/>
        </w:rPr>
        <w:t xml:space="preserve">Dodavatel je povinen uvádět na každé faktuře (daňovém dokladu) za jednotlivá </w:t>
      </w:r>
      <w:proofErr w:type="spellStart"/>
      <w:r>
        <w:rPr>
          <w:rStyle w:val="Bodytext1"/>
        </w:rPr>
        <w:t>dilči</w:t>
      </w:r>
      <w:proofErr w:type="spellEnd"/>
      <w:r>
        <w:rPr>
          <w:rStyle w:val="Bodytext1"/>
        </w:rPr>
        <w:t xml:space="preserve"> plnění v sa</w:t>
      </w:r>
      <w:r>
        <w:rPr>
          <w:rStyle w:val="Bodytext1"/>
        </w:rPr>
        <w:t>mostatné rubrice v záhlaví faktury údaj: smlouva č. (číslo zakázky) ze dne (datum uzavření smlouvy). V případě, že dodavatel bude dodával KNTB i jiné výrobky, je povinen vystavovat samostatné faktury za předmět plnění podle jednotlivých zakázek (v jedné fa</w:t>
      </w:r>
      <w:r>
        <w:rPr>
          <w:rStyle w:val="Bodytext1"/>
        </w:rPr>
        <w:t>ktuře nesmí být uvedeny dodávky na více zakázek). V případě, že předmětem plněni jsou dodávky investičního i neinvestičního charakteru, je dodavatel povinen vystavoval faktury samostatně pro plnění investičního charakteru a samostatně pro plněni neinvestič</w:t>
      </w:r>
      <w:r>
        <w:rPr>
          <w:rStyle w:val="Bodytext1"/>
        </w:rPr>
        <w:t>ního charakteru.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308"/>
        </w:tabs>
        <w:spacing w:line="353" w:lineRule="auto"/>
        <w:ind w:left="260" w:hanging="260"/>
        <w:jc w:val="both"/>
      </w:pPr>
      <w:r>
        <w:rPr>
          <w:rStyle w:val="Bodytext1"/>
        </w:rPr>
        <w:t xml:space="preserve">Faktury, které nebudou obsahovat některou z náležitosti uvedenou v předchozích ustanoveních nebo s nimi budou v rozporu, je KNTB oprávněna vrátit ve </w:t>
      </w:r>
      <w:proofErr w:type="spellStart"/>
      <w:r>
        <w:rPr>
          <w:rStyle w:val="Bodytext1"/>
        </w:rPr>
        <w:t>lhútě</w:t>
      </w:r>
      <w:proofErr w:type="spellEnd"/>
      <w:r>
        <w:rPr>
          <w:rStyle w:val="Bodytext1"/>
        </w:rPr>
        <w:t xml:space="preserve"> splatnosti dodavateli k doplnění nebo opravě s tím, že </w:t>
      </w:r>
      <w:proofErr w:type="spellStart"/>
      <w:r>
        <w:rPr>
          <w:rStyle w:val="Bodytext1"/>
        </w:rPr>
        <w:t>lhůla</w:t>
      </w:r>
      <w:proofErr w:type="spellEnd"/>
      <w:r>
        <w:rPr>
          <w:rStyle w:val="Bodytext1"/>
        </w:rPr>
        <w:t xml:space="preserve"> splatnosti faktury počn</w:t>
      </w:r>
      <w:r>
        <w:rPr>
          <w:rStyle w:val="Bodytext1"/>
        </w:rPr>
        <w:t>e běžet dnem doručeni opravené faktury zadavateli.</w:t>
      </w:r>
      <w:r>
        <w:br w:type="page"/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313"/>
        </w:tabs>
        <w:spacing w:after="260" w:line="360" w:lineRule="auto"/>
        <w:ind w:left="300" w:hanging="300"/>
        <w:jc w:val="both"/>
      </w:pPr>
      <w:r>
        <w:rPr>
          <w:rStyle w:val="Bodytext1"/>
        </w:rPr>
        <w:lastRenderedPageBreak/>
        <w:t xml:space="preserve">Každý účastník zadávacího řízeni je povinen uvést v návrhu smlouvy ustanoveni odpovídajíc! bodům 7.1. - 7.3., pokud se k </w:t>
      </w:r>
      <w:proofErr w:type="spellStart"/>
      <w:r>
        <w:rPr>
          <w:rStyle w:val="Bodytext1"/>
        </w:rPr>
        <w:t>přislušné</w:t>
      </w:r>
      <w:proofErr w:type="spellEnd"/>
      <w:r>
        <w:rPr>
          <w:rStyle w:val="Bodytext1"/>
        </w:rPr>
        <w:t xml:space="preserve"> zakázce vztahují.</w:t>
      </w:r>
    </w:p>
    <w:p w:rsidR="00CC51B5" w:rsidRDefault="0057028C">
      <w:pPr>
        <w:pStyle w:val="Bodytext10"/>
        <w:numPr>
          <w:ilvl w:val="0"/>
          <w:numId w:val="6"/>
        </w:numPr>
        <w:tabs>
          <w:tab w:val="left" w:pos="217"/>
        </w:tabs>
        <w:spacing w:after="40" w:line="353" w:lineRule="auto"/>
        <w:jc w:val="center"/>
      </w:pPr>
      <w:r>
        <w:rPr>
          <w:rStyle w:val="Bodytext1"/>
        </w:rPr>
        <w:t>Závěrečná ustanoveni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308"/>
        </w:tabs>
        <w:spacing w:after="40" w:line="353" w:lineRule="auto"/>
        <w:ind w:left="300" w:hanging="300"/>
        <w:jc w:val="both"/>
      </w:pPr>
      <w:proofErr w:type="spellStart"/>
      <w:r>
        <w:rPr>
          <w:rStyle w:val="Bodytext1"/>
        </w:rPr>
        <w:t>Vpřipadé</w:t>
      </w:r>
      <w:proofErr w:type="spellEnd"/>
      <w:r>
        <w:rPr>
          <w:rStyle w:val="Bodytext1"/>
        </w:rPr>
        <w:t xml:space="preserve">, že podmínky zadáni </w:t>
      </w:r>
      <w:r>
        <w:rPr>
          <w:rStyle w:val="Bodytext1"/>
        </w:rPr>
        <w:t xml:space="preserve">veřejné zakázky budou obsahovat ustanoveni odlišná od těchto nákupních podmínek ZP, </w:t>
      </w:r>
      <w:proofErr w:type="spellStart"/>
      <w:r>
        <w:rPr>
          <w:rStyle w:val="Bodytext1"/>
        </w:rPr>
        <w:t>maji</w:t>
      </w:r>
      <w:proofErr w:type="spellEnd"/>
      <w:r>
        <w:rPr>
          <w:rStyle w:val="Bodytext1"/>
        </w:rPr>
        <w:t xml:space="preserve"> přednost podmínky zadání zakázky. Pokud se některé ustanoveni nákupních podmínek ZP dostane do rozporu </w:t>
      </w:r>
      <w:proofErr w:type="spellStart"/>
      <w:r>
        <w:rPr>
          <w:rStyle w:val="Bodytext1"/>
        </w:rPr>
        <w:t>skogentním</w:t>
      </w:r>
      <w:proofErr w:type="spellEnd"/>
      <w:r>
        <w:rPr>
          <w:rStyle w:val="Bodytext1"/>
        </w:rPr>
        <w:t xml:space="preserve"> ustanovením obecně závazného právního předpisu, platí</w:t>
      </w:r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přislušné</w:t>
      </w:r>
      <w:proofErr w:type="spellEnd"/>
      <w:r>
        <w:rPr>
          <w:rStyle w:val="Bodytext1"/>
        </w:rPr>
        <w:t xml:space="preserve"> ustanovení právního předpisu s tím, že zbývající ustanoveni nákupních podmínek ZP zůstávají v platnosti.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308"/>
        </w:tabs>
        <w:spacing w:after="40" w:line="353" w:lineRule="auto"/>
        <w:ind w:left="300" w:hanging="300"/>
        <w:jc w:val="both"/>
      </w:pPr>
      <w:r>
        <w:rPr>
          <w:rStyle w:val="Bodytext1"/>
        </w:rPr>
        <w:t xml:space="preserve">Pohledávky vyplývající ze smlouvy lze převést na jinou osobu jen s předchozím písemným souhlasem druhé smluvní strany. V </w:t>
      </w:r>
      <w:proofErr w:type="spellStart"/>
      <w:r>
        <w:rPr>
          <w:rStyle w:val="Bodytext1"/>
        </w:rPr>
        <w:t>připadé</w:t>
      </w:r>
      <w:proofErr w:type="spellEnd"/>
      <w:r>
        <w:rPr>
          <w:rStyle w:val="Bodytext1"/>
        </w:rPr>
        <w:t>, že účastní</w:t>
      </w:r>
      <w:r>
        <w:rPr>
          <w:rStyle w:val="Bodytext1"/>
        </w:rPr>
        <w:t xml:space="preserve">k zadávacího řízení uzavřel před podáním nabídky s jinou osobou smlouvu o postoupeni všech nebo více pohledávek (faktoringovou nebo podobnou smlouvu), která se vztahuje i na pohledávky vyplývající ze smlouvy, je povinen tuto skutečnost uvést v nabídce a v </w:t>
      </w:r>
      <w:r>
        <w:rPr>
          <w:rStyle w:val="Bodytext1"/>
        </w:rPr>
        <w:t>návrhu smlouvy. Neuvede-li tuto skutečnost v nabídce a v návrhu smlouvy, je KNTB oprávněna od smlouvy odstoupil.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303"/>
        </w:tabs>
        <w:spacing w:after="180" w:line="353" w:lineRule="auto"/>
        <w:ind w:left="300" w:hanging="300"/>
        <w:jc w:val="both"/>
      </w:pPr>
      <w:r>
        <w:rPr>
          <w:rStyle w:val="Bodytext1"/>
        </w:rPr>
        <w:t xml:space="preserve">KNTB může písemným oznámením zaslaným dodavateli, </w:t>
      </w:r>
      <w:proofErr w:type="spellStart"/>
      <w:r>
        <w:rPr>
          <w:rStyle w:val="Bodytext1"/>
        </w:rPr>
        <w:t>přip</w:t>
      </w:r>
      <w:proofErr w:type="spellEnd"/>
      <w:r>
        <w:rPr>
          <w:rStyle w:val="Bodytext1"/>
        </w:rPr>
        <w:t>. jeho právnímu nástupci, ukončit platnost smlouvy v případě prodeje podniku nebo jeho čá</w:t>
      </w:r>
      <w:r>
        <w:rPr>
          <w:rStyle w:val="Bodytext1"/>
        </w:rPr>
        <w:t>sti, jehož prostřednictvím byla zakázka realizována Účinnost smlouvy v tomto případě zaniká doručením písemného oznámeni.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284"/>
        </w:tabs>
        <w:spacing w:after="40" w:line="290" w:lineRule="auto"/>
        <w:ind w:left="300" w:hanging="300"/>
        <w:jc w:val="both"/>
      </w:pPr>
      <w:r>
        <w:rPr>
          <w:rStyle w:val="Bodytext1"/>
        </w:rPr>
        <w:t>Pro případ, že se na uzavřenou smlouvu vztahuje povinnost uveřejněni prostřednictvím registru smluv dle zákona č 340/2015 Sb., o zvláš</w:t>
      </w:r>
      <w:r>
        <w:rPr>
          <w:rStyle w:val="Bodytext1"/>
        </w:rPr>
        <w:t>tních podmínkách účinnosti některých smluv, uveřejňování těchto smluv a o registru smluv (zákon o registru smluv), v platném znění, platí, že obě smluvní strany s tímto uveřejněním souhlasí a sjednávají, že správci registru smluv zašle tuto smlouvu k uveře</w:t>
      </w:r>
      <w:r>
        <w:rPr>
          <w:rStyle w:val="Bodytext1"/>
        </w:rPr>
        <w:t>jněni prostřednictvím registru smluv KNTB.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308"/>
        </w:tabs>
        <w:spacing w:after="40"/>
        <w:ind w:left="300" w:hanging="300"/>
        <w:jc w:val="both"/>
      </w:pPr>
      <w:r>
        <w:rPr>
          <w:rStyle w:val="Bodytext1"/>
        </w:rPr>
        <w:t>Pro právní vztahy mezi smluvními stranami, které nejsou výslovné upraveny smlouvou, platí tyto nákupní podmínky ZP a české obecně závazné právní předpisy, zejména příslušná ustanoveni občanského zákoníku, a k proj</w:t>
      </w:r>
      <w:r>
        <w:rPr>
          <w:rStyle w:val="Bodytext1"/>
        </w:rPr>
        <w:t>ednáváni sporů mezi smluvními stranami jsou příslušné české soudy.</w:t>
      </w:r>
    </w:p>
    <w:p w:rsidR="00CC51B5" w:rsidRDefault="0057028C">
      <w:pPr>
        <w:pStyle w:val="Bodytext10"/>
        <w:numPr>
          <w:ilvl w:val="1"/>
          <w:numId w:val="6"/>
        </w:numPr>
        <w:tabs>
          <w:tab w:val="left" w:pos="308"/>
        </w:tabs>
        <w:spacing w:line="353" w:lineRule="auto"/>
        <w:ind w:left="300" w:hanging="300"/>
        <w:jc w:val="both"/>
        <w:sectPr w:rsidR="00CC51B5">
          <w:pgSz w:w="11900" w:h="16840"/>
          <w:pgMar w:top="2410" w:right="2352" w:bottom="3626" w:left="2223" w:header="0" w:footer="3" w:gutter="0"/>
          <w:cols w:space="720"/>
          <w:noEndnote/>
          <w:docGrid w:linePitch="360"/>
        </w:sectPr>
      </w:pPr>
      <w:r>
        <w:rPr>
          <w:rStyle w:val="Bodytext1"/>
        </w:rPr>
        <w:t>Veškerá dokumentace, podklady a přílohy musí být dodavatel předložit v českém jazyce. V připadá, že jsou doklady předloženy ve vícejazyčně verzi, je právně závazná ve</w:t>
      </w:r>
      <w:r>
        <w:rPr>
          <w:rStyle w:val="Bodytext1"/>
        </w:rPr>
        <w:t>rze v českém jazyce.</w:t>
      </w:r>
    </w:p>
    <w:p w:rsidR="00CC51B5" w:rsidRDefault="0057028C">
      <w:pPr>
        <w:pStyle w:val="Bodytext10"/>
        <w:framePr w:w="1032" w:h="158" w:wrap="none" w:vAnchor="text" w:hAnchor="page" w:x="2296" w:y="150"/>
        <w:spacing w:line="240" w:lineRule="auto"/>
      </w:pPr>
      <w:r>
        <w:rPr>
          <w:rStyle w:val="Bodytext1"/>
        </w:rPr>
        <w:t>Ve Zlíně 8. 12. 2022</w:t>
      </w:r>
    </w:p>
    <w:p w:rsidR="00CC51B5" w:rsidRDefault="0057028C">
      <w:pPr>
        <w:pStyle w:val="Bodytext10"/>
        <w:framePr w:w="1291" w:h="336" w:wrap="none" w:vAnchor="text" w:hAnchor="page" w:x="2291" w:y="807"/>
        <w:spacing w:line="276" w:lineRule="auto"/>
      </w:pPr>
      <w:r>
        <w:rPr>
          <w:rStyle w:val="Bodytext1"/>
          <w:lang w:val="en-US" w:eastAsia="en-US" w:bidi="en-US"/>
        </w:rPr>
        <w:t xml:space="preserve">Ing. </w:t>
      </w:r>
      <w:r>
        <w:rPr>
          <w:rStyle w:val="Bodytext1"/>
        </w:rPr>
        <w:t xml:space="preserve">Jan Hrdý předseda </w:t>
      </w:r>
      <w:proofErr w:type="spellStart"/>
      <w:r>
        <w:rPr>
          <w:rStyle w:val="Bodytext1"/>
        </w:rPr>
        <w:t>predstavenstva</w:t>
      </w:r>
      <w:proofErr w:type="spellEnd"/>
    </w:p>
    <w:p w:rsidR="00CC51B5" w:rsidRDefault="0057028C">
      <w:pPr>
        <w:pStyle w:val="Bodytext10"/>
        <w:framePr w:w="1018" w:h="312" w:wrap="none" w:vAnchor="text" w:hAnchor="page" w:x="6511" w:y="803"/>
        <w:spacing w:line="276" w:lineRule="auto"/>
      </w:pPr>
      <w:r>
        <w:rPr>
          <w:rStyle w:val="Bodytext1"/>
        </w:rPr>
        <w:t xml:space="preserve">Ing. Martin </w:t>
      </w:r>
      <w:proofErr w:type="spellStart"/>
      <w:r>
        <w:rPr>
          <w:rStyle w:val="Bodytext1"/>
        </w:rPr>
        <w:t>Deva</w:t>
      </w:r>
      <w:proofErr w:type="spellEnd"/>
      <w:r>
        <w:rPr>
          <w:rStyle w:val="Bodytext1"/>
        </w:rPr>
        <w:t xml:space="preserve"> člen představenstva</w:t>
      </w:r>
    </w:p>
    <w:p w:rsidR="00CC51B5" w:rsidRDefault="00CC51B5">
      <w:pPr>
        <w:spacing w:line="360" w:lineRule="exact"/>
      </w:pPr>
    </w:p>
    <w:p w:rsidR="00CC51B5" w:rsidRDefault="00CC51B5">
      <w:pPr>
        <w:spacing w:line="360" w:lineRule="exact"/>
      </w:pPr>
    </w:p>
    <w:p w:rsidR="00CC51B5" w:rsidRDefault="00CC51B5">
      <w:pPr>
        <w:spacing w:after="556" w:line="1" w:lineRule="exact"/>
      </w:pPr>
    </w:p>
    <w:p w:rsidR="00CC51B5" w:rsidRDefault="00CC51B5">
      <w:pPr>
        <w:spacing w:line="1" w:lineRule="exact"/>
        <w:sectPr w:rsidR="00CC51B5">
          <w:type w:val="continuous"/>
          <w:pgSz w:w="11900" w:h="16840"/>
          <w:pgMar w:top="2394" w:right="1188" w:bottom="4698" w:left="1188" w:header="0" w:footer="3" w:gutter="0"/>
          <w:cols w:space="720"/>
          <w:noEndnote/>
          <w:docGrid w:linePitch="360"/>
        </w:sectPr>
      </w:pPr>
    </w:p>
    <w:p w:rsidR="00CC51B5" w:rsidRDefault="00CC51B5">
      <w:pPr>
        <w:spacing w:before="79" w:after="79" w:line="240" w:lineRule="exact"/>
        <w:rPr>
          <w:sz w:val="19"/>
          <w:szCs w:val="19"/>
        </w:rPr>
      </w:pPr>
    </w:p>
    <w:p w:rsidR="00CC51B5" w:rsidRDefault="00CC51B5">
      <w:pPr>
        <w:spacing w:line="1" w:lineRule="exact"/>
        <w:sectPr w:rsidR="00CC51B5">
          <w:type w:val="continuous"/>
          <w:pgSz w:w="11900" w:h="16840"/>
          <w:pgMar w:top="1472" w:right="0" w:bottom="5260" w:left="0" w:header="0" w:footer="3" w:gutter="0"/>
          <w:cols w:space="720"/>
          <w:noEndnote/>
          <w:docGrid w:linePitch="360"/>
        </w:sectPr>
      </w:pPr>
    </w:p>
    <w:p w:rsidR="00CC51B5" w:rsidRPr="007B2E24" w:rsidRDefault="0057028C">
      <w:pPr>
        <w:pStyle w:val="Bodytext10"/>
        <w:spacing w:after="400" w:line="240" w:lineRule="auto"/>
        <w:ind w:firstLine="1000"/>
        <w:rPr>
          <w:b/>
          <w:sz w:val="22"/>
          <w:szCs w:val="22"/>
        </w:rPr>
      </w:pPr>
      <w:r>
        <w:rPr>
          <w:rStyle w:val="Bodytext1"/>
        </w:rPr>
        <w:t>Níže podepsaná</w:t>
      </w:r>
      <w:r w:rsidR="007B2E24">
        <w:rPr>
          <w:rStyle w:val="Bodytext1"/>
        </w:rPr>
        <w:t xml:space="preserve"> </w:t>
      </w:r>
      <w:r w:rsidR="007B2E24" w:rsidRPr="007B2E24">
        <w:rPr>
          <w:rStyle w:val="Bodytext1"/>
          <w:b/>
          <w:sz w:val="22"/>
          <w:szCs w:val="22"/>
        </w:rPr>
        <w:t>VDI METROS, výrobní družstvo invalidů</w:t>
      </w:r>
    </w:p>
    <w:p w:rsidR="00CC51B5" w:rsidRPr="007B2E24" w:rsidRDefault="0057028C">
      <w:pPr>
        <w:pStyle w:val="Bodytext10"/>
        <w:spacing w:after="200" w:line="240" w:lineRule="auto"/>
        <w:ind w:left="1160"/>
        <w:rPr>
          <w:sz w:val="20"/>
          <w:szCs w:val="20"/>
        </w:rPr>
      </w:pPr>
      <w:r>
        <w:rPr>
          <w:rStyle w:val="Bodytext1"/>
        </w:rPr>
        <w:t>Název a</w:t>
      </w:r>
      <w:r>
        <w:rPr>
          <w:rStyle w:val="Bodytext1"/>
        </w:rPr>
        <w:t xml:space="preserve"> sídlo:</w:t>
      </w:r>
      <w:r w:rsidR="007B2E24">
        <w:rPr>
          <w:rStyle w:val="Bodytext1"/>
        </w:rPr>
        <w:t xml:space="preserve"> </w:t>
      </w:r>
      <w:r w:rsidR="007B2E24" w:rsidRPr="007B2E24">
        <w:rPr>
          <w:rStyle w:val="Bodytext1"/>
          <w:sz w:val="20"/>
          <w:szCs w:val="20"/>
        </w:rPr>
        <w:t xml:space="preserve">U Studia 2654/33, 700 30 </w:t>
      </w:r>
      <w:proofErr w:type="gramStart"/>
      <w:r w:rsidR="007B2E24" w:rsidRPr="007B2E24">
        <w:rPr>
          <w:rStyle w:val="Bodytext1"/>
          <w:sz w:val="20"/>
          <w:szCs w:val="20"/>
        </w:rPr>
        <w:t>Ostrava - Zábřeh</w:t>
      </w:r>
      <w:proofErr w:type="gramEnd"/>
    </w:p>
    <w:p w:rsidR="00CC51B5" w:rsidRPr="007B2E24" w:rsidRDefault="0057028C">
      <w:pPr>
        <w:pStyle w:val="Bodytext10"/>
        <w:spacing w:after="200" w:line="240" w:lineRule="auto"/>
        <w:ind w:left="1160"/>
        <w:rPr>
          <w:sz w:val="20"/>
          <w:szCs w:val="20"/>
        </w:rPr>
      </w:pPr>
      <w:r>
        <w:rPr>
          <w:rStyle w:val="Bodytext1"/>
        </w:rPr>
        <w:t>IČ</w:t>
      </w:r>
      <w:r w:rsidRPr="007B2E24">
        <w:rPr>
          <w:rStyle w:val="Bodytext1"/>
          <w:sz w:val="20"/>
          <w:szCs w:val="20"/>
        </w:rPr>
        <w:t>;</w:t>
      </w:r>
      <w:r w:rsidR="007B2E24" w:rsidRPr="007B2E24">
        <w:rPr>
          <w:rStyle w:val="Bodytext1"/>
          <w:sz w:val="20"/>
          <w:szCs w:val="20"/>
        </w:rPr>
        <w:t>25864611</w:t>
      </w:r>
    </w:p>
    <w:p w:rsidR="00CC51B5" w:rsidRPr="007B2E24" w:rsidRDefault="0057028C">
      <w:pPr>
        <w:pStyle w:val="Bodytext10"/>
        <w:spacing w:after="480" w:line="240" w:lineRule="auto"/>
        <w:ind w:left="1160"/>
        <w:rPr>
          <w:sz w:val="20"/>
          <w:szCs w:val="20"/>
        </w:rPr>
      </w:pPr>
      <w:r>
        <w:rPr>
          <w:rStyle w:val="Bodytext1"/>
        </w:rPr>
        <w:t>zastoupená:</w:t>
      </w:r>
      <w:r w:rsidR="007B2E24">
        <w:rPr>
          <w:rStyle w:val="Bodytext1"/>
        </w:rPr>
        <w:t xml:space="preserve"> </w:t>
      </w:r>
      <w:r w:rsidR="007B2E24" w:rsidRPr="007B2E24">
        <w:rPr>
          <w:rStyle w:val="Bodytext1"/>
          <w:sz w:val="20"/>
          <w:szCs w:val="20"/>
        </w:rPr>
        <w:t xml:space="preserve">Vojtěch </w:t>
      </w:r>
      <w:proofErr w:type="spellStart"/>
      <w:r w:rsidR="007B2E24" w:rsidRPr="007B2E24">
        <w:rPr>
          <w:rStyle w:val="Bodytext1"/>
          <w:sz w:val="20"/>
          <w:szCs w:val="20"/>
        </w:rPr>
        <w:t>Vidlář</w:t>
      </w:r>
      <w:proofErr w:type="spellEnd"/>
      <w:r w:rsidR="007B2E24" w:rsidRPr="007B2E24">
        <w:rPr>
          <w:rStyle w:val="Bodytext1"/>
          <w:sz w:val="20"/>
          <w:szCs w:val="20"/>
        </w:rPr>
        <w:t>, předseda družstva</w:t>
      </w:r>
    </w:p>
    <w:p w:rsidR="00CC51B5" w:rsidRDefault="0057028C">
      <w:pPr>
        <w:pStyle w:val="Bodytext10"/>
        <w:spacing w:after="80" w:line="331" w:lineRule="auto"/>
        <w:jc w:val="center"/>
      </w:pPr>
      <w:r>
        <w:rPr>
          <w:rStyle w:val="Bodytext1"/>
        </w:rPr>
        <w:t>prohlašuje, že</w:t>
      </w:r>
    </w:p>
    <w:p w:rsidR="00CC51B5" w:rsidRDefault="0057028C">
      <w:pPr>
        <w:pStyle w:val="Bodytext10"/>
        <w:spacing w:after="400" w:line="331" w:lineRule="auto"/>
        <w:ind w:left="1000" w:firstLine="20"/>
      </w:pPr>
      <w:r>
        <w:rPr>
          <w:rStyle w:val="Bodytext1"/>
        </w:rPr>
        <w:t xml:space="preserve">se podrobně seznámila s textem nákupních podmínek a souhlasí s tím, že podpisem nákupních podmínek se tyto stávají nedílnou součásti </w:t>
      </w:r>
      <w:proofErr w:type="spellStart"/>
      <w:r>
        <w:rPr>
          <w:rStyle w:val="Bodytext1"/>
        </w:rPr>
        <w:t>přislušné</w:t>
      </w:r>
      <w:proofErr w:type="spellEnd"/>
      <w:r>
        <w:rPr>
          <w:rStyle w:val="Bodytext1"/>
        </w:rPr>
        <w:t xml:space="preserve"> obchodní smlouvy, která bude mezi ní a KNTB po podpisu nákupních podmínek </w:t>
      </w:r>
      <w:r>
        <w:rPr>
          <w:rStyle w:val="Bodytext1"/>
        </w:rPr>
        <w:t>uzavřena.</w:t>
      </w:r>
    </w:p>
    <w:p w:rsidR="00CC51B5" w:rsidRDefault="0057028C">
      <w:pPr>
        <w:pStyle w:val="Bodytext10"/>
        <w:spacing w:after="140" w:line="240" w:lineRule="auto"/>
        <w:ind w:firstLine="1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4109085</wp:posOffset>
                </wp:positionH>
                <wp:positionV relativeFrom="paragraph">
                  <wp:posOffset>12700</wp:posOffset>
                </wp:positionV>
                <wp:extent cx="783590" cy="10985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51B5" w:rsidRDefault="0057028C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Jméno, příjmení, funkce.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left:0;text-align:left;margin-left:323.55pt;margin-top:1pt;width:61.7pt;height:8.6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" filled="f" stroked="f">
                <v:textbox inset="0,0,0,0">
                  <w:txbxContent>
                    <w:p w:rsidR="00CC51B5" w:rsidRDefault="0057028C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Jméno, příjmení, funkce.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Datum podpisu:</w:t>
      </w:r>
    </w:p>
    <w:p w:rsidR="00CC51B5" w:rsidRDefault="0057028C">
      <w:pPr>
        <w:pStyle w:val="Bodytext10"/>
        <w:spacing w:line="240" w:lineRule="auto"/>
        <w:ind w:firstLine="1000"/>
        <w:rPr>
          <w:rStyle w:val="Bodytext1"/>
        </w:rPr>
      </w:pPr>
      <w:r>
        <w:rPr>
          <w:rStyle w:val="Bodytext1"/>
        </w:rPr>
        <w:t>razítko a podpis:</w:t>
      </w:r>
    </w:p>
    <w:p w:rsidR="006038B7" w:rsidRDefault="006038B7">
      <w:pPr>
        <w:pStyle w:val="Bodytext10"/>
        <w:spacing w:line="240" w:lineRule="auto"/>
        <w:ind w:firstLine="1000"/>
      </w:pPr>
    </w:p>
    <w:p w:rsidR="006038B7" w:rsidRDefault="006038B7">
      <w:pPr>
        <w:pStyle w:val="Bodytext10"/>
        <w:spacing w:line="240" w:lineRule="auto"/>
        <w:ind w:firstLine="1000"/>
      </w:pPr>
    </w:p>
    <w:p w:rsidR="006038B7" w:rsidRDefault="006038B7">
      <w:pPr>
        <w:pStyle w:val="Bodytext10"/>
        <w:spacing w:line="240" w:lineRule="auto"/>
        <w:ind w:firstLine="1000"/>
      </w:pPr>
    </w:p>
    <w:p w:rsidR="006038B7" w:rsidRDefault="006038B7">
      <w:pPr>
        <w:pStyle w:val="Bodytext10"/>
        <w:spacing w:line="240" w:lineRule="auto"/>
        <w:ind w:firstLine="1000"/>
      </w:pPr>
    </w:p>
    <w:p w:rsidR="006038B7" w:rsidRDefault="006038B7">
      <w:pPr>
        <w:pStyle w:val="Bodytext10"/>
        <w:spacing w:line="240" w:lineRule="auto"/>
        <w:ind w:firstLine="1000"/>
        <w:sectPr w:rsidR="006038B7">
          <w:type w:val="continuous"/>
          <w:pgSz w:w="11900" w:h="16840"/>
          <w:pgMar w:top="1472" w:right="1096" w:bottom="5260" w:left="1282" w:header="0" w:footer="3" w:gutter="0"/>
          <w:cols w:space="720"/>
          <w:noEndnote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 w:rsidRPr="007B2E24">
        <w:rPr>
          <w:rStyle w:val="Bodytext1"/>
          <w:sz w:val="20"/>
          <w:szCs w:val="20"/>
        </w:rPr>
        <w:t xml:space="preserve">Vojtěch </w:t>
      </w:r>
      <w:proofErr w:type="spellStart"/>
      <w:r w:rsidRPr="007B2E24">
        <w:rPr>
          <w:rStyle w:val="Bodytext1"/>
          <w:sz w:val="20"/>
          <w:szCs w:val="20"/>
        </w:rPr>
        <w:t>Vidlář</w:t>
      </w:r>
      <w:proofErr w:type="spellEnd"/>
      <w:r w:rsidRPr="007B2E24">
        <w:rPr>
          <w:rStyle w:val="Bodytext1"/>
          <w:sz w:val="20"/>
          <w:szCs w:val="20"/>
        </w:rPr>
        <w:t>, předseda družstva</w:t>
      </w:r>
    </w:p>
    <w:p w:rsidR="00CC51B5" w:rsidRDefault="00CC51B5" w:rsidP="007B2E24">
      <w:pPr>
        <w:pStyle w:val="Bodytext40"/>
        <w:ind w:firstLine="440"/>
      </w:pPr>
    </w:p>
    <w:sectPr w:rsidR="00CC51B5">
      <w:headerReference w:type="even" r:id="rId24"/>
      <w:headerReference w:type="default" r:id="rId25"/>
      <w:footerReference w:type="even" r:id="rId26"/>
      <w:footerReference w:type="default" r:id="rId27"/>
      <w:pgSz w:w="11900" w:h="16840"/>
      <w:pgMar w:top="1472" w:right="1096" w:bottom="5260" w:left="1282" w:header="1044" w:footer="48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28C" w:rsidRDefault="0057028C">
      <w:r>
        <w:separator/>
      </w:r>
    </w:p>
  </w:endnote>
  <w:endnote w:type="continuationSeparator" w:id="0">
    <w:p w:rsidR="0057028C" w:rsidRDefault="0057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5" w:rsidRDefault="0057028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5956300</wp:posOffset>
              </wp:positionH>
              <wp:positionV relativeFrom="page">
                <wp:posOffset>8681085</wp:posOffset>
              </wp:positionV>
              <wp:extent cx="91440" cy="12509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51B5" w:rsidRDefault="0057028C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26"/>
                              <w:szCs w:val="26"/>
                            </w:rPr>
                            <w:t>/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0" type="#_x0000_t202" style="position:absolute;margin-left:469pt;margin-top:683.55pt;width:7.2pt;height:9.85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" filled="f" stroked="f">
              <v:textbox style="mso-fit-shape-to-text:t" inset="0,0,0,0">
                <w:txbxContent>
                  <w:p w:rsidR="00CC51B5" w:rsidRDefault="0057028C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26"/>
                        <w:szCs w:val="26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5" w:rsidRDefault="00CC51B5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5" w:rsidRDefault="00CC51B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5" w:rsidRDefault="00CC51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28C" w:rsidRDefault="0057028C"/>
  </w:footnote>
  <w:footnote w:type="continuationSeparator" w:id="0">
    <w:p w:rsidR="0057028C" w:rsidRDefault="005702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5" w:rsidRDefault="0057028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1018540</wp:posOffset>
              </wp:positionH>
              <wp:positionV relativeFrom="page">
                <wp:posOffset>351155</wp:posOffset>
              </wp:positionV>
              <wp:extent cx="956945" cy="2832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51B5" w:rsidRDefault="0057028C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KRAJSKÁ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NEMOCNICE</w:t>
                          </w:r>
                        </w:p>
                        <w:p w:rsidR="00CC51B5" w:rsidRDefault="0057028C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TOMÁŠE BATI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80.2pt;margin-top:27.65pt;width:75.35pt;height:22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" filled="f" stroked="f">
              <v:textbox style="mso-fit-shape-to-text:t" inset="0,0,0,0">
                <w:txbxContent>
                  <w:p w:rsidR="00CC51B5" w:rsidRDefault="0057028C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KRAJSKÁ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NEMOCNICE</w:t>
                    </w:r>
                  </w:p>
                  <w:p w:rsidR="00CC51B5" w:rsidRDefault="0057028C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 TOMÁŠE BATI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5" w:rsidRDefault="00CC51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5" w:rsidRDefault="0057028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1018540</wp:posOffset>
              </wp:positionH>
              <wp:positionV relativeFrom="page">
                <wp:posOffset>351155</wp:posOffset>
              </wp:positionV>
              <wp:extent cx="956945" cy="2832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51B5" w:rsidRDefault="0057028C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KRAJSKÁ</w:t>
                          </w:r>
                        </w:p>
                        <w:p w:rsidR="00CC51B5" w:rsidRDefault="0057028C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NEMOCNICE</w:t>
                          </w:r>
                        </w:p>
                        <w:p w:rsidR="00CC51B5" w:rsidRDefault="0057028C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TOMÁŠE BATI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80.2pt;margin-top:27.65pt;width:75.35pt;height:22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" filled="f" stroked="f">
              <v:textbox style="mso-fit-shape-to-text:t" inset="0,0,0,0">
                <w:txbxContent>
                  <w:p w:rsidR="00CC51B5" w:rsidRDefault="0057028C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KRAJSKÁ</w:t>
                    </w:r>
                  </w:p>
                  <w:p w:rsidR="00CC51B5" w:rsidRDefault="0057028C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NEMOCNICE</w:t>
                    </w:r>
                  </w:p>
                  <w:p w:rsidR="00CC51B5" w:rsidRDefault="0057028C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TOMÁŠE BATI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5" w:rsidRDefault="00CC51B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5" w:rsidRDefault="00CC51B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5" w:rsidRDefault="0057028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1018540</wp:posOffset>
              </wp:positionH>
              <wp:positionV relativeFrom="page">
                <wp:posOffset>351155</wp:posOffset>
              </wp:positionV>
              <wp:extent cx="956945" cy="2832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51B5" w:rsidRDefault="0057028C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KRAJSKÁ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NEMOCNICE</w:t>
                          </w:r>
                        </w:p>
                        <w:p w:rsidR="00CC51B5" w:rsidRDefault="0057028C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TOMÁŠE BATI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80.2pt;margin-top:27.65pt;width:75.35pt;height:22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" filled="f" stroked="f">
              <v:textbox style="mso-fit-shape-to-text:t" inset="0,0,0,0">
                <w:txbxContent>
                  <w:p w:rsidR="00CC51B5" w:rsidRDefault="0057028C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KRAJSKÁ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NEMOCNICE</w:t>
                    </w:r>
                  </w:p>
                  <w:p w:rsidR="00CC51B5" w:rsidRDefault="0057028C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 TOMÁŠE BATI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5" w:rsidRDefault="00CC51B5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5" w:rsidRDefault="00CC51B5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5" w:rsidRDefault="00CC51B5">
    <w:pPr>
      <w:spacing w:line="1" w:lineRule="exac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5" w:rsidRDefault="00CC51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4B07"/>
    <w:multiLevelType w:val="multilevel"/>
    <w:tmpl w:val="FA6248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27D79"/>
    <w:multiLevelType w:val="multilevel"/>
    <w:tmpl w:val="C8D6624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6672E0"/>
    <w:multiLevelType w:val="multilevel"/>
    <w:tmpl w:val="73286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81E9F"/>
    <w:multiLevelType w:val="multilevel"/>
    <w:tmpl w:val="FAD2F4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4E7F41"/>
    <w:multiLevelType w:val="multilevel"/>
    <w:tmpl w:val="5C06D5A8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4652A3"/>
    <w:multiLevelType w:val="multilevel"/>
    <w:tmpl w:val="1438E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D60816"/>
    <w:multiLevelType w:val="multilevel"/>
    <w:tmpl w:val="DB1E89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B5"/>
    <w:rsid w:val="0057028C"/>
    <w:rsid w:val="006038B7"/>
    <w:rsid w:val="007B2E24"/>
    <w:rsid w:val="00C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41E9E"/>
  <w15:docId w15:val="{1F6BF9BD-8A0A-41B4-9081-60EC8501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paragraph" w:customStyle="1" w:styleId="Bodytext50">
    <w:name w:val="Body text|5"/>
    <w:basedOn w:val="Normln"/>
    <w:link w:val="Bodytext5"/>
    <w:pPr>
      <w:spacing w:after="300"/>
    </w:pPr>
    <w:rPr>
      <w:rFonts w:ascii="Arial" w:eastAsia="Arial" w:hAnsi="Arial" w:cs="Arial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6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Tablecaption10">
    <w:name w:val="Table caption|1"/>
    <w:basedOn w:val="Normln"/>
    <w:link w:val="Tablecaption1"/>
    <w:pPr>
      <w:spacing w:line="228" w:lineRule="auto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pPr>
      <w:spacing w:line="348" w:lineRule="auto"/>
    </w:pPr>
    <w:rPr>
      <w:rFonts w:ascii="Arial" w:eastAsia="Arial" w:hAnsi="Arial" w:cs="Arial"/>
      <w:sz w:val="10"/>
      <w:szCs w:val="10"/>
    </w:rPr>
  </w:style>
  <w:style w:type="paragraph" w:customStyle="1" w:styleId="Heading310">
    <w:name w:val="Heading #3|1"/>
    <w:basedOn w:val="Normln"/>
    <w:link w:val="Heading31"/>
    <w:pPr>
      <w:spacing w:line="223" w:lineRule="auto"/>
      <w:ind w:left="1120" w:firstLine="10"/>
      <w:outlineLvl w:val="2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pacing w:line="252" w:lineRule="auto"/>
      <w:ind w:left="1100" w:firstLine="20"/>
    </w:pPr>
    <w:rPr>
      <w:sz w:val="18"/>
      <w:szCs w:val="18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line="305" w:lineRule="auto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Bodytext10">
    <w:name w:val="Body text|1"/>
    <w:basedOn w:val="Normln"/>
    <w:link w:val="Bodytext1"/>
    <w:pPr>
      <w:spacing w:line="348" w:lineRule="auto"/>
    </w:pPr>
    <w:rPr>
      <w:rFonts w:ascii="Arial" w:eastAsia="Arial" w:hAnsi="Arial" w:cs="Arial"/>
      <w:sz w:val="10"/>
      <w:szCs w:val="10"/>
    </w:rPr>
  </w:style>
  <w:style w:type="paragraph" w:customStyle="1" w:styleId="Heading110">
    <w:name w:val="Heading #1|1"/>
    <w:basedOn w:val="Normln"/>
    <w:link w:val="Heading11"/>
    <w:pPr>
      <w:spacing w:after="50"/>
      <w:ind w:left="850"/>
      <w:outlineLvl w:val="0"/>
    </w:pPr>
    <w:rPr>
      <w:rFonts w:ascii="Arial" w:eastAsia="Arial" w:hAnsi="Arial" w:cs="Arial"/>
      <w:b/>
      <w:bCs/>
      <w:sz w:val="28"/>
      <w:szCs w:val="28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pPr>
      <w:spacing w:line="264" w:lineRule="auto"/>
      <w:jc w:val="right"/>
    </w:pPr>
    <w:rPr>
      <w:rFonts w:ascii="Arial" w:eastAsia="Arial" w:hAnsi="Arial" w:cs="Arial"/>
      <w:b/>
      <w:bCs/>
      <w:sz w:val="8"/>
      <w:szCs w:val="8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7B2E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2E24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7B2E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2E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image" Target="media/image4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yperlink" Target="http://www.sgs.com" TargetMode="Externa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dimetros.cz" TargetMode="Externa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1.jpeg"/><Relationship Id="rId22" Type="http://schemas.openxmlformats.org/officeDocument/2006/relationships/footer" Target="footer1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4495</Words>
  <Characters>26526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2024-03-21T07:07:00Z</dcterms:created>
  <dcterms:modified xsi:type="dcterms:W3CDTF">2024-03-21T07:07:00Z</dcterms:modified>
</cp:coreProperties>
</file>