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  <w:rPr>
          <w:sz w:val="80"/>
          <w:szCs w:val="80"/>
        </w:rPr>
      </w:pPr>
      <w:bookmarkStart w:id="2" w:name="bookmark2"/>
      <w:r>
        <w:rPr>
          <w:rStyle w:val="CharStyle15"/>
        </w:rPr>
        <w:t xml:space="preserve">iinnu </w:t>
      </w:r>
      <w:r>
        <w:rPr>
          <w:rStyle w:val="CharStyle15"/>
          <w:rFonts w:ascii="Arial" w:eastAsia="Arial" w:hAnsi="Arial" w:cs="Arial"/>
          <w:smallCaps/>
          <w:sz w:val="80"/>
          <w:szCs w:val="80"/>
        </w:rPr>
        <w:t>lihu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1180" w:firstLine="0"/>
        <w:jc w:val="right"/>
      </w:pPr>
      <w:r>
        <w:rPr>
          <w:rStyle w:val="CharStyle5"/>
        </w:rPr>
        <w:t>2024002140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4" w:name="bookmark4"/>
      <w:r>
        <w:rPr>
          <w:rStyle w:val="CharStyle22"/>
          <w:b/>
          <w:bCs/>
        </w:rPr>
        <w:t>RÁMCOVÁ KUPNÍ SMLOUVA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69" w:lineRule="auto"/>
        <w:ind w:left="2040" w:right="0" w:hanging="1300"/>
        <w:jc w:val="left"/>
      </w:pPr>
      <w:r>
        <w:rPr>
          <w:rStyle w:val="CharStyle3"/>
        </w:rPr>
        <w:t>uzavřená v souladu s ustanovením § 2079 a nás!, zákona č. 89/2012 Sb., občanský zákoník, mezi níže uvedenými smluvními stranami</w:t>
      </w:r>
    </w:p>
    <w:tbl>
      <w:tblPr>
        <w:tblOverlap w:val="never"/>
        <w:jc w:val="center"/>
        <w:tblLayout w:type="fixed"/>
      </w:tblPr>
      <w:tblGrid>
        <w:gridCol w:w="2664"/>
        <w:gridCol w:w="6211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8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Sídlo: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Kamenice 798/1 d, 625 00 Brno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MUDr. Hana Albrechtová, ředitelka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  <w:spacing w:val="1"/>
                <w:shd w:val="clear" w:color="auto" w:fill="000000"/>
              </w:rPr>
              <w:t>..</w:t>
            </w:r>
            <w:r>
              <w:rPr>
                <w:rStyle w:val="CharStyle28"/>
                <w:spacing w:val="2"/>
                <w:shd w:val="clear" w:color="auto" w:fill="000000"/>
              </w:rPr>
              <w:t>....</w:t>
            </w:r>
            <w:r>
              <w:rPr>
                <w:rStyle w:val="CharStyle28"/>
                <w:shd w:val="clear" w:color="auto" w:fill="000000"/>
              </w:rPr>
              <w:t>​</w:t>
            </w:r>
            <w:r>
              <w:rPr>
                <w:rStyle w:val="CharStyle28"/>
                <w:spacing w:val="5"/>
                <w:shd w:val="clear" w:color="auto" w:fill="000000"/>
              </w:rPr>
              <w:t>......</w:t>
            </w:r>
            <w:r>
              <w:rPr>
                <w:rStyle w:val="CharStyle28"/>
                <w:spacing w:val="6"/>
                <w:shd w:val="clear" w:color="auto" w:fill="000000"/>
              </w:rPr>
              <w:t>..</w:t>
            </w:r>
            <w:r>
              <w:rPr>
                <w:rStyle w:val="CharStyle28"/>
                <w:shd w:val="clear" w:color="auto" w:fill="000000"/>
              </w:rPr>
              <w:t>​.</w:t>
            </w:r>
            <w:r>
              <w:rPr>
                <w:rStyle w:val="CharStyle28"/>
                <w:spacing w:val="1"/>
                <w:shd w:val="clear" w:color="auto" w:fill="000000"/>
              </w:rPr>
              <w:t>....................</w:t>
            </w:r>
            <w:r>
              <w:rPr>
                <w:rStyle w:val="CharStyle28"/>
                <w:shd w:val="clear" w:color="auto" w:fill="000000"/>
                <w:lang w:val="en-US" w:eastAsia="en-US" w:bidi="en-US"/>
              </w:rPr>
              <w:t>​................................</w:t>
            </w:r>
            <w:r>
              <w:rPr>
                <w:rStyle w:val="CharStyle28"/>
                <w:spacing w:val="1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CharStyle28"/>
                <w:spacing w:val="7"/>
                <w:shd w:val="clear" w:color="auto" w:fill="000000"/>
              </w:rPr>
              <w:t>......</w:t>
            </w:r>
            <w:r>
              <w:rPr>
                <w:rStyle w:val="CharStyle28"/>
                <w:shd w:val="clear" w:color="auto" w:fill="000000"/>
              </w:rPr>
              <w:t>​....</w:t>
            </w:r>
            <w:r>
              <w:rPr>
                <w:rStyle w:val="CharStyle28"/>
                <w:spacing w:val="1"/>
                <w:shd w:val="clear" w:color="auto" w:fill="000000"/>
              </w:rPr>
              <w:t>.....</w:t>
            </w:r>
            <w:r>
              <w:rPr>
                <w:rStyle w:val="CharStyle28"/>
                <w:shd w:val="clear" w:color="auto" w:fill="000000"/>
              </w:rPr>
              <w:t>​.......​</w:t>
            </w:r>
            <w:r>
              <w:rPr>
                <w:rStyle w:val="CharStyle28"/>
                <w:spacing w:val="6"/>
                <w:shd w:val="clear" w:color="auto" w:fill="000000"/>
              </w:rPr>
              <w:t>...</w:t>
            </w:r>
            <w:r>
              <w:rPr>
                <w:rStyle w:val="CharStyle28"/>
                <w:spacing w:val="7"/>
                <w:shd w:val="clear" w:color="auto" w:fill="000000"/>
              </w:rPr>
              <w:t>...</w:t>
            </w:r>
            <w:r>
              <w:rPr>
                <w:rStyle w:val="CharStyle28"/>
                <w:shd w:val="clear" w:color="auto" w:fill="000000"/>
              </w:rPr>
              <w:t>​......</w:t>
            </w:r>
          </w:p>
        </w:tc>
      </w:tr>
      <w:tr>
        <w:trPr>
          <w:trHeight w:val="7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IČO: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DIČ: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00346292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CZ00346292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Krajský soud v Brně sp. zn. Pr 1245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MONETA Money Bank, a.s., č. ú. 117203514/0600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24"/>
        </w:rPr>
        <w:t xml:space="preserve">(dále jen </w:t>
      </w:r>
      <w:r>
        <w:rPr>
          <w:rStyle w:val="CharStyle24"/>
          <w:b/>
          <w:bCs/>
          <w:i/>
          <w:iCs/>
          <w:sz w:val="19"/>
          <w:szCs w:val="19"/>
        </w:rPr>
        <w:t>„kupující"</w:t>
      </w:r>
    </w:p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64"/>
        <w:gridCol w:w="6206"/>
      </w:tblGrid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a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  <w:b/>
                <w:bCs/>
              </w:rPr>
              <w:t>Medsol s.r.o.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Lužná 591/4, 160 00 Praha 6 - Vokovice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Mgr. Michal Baroš, MBA, jednatel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  <w:shd w:val="clear" w:color="auto" w:fill="000000"/>
              </w:rPr>
              <w:t>.......​</w:t>
            </w:r>
            <w:r>
              <w:rPr>
                <w:rStyle w:val="CharStyle28"/>
                <w:spacing w:val="7"/>
                <w:shd w:val="clear" w:color="auto" w:fill="000000"/>
              </w:rPr>
              <w:t>......</w:t>
            </w:r>
            <w:r>
              <w:rPr>
                <w:rStyle w:val="CharStyle28"/>
                <w:shd w:val="clear" w:color="auto" w:fill="000000"/>
              </w:rPr>
              <w:t>​</w:t>
            </w:r>
            <w:r>
              <w:rPr>
                <w:rStyle w:val="CharStyle28"/>
                <w:spacing w:val="3"/>
                <w:shd w:val="clear" w:color="auto" w:fill="000000"/>
              </w:rPr>
              <w:t>............</w:t>
            </w:r>
            <w:r>
              <w:rPr>
                <w:rStyle w:val="CharStyle28"/>
                <w:spacing w:val="4"/>
                <w:shd w:val="clear" w:color="auto" w:fill="000000"/>
              </w:rPr>
              <w:t>.</w:t>
            </w:r>
            <w:r>
              <w:rPr>
                <w:rStyle w:val="CharStyle28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8"/>
                <w:spacing w:val="1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rStyle w:val="CharStyle28"/>
                <w:spacing w:val="2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28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8"/>
                <w:shd w:val="clear" w:color="auto" w:fill="000000"/>
              </w:rPr>
              <w:t>​</w:t>
            </w:r>
            <w:r>
              <w:rPr>
                <w:rStyle w:val="CharStyle28"/>
                <w:spacing w:val="8"/>
                <w:shd w:val="clear" w:color="auto" w:fill="000000"/>
              </w:rPr>
              <w:t>...</w:t>
            </w:r>
            <w:r>
              <w:rPr>
                <w:rStyle w:val="CharStyle28"/>
                <w:spacing w:val="9"/>
                <w:shd w:val="clear" w:color="auto" w:fill="000000"/>
              </w:rPr>
              <w:t>..</w:t>
            </w:r>
            <w:r>
              <w:rPr>
                <w:rStyle w:val="CharStyle28"/>
                <w:shd w:val="clear" w:color="auto" w:fill="000000"/>
              </w:rPr>
              <w:t>​....</w:t>
            </w:r>
            <w:r>
              <w:rPr>
                <w:rStyle w:val="CharStyle28"/>
                <w:spacing w:val="1"/>
                <w:shd w:val="clear" w:color="auto" w:fill="000000"/>
              </w:rPr>
              <w:t>.....</w:t>
            </w:r>
            <w:r>
              <w:rPr>
                <w:rStyle w:val="CharStyle28"/>
                <w:shd w:val="clear" w:color="auto" w:fill="000000"/>
              </w:rPr>
              <w:t>​.......​.......​......</w:t>
            </w:r>
          </w:p>
        </w:tc>
      </w:tr>
      <w:tr>
        <w:trPr>
          <w:trHeight w:val="10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IČO: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DIČ: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242 01 596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CZ24201596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zapsán v obchodním rejstříku vedeném Městským soudem v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Praze, oddíl C, vložka 188143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ČSOB, a.s., č.ú. 260001288/ 0300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24"/>
        </w:rPr>
        <w:t xml:space="preserve">(dále jen </w:t>
      </w:r>
      <w:r>
        <w:rPr>
          <w:rStyle w:val="CharStyle24"/>
          <w:b/>
          <w:bCs/>
          <w:i/>
          <w:iCs/>
          <w:sz w:val="19"/>
          <w:szCs w:val="19"/>
        </w:rPr>
        <w:t>„prodávající )</w:t>
      </w:r>
    </w:p>
    <w:p>
      <w:pPr>
        <w:widowControl w:val="0"/>
        <w:spacing w:after="7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80" w:line="240" w:lineRule="auto"/>
        <w:ind w:left="380" w:right="0" w:hanging="380"/>
        <w:jc w:val="both"/>
      </w:pPr>
      <w:r>
        <w:rPr>
          <w:rStyle w:val="CharStyle3"/>
        </w:rPr>
        <w:t xml:space="preserve">Prodávající je oprávněn na základě svého vlastnického práva nakládat s tímto zbožím: </w:t>
      </w:r>
      <w:r>
        <w:rPr>
          <w:rStyle w:val="CharStyle3"/>
          <w:b/>
          <w:bCs/>
        </w:rPr>
        <w:t xml:space="preserve">defibrilační elektrody </w:t>
      </w:r>
      <w:r>
        <w:rPr>
          <w:rStyle w:val="CharStyle3"/>
        </w:rPr>
        <w:t>pro defibrilátory LIFEPAK. Bližší specifikace zboží je uvedena v příloze č. 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80"/>
        <w:ind w:left="380" w:right="0" w:hanging="380"/>
        <w:jc w:val="both"/>
      </w:pPr>
      <w:r>
        <w:rPr>
          <w:rStyle w:val="CharStyle3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80"/>
        <w:ind w:left="380" w:right="0" w:hanging="380"/>
        <w:jc w:val="both"/>
      </w:pPr>
      <w:r>
        <w:rPr>
          <w:rStyle w:val="CharStyle3"/>
        </w:rPr>
        <w:t>Součástí dodávky zboží podle čl. 1 a čl. 2 této smlouvy je vždy předání veškerých písemných dokladů, které jsou potřebné k používání tohoto zboží. Dodané zboží musí splňovat požadavky na jakost, neporušenost balení a řádné označení dle platných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 xml:space="preserve">Prodávající se zavazuje plnit svůj závazek k dodání zboží podle čl. 1 této smlouvy vždy nejpozději do </w:t>
      </w:r>
      <w:r>
        <w:rPr>
          <w:rStyle w:val="CharStyle3"/>
          <w:b/>
          <w:bCs/>
        </w:rPr>
        <w:t xml:space="preserve">5-ti pracovních dní </w:t>
      </w:r>
      <w:r>
        <w:rPr>
          <w:rStyle w:val="CharStyle3"/>
        </w:rPr>
        <w:t>ode dne uzavření příslušné dílčí kupní smlouvy. Tento závazek se bude považovat za splněný po předání a převzetí příslušného zboží. Místem dodání je centrální sklad v sídle kupujícího, Kamenice 798/1 d, Brno, 625 00.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76" w:lineRule="auto"/>
        <w:ind w:left="420" w:right="0" w:hanging="420"/>
        <w:jc w:val="both"/>
      </w:pPr>
      <w:r>
        <w:rPr>
          <w:rStyle w:val="CharStyle3"/>
        </w:rPr>
        <w:t>Kupující se zavazuje převzít objednané zboží podle čl. 1 této smlouvy, prosté všech zjevných vad, ve lhůtě a místě podle této smlouvy. Kupující je oprávněn odmítnout převzetí zboží, bude-lí se na něm vyskytovat jakákoliv vada.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Nebezpečí škody na převáděném zboží podle čl. 1 této smlouvy a vlastnické právo k tomuto zboží přechází z prodávajícího na kupujícího resp. jeho zřizovatele dnem faktického převzetí tohoto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Kupující se zavazuje zaplatit prodávajícímu za předmět koupě a prodeje podle čl. 1 této smlouvy kupní cenu ve výši součinu počtu odebraných jednotek příslušného zboží a jednotkových cen tohoto zboží. Jednotkové ceny zboží jsou uvedeny v ceníku, který je jako příloha č. 1 nedílnou součástí této smlouvy. Součástí těchto cen jsou veškeré náklady prodávajícího na splnění jeho závazku k dodání zboží podle této smlouvy. Výše uvedené ceny se prodávající zavazuje garantovat po dobu podle čl. 20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</w:t>
      </w:r>
      <w:r>
        <w:rPr>
          <w:rStyle w:val="CharStyle3"/>
          <w:shd w:val="clear" w:color="auto" w:fill="000000"/>
        </w:rPr>
        <w:t>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CharStyle3"/>
          <w:shd w:val="clear" w:color="auto" w:fill="000000"/>
          <w:lang w:val="en-US" w:eastAsia="en-US" w:bidi="en-US"/>
        </w:rPr>
        <w:t>..</w:t>
      </w:r>
      <w:r>
        <w:rPr>
          <w:rStyle w:val="CharStyle3"/>
          <w:b/>
          <w:bCs/>
        </w:rPr>
        <w:t xml:space="preserve">Na </w:t>
      </w:r>
      <w:r>
        <w:rPr>
          <w:rStyle w:val="CharStyle3"/>
        </w:rPr>
        <w:t xml:space="preserve">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P24V00000372. </w:t>
      </w:r>
      <w:r>
        <w:rPr>
          <w:rStyle w:val="CharStyle3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S převodem zboží je podle čl. 1 této smlouvy spojena záruka za jeho jakost v trvání 24 měsíců ode dne předání příslušného zboží. V rámci záruky se prodávající zavazuje, že zboží podle čl. 1 této smlouvy bude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3 pracovních dnů od doručení příslušné písemné nebo e- 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Pro případ prodlení se splněním závazku prodávajícího k dodání zboží ve lhůtě podle čl. 4 této smlouvy se prodávající zavazuje platit kupujícímu smluvní pokutu ve výši 0,1 % z kupní ceny nedodaného zboží podle čl. 7 této smlouvy za každý započatý den tohoto prodlení. Pro případ prodlení s odstraněním vady ve lhůtě podle čl. 9 této smlouvy se prodávající zavazuje platit kupujícímu smluvní pokutu ve výši 500,- Kč za každý započatý den prodlení s odstraněním vady. Obě strany se 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88" w:lineRule="auto"/>
        <w:ind w:left="440" w:right="0" w:hanging="440"/>
        <w:jc w:val="both"/>
      </w:pPr>
      <w:r>
        <w:rPr>
          <w:rStyle w:val="CharStyle3"/>
        </w:rPr>
        <w:t>Pro případ prodlení se splněním jeho závazku k dodání zboží ve lhůtě podle či. 4 této smlouvy o více, než 1 týden nebo pro případ výskytu neodstranitelné vady resp. výskytu 3 a více vad na jednom kusu zboží, a to i postupně, je kupující oprávněn odstoupit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86" w:lineRule="auto"/>
        <w:ind w:left="440" w:right="0" w:hanging="440"/>
        <w:jc w:val="both"/>
      </w:pPr>
      <w:r>
        <w:rPr>
          <w:rStyle w:val="CharStyle3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/>
        <w:ind w:left="440" w:right="0" w:hanging="44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/>
        <w:ind w:left="440" w:right="0" w:hanging="44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odchylkou, ve smyslu §, 174Q odst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86" w:lineRule="auto"/>
        <w:ind w:left="440" w:right="0" w:hanging="440"/>
        <w:jc w:val="both"/>
      </w:pPr>
      <w:r>
        <w:rPr>
          <w:rStyle w:val="CharStyle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60" w:line="276" w:lineRule="auto"/>
        <w:ind w:left="440" w:right="0" w:hanging="440"/>
        <w:jc w:val="both"/>
      </w:pPr>
      <w:r>
        <w:rPr>
          <w:rStyle w:val="CharStyle3"/>
        </w:rPr>
        <w:t>Tuto smlouvu lze změnit nebo zrušit pouze jinou písemnou dohodou obou smluvních stran. Dále jsou smluvní strany oprávněny vypovědět smluvní vztah s 3-měsíčni výpovědní dobou, která začíná běžet prvním dnem následujícího měsíce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86" w:lineRule="auto"/>
        <w:ind w:left="440" w:right="0" w:hanging="440"/>
        <w:jc w:val="both"/>
      </w:pPr>
      <w:r>
        <w:rPr>
          <w:rStyle w:val="CharStyle3"/>
        </w:rPr>
        <w:t>Tato smlouva nabývá účinnosti po jejím podpisu oběma smluvními stranami dnem jejího uveřejnění v Registru smluv, nejdříve však 8. 4. 2024.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86" w:lineRule="auto"/>
        <w:ind w:left="0" w:right="0" w:firstLine="0"/>
        <w:jc w:val="left"/>
      </w:pPr>
      <w:r>
        <w:rPr>
          <w:rStyle w:val="CharStyle3"/>
        </w:rPr>
        <w:t xml:space="preserve">Tato smlouva se uzavírá na dobu určitou, a to do </w:t>
      </w:r>
      <w:r>
        <w:rPr>
          <w:rStyle w:val="CharStyle3"/>
          <w:b/>
          <w:bCs/>
        </w:rPr>
        <w:t>31.12. 2025.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0" w:line="290" w:lineRule="auto"/>
        <w:ind w:left="440" w:right="0" w:hanging="44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03200" distB="0" distL="0" distR="0" simplePos="0" relativeHeight="125829378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203200</wp:posOffset>
                </wp:positionV>
                <wp:extent cx="1728470" cy="14922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67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7.650000000000006pt;margin-top:16.pt;width:136.09999999999999pt;height:11.75pt;z-index:-125829375;mso-wrap-distance-left:0;mso-wrap-distance-top:1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67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3200" distB="0" distL="0" distR="0" simplePos="0" relativeHeight="125829380" behindDoc="0" locked="0" layoutInCell="1" allowOverlap="1">
                <wp:simplePos x="0" y="0"/>
                <wp:positionH relativeFrom="page">
                  <wp:posOffset>4195445</wp:posOffset>
                </wp:positionH>
                <wp:positionV relativeFrom="paragraph">
                  <wp:posOffset>203200</wp:posOffset>
                </wp:positionV>
                <wp:extent cx="1304290" cy="14922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429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Praze dne 12.3.2024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0.35000000000002pt;margin-top:16.pt;width:102.7pt;height:11.75pt;z-index:-125829373;mso-wrap-distance-left:0;mso-wrap-distance-top:1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Praze dne 12.3.2024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28600" distB="8890" distL="0" distR="0" simplePos="0" relativeHeight="125829382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228600</wp:posOffset>
                </wp:positionV>
                <wp:extent cx="1953895" cy="4787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53895" cy="478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Ml IDr U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vertAlign w:val="subscript"/>
                              </w:rPr>
                              <w:t>an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 xml:space="preserve">^. </w:t>
                            </w:r>
                            <w:r>
                              <w:rPr>
                                <w:rStyle w:val="CharStyle5"/>
                                <w:sz w:val="14"/>
                                <w:szCs w:val="14"/>
                              </w:rPr>
                              <w:t>Digitálně podepsa!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199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 xml:space="preserve">IV1UL&gt;I. nai I a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vertAlign w:val="subscript"/>
                              </w:rPr>
                              <w:t>MUDr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Style w:val="CharStyle5"/>
                                <w:sz w:val="14"/>
                                <w:szCs w:val="14"/>
                              </w:rPr>
                              <w:t>Hana Albrechtová</w:t>
                            </w:r>
                          </w:p>
                          <w:p>
                            <w:pPr>
                              <w:pStyle w:val="Style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8"/>
                              </w:rPr>
                              <w:t>Albrechtova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7.400000000000006pt;margin-top:18.pt;width:153.84999999999999pt;height:37.700000000000003pt;z-index:-125829371;mso-wrap-distance-left:0;mso-wrap-distance-top:18.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Ml IDr U</w:t>
                      </w:r>
                      <w:r>
                        <w:rPr>
                          <w:rStyle w:val="CharStyle5"/>
                          <w:b/>
                          <w:bCs/>
                          <w:vertAlign w:val="subscript"/>
                        </w:rPr>
                        <w:t>an</w:t>
                      </w:r>
                      <w:r>
                        <w:rPr>
                          <w:rStyle w:val="CharStyle5"/>
                          <w:b/>
                          <w:bCs/>
                        </w:rPr>
                        <w:t xml:space="preserve">^. </w:t>
                      </w:r>
                      <w:r>
                        <w:rPr>
                          <w:rStyle w:val="CharStyle5"/>
                          <w:sz w:val="14"/>
                          <w:szCs w:val="14"/>
                        </w:rPr>
                        <w:t>Digitálně podepsa!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199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5"/>
                          <w:b/>
                          <w:bCs/>
                        </w:rPr>
                        <w:t xml:space="preserve">IV1UL&gt;I. nai I a </w:t>
                      </w:r>
                      <w:r>
                        <w:rPr>
                          <w:rStyle w:val="CharStyle5"/>
                          <w:b/>
                          <w:bCs/>
                          <w:vertAlign w:val="subscript"/>
                        </w:rPr>
                        <w:t>MUDr</w:t>
                      </w:r>
                      <w:r>
                        <w:rPr>
                          <w:rStyle w:val="CharStyle5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Style w:val="CharStyle5"/>
                          <w:sz w:val="14"/>
                          <w:szCs w:val="14"/>
                        </w:rPr>
                        <w:t>Hana Albrechtová</w:t>
                      </w:r>
                    </w:p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8"/>
                        </w:rPr>
                        <w:t>Albrechtova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02590" distB="51435" distL="0" distR="0" simplePos="0" relativeHeight="125829384" behindDoc="0" locked="0" layoutInCell="1" allowOverlap="1">
                <wp:simplePos x="0" y="0"/>
                <wp:positionH relativeFrom="page">
                  <wp:posOffset>4217035</wp:posOffset>
                </wp:positionH>
                <wp:positionV relativeFrom="paragraph">
                  <wp:posOffset>402590</wp:posOffset>
                </wp:positionV>
                <wp:extent cx="1627505" cy="26225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262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0"/>
                                <w:b/>
                                <w:bCs/>
                              </w:rPr>
                              <w:t>Digitální podepsal MICHAL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Style w:val="CharStyle3"/>
                                <w:sz w:val="18"/>
                                <w:szCs w:val="18"/>
                              </w:rPr>
                              <w:t>MICHAL BAROŠ^S^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z w:val="8"/>
                                <w:szCs w:val="8"/>
                              </w:rPr>
                              <w:t>.141323&gt;41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2.05000000000001pt;margin-top:31.699999999999999pt;width:128.15000000000001pt;height:20.650000000000002pt;z-index:-125829369;mso-wrap-distance-left:0;mso-wrap-distance-top:31.699999999999999pt;mso-wrap-distance-right:0;mso-wrap-distance-bottom:4.0499999999999998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Digitální podepsal MICHAL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Style w:val="CharStyle3"/>
                          <w:sz w:val="18"/>
                          <w:szCs w:val="18"/>
                        </w:rPr>
                        <w:t>MICHAL BAROŠ^S^</w:t>
                      </w:r>
                      <w:r>
                        <w:rPr>
                          <w:rStyle w:val="CharStyle3"/>
                          <w:b/>
                          <w:bCs/>
                          <w:sz w:val="8"/>
                          <w:szCs w:val="8"/>
                        </w:rPr>
                        <w:t>.141323&gt;41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24840" distB="0" distL="0" distR="0" simplePos="0" relativeHeight="125829386" behindDoc="0" locked="0" layoutInCell="1" allowOverlap="1">
                <wp:simplePos x="0" y="0"/>
                <wp:positionH relativeFrom="page">
                  <wp:posOffset>5097780</wp:posOffset>
                </wp:positionH>
                <wp:positionV relativeFrom="paragraph">
                  <wp:posOffset>624840</wp:posOffset>
                </wp:positionV>
                <wp:extent cx="222250" cy="9144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250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  <w:b/>
                                <w:bCs/>
                              </w:rPr>
                              <w:t>+01'00'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1.40000000000003pt;margin-top:49.200000000000003pt;width:17.5pt;height:7.2000000000000002pt;z-index:-125829367;mso-wrap-distance-left:0;mso-wrap-distance-top:49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0" w:right="973" w:bottom="2029" w:left="1505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27000" distB="0" distL="0" distR="0" simplePos="0" relativeHeight="125829388" behindDoc="0" locked="0" layoutInCell="1" allowOverlap="1">
                <wp:simplePos x="0" y="0"/>
                <wp:positionH relativeFrom="page">
                  <wp:posOffset>979805</wp:posOffset>
                </wp:positionH>
                <wp:positionV relativeFrom="paragraph">
                  <wp:posOffset>127000</wp:posOffset>
                </wp:positionV>
                <wp:extent cx="1408430" cy="50609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843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7.150000000000006pt;margin-top:10.pt;width:110.90000000000001pt;height:39.850000000000001pt;z-index:-125829365;mso-wrap-distance-left:0;mso-wrap-distance-top:10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000" distB="6350" distL="0" distR="0" simplePos="0" relativeHeight="125829390" behindDoc="0" locked="0" layoutInCell="1" allowOverlap="1">
                <wp:simplePos x="0" y="0"/>
                <wp:positionH relativeFrom="page">
                  <wp:posOffset>4183380</wp:posOffset>
                </wp:positionH>
                <wp:positionV relativeFrom="paragraph">
                  <wp:posOffset>127000</wp:posOffset>
                </wp:positionV>
                <wp:extent cx="1383665" cy="49974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499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Mgr. Michal Baroš, MBA 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29.40000000000003pt;margin-top:10.pt;width:108.95pt;height:39.350000000000001pt;z-index:-125829363;mso-wrap-distance-left:0;mso-wrap-distance-top:10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Mgr. Michal Baroš, MBA 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57" w:right="0" w:bottom="125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57" w:right="1447" w:bottom="1257" w:left="1544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 xml:space="preserve">Příloha č. 1 </w:t>
      </w:r>
      <w:r>
        <w:rPr>
          <w:rStyle w:val="CharStyle3"/>
        </w:rPr>
        <w:t>Specifikace, ceník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rStyle w:val="CharStyle3"/>
        </w:rPr>
        <w:t>Příloha č. 1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r>
        <w:rPr>
          <w:rStyle w:val="CharStyle22"/>
          <w:b/>
          <w:bCs/>
          <w:u w:val="none"/>
        </w:rPr>
        <w:t>SPECIFIKACE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Style w:val="CharStyle3"/>
          <w:b/>
          <w:bCs/>
        </w:rPr>
        <w:t>Model, typové/výrobní označení: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200" w:line="252" w:lineRule="auto"/>
        <w:ind w:left="0" w:right="0" w:firstLine="0"/>
        <w:jc w:val="left"/>
      </w:pPr>
      <w:r>
        <w:rPr>
          <w:rStyle w:val="CharStyle3"/>
          <w:i/>
          <w:iCs/>
        </w:rPr>
        <w:t>pro dospělé - ELEKTRODY EDGE SYSTÉM S KONEKTOREM QUIK-COMBO®, REDI-PAK (kód VZPpro vykazování ZUM 0094711)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1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rStyle w:val="CharStyle3"/>
          <w:i/>
          <w:iCs/>
        </w:rPr>
        <w:t>pro děti - ELEKTRODY EDGE SYSTÉM S KONEKTOREM QUIK-COMBO®, dětské, RADIOTRANSPARENTNÍ (kód VZP pro vykazování ZUM 0094713)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4"/>
          <w:b/>
          <w:bCs/>
        </w:rPr>
        <w:t xml:space="preserve">Výrobce: </w:t>
      </w:r>
      <w:r>
        <w:rPr>
          <w:rStyle w:val="CharStyle24"/>
          <w:i/>
          <w:iCs/>
        </w:rPr>
        <w:t>Physio-Control, lne. viz Prohlášení o shodě</w:t>
      </w:r>
    </w:p>
    <w:tbl>
      <w:tblPr>
        <w:tblOverlap w:val="never"/>
        <w:jc w:val="center"/>
        <w:tblLayout w:type="fixed"/>
      </w:tblPr>
      <w:tblGrid>
        <w:gridCol w:w="451"/>
        <w:gridCol w:w="4963"/>
        <w:gridCol w:w="3432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1733" w:val="left"/>
                <w:tab w:pos="2208" w:val="left"/>
              </w:tabs>
              <w:bidi w:val="0"/>
              <w:spacing w:before="0" w:after="0" w:line="240" w:lineRule="auto"/>
              <w:ind w:left="0" w:right="500" w:firstLine="0"/>
              <w:jc w:val="right"/>
              <w:rPr>
                <w:sz w:val="14"/>
                <w:szCs w:val="14"/>
              </w:rPr>
            </w:pPr>
            <w:r>
              <w:rPr>
                <w:rStyle w:val="CharStyle28"/>
                <w:rFonts w:ascii="Times New Roman" w:eastAsia="Times New Roman" w:hAnsi="Times New Roman" w:cs="Times New Roman"/>
                <w:sz w:val="14"/>
                <w:szCs w:val="14"/>
              </w:rPr>
              <w:t>.j .y &lt; ,</w:t>
              <w:tab/>
              <w:t>y’</w:t>
              <w:tab/>
            </w:r>
            <w:r>
              <w:rPr>
                <w:rStyle w:val="CharStyle28"/>
                <w:rFonts w:ascii="Times New Roman" w:eastAsia="Times New Roman" w:hAnsi="Times New Roman" w:cs="Times New Roman"/>
                <w:sz w:val="14"/>
                <w:szCs w:val="14"/>
                <w:vertAlign w:val="subscript"/>
              </w:rPr>
              <w:t>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Stimulační/defibrilační EKG elektroda. Systém s připraveným připojením.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  <w:i/>
                <w:iCs/>
              </w:rPr>
              <w:t>Ano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Jednorázové použití na snímání EKG, stimulaci/defibrilaci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  <w:i/>
                <w:iCs/>
              </w:rPr>
              <w:t>Ano</w:t>
            </w:r>
          </w:p>
        </w:tc>
      </w:tr>
      <w:tr>
        <w:trPr>
          <w:trHeight w:val="12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Kompatibilita s přístroji Lifepak 15 a AED Lifepak 1000. Pouze originální příslušenství Lifepak, výrobce Physio Control, pouze originální příslušenství doporučené výrobcem.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  <w:i/>
                <w:iCs/>
              </w:rPr>
              <w:t>ANO, kompatibilita s přístroji LIFEPAK, originální příslušenství LIFEPAK, výrobce Physio-Control,lne. - originální příslušenství doporučené výrobcem - viz manuál o obsluze a Prohlášení o shodě</w:t>
            </w: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Na obalu elektrod je viditelné označení s grafickým znázorněním, zda se jedná o elektrody určené pro dospělé, či děti.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  <w:i/>
                <w:iCs/>
              </w:rPr>
              <w:t>Ano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Rozměry lepící elektrody pro dospělé: ze strany od kabelu výška 15 cm, šířka do 13,5 cm. Rozměry lepící elektrody pro děti: ze strany od kabelu dolů 10,4 cm, šířka do 9 cm.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rStyle w:val="CharStyle28"/>
                <w:i/>
                <w:iCs/>
              </w:rPr>
              <w:t>ANO, rozměry lepící elektrody pro dospělé: ze strany od kabelu výška 15 cm, šířka 13,3 cm. Rozměry lepící elektrody pro děti: ze strany od kabelu dolů 10,4 cm, šířka 8,9 cm.</w:t>
            </w:r>
          </w:p>
        </w:tc>
      </w:tr>
      <w:tr>
        <w:trPr>
          <w:trHeight w:val="10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rStyle w:val="CharStyle28"/>
              </w:rPr>
              <w:t>Snadné otevírání zabalených elektrod: z elektrody musí vystupovat podkladová folie pro snadné odlepení a manipulaci v rukavicích (zejména při odlepování ochranné folie a umístění na pokožku pacienta).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  <w:i/>
                <w:iCs/>
              </w:rPr>
              <w:t>Ano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Výrobek neobsahuje latex.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  <w:i/>
                <w:iCs/>
              </w:rPr>
              <w:t>ANO, výrobek neobsahuje latex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Připojení pacienta typu BF. Součásti elektrod je konektor elektrody, který je kompatibilní a vhodný k připojení do terapeutického kabelu přístroje Lifepak 15.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  <w:i/>
                <w:iCs/>
              </w:rPr>
              <w:t>Ano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8"/>
              </w:rPr>
              <w:t>Doporučená teplota pro uskladnění 15 °C - 35 °C. Produkt lze uchovat po omezenou dobu i při extrémní teplotě - 30 °C až 65 °C.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  <w:i/>
                <w:iCs/>
              </w:rPr>
              <w:t>ANO, doporučená teplota pro dlouhodobé uskladnění činí 15 °C -až 35 °C. Produkt lze uchovat po omezenou dobu i při extrémní teplotě -30</w:t>
            </w:r>
            <w:r>
              <w:rPr>
                <w:rStyle w:val="CharStyle28"/>
              </w:rPr>
              <w:t xml:space="preserve"> °C až </w:t>
            </w:r>
            <w:r>
              <w:rPr>
                <w:rStyle w:val="CharStyle28"/>
                <w:i/>
                <w:iCs/>
              </w:rPr>
              <w:t>65 °C.</w:t>
            </w: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8"/>
              </w:rPr>
              <w:t>10 '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28"/>
              </w:rPr>
              <w:t>Jedno balení obsahuje 2 -ks elektrod vzájemně spojených kabelem. Pro dodání možnost více sáčků v kartonu.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rStyle w:val="CharStyle28"/>
                <w:i/>
                <w:iCs/>
              </w:rPr>
              <w:t>ANO, jedno balení obsahuje 2 ks elektrod vzájemně spojených kabelem. Karton obsahuje 10 balení nebo 50 balení.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8" w:name="bookmark8"/>
      <w:r>
        <w:rPr>
          <w:rStyle w:val="CharStyle22"/>
          <w:b/>
          <w:bCs/>
          <w:u w:val="none"/>
        </w:rPr>
        <w:t>CENÍK</w:t>
      </w:r>
      <w:bookmarkEnd w:id="8"/>
    </w:p>
    <w:tbl>
      <w:tblPr>
        <w:tblOverlap w:val="never"/>
        <w:jc w:val="center"/>
        <w:tblLayout w:type="fixed"/>
      </w:tblPr>
      <w:tblGrid>
        <w:gridCol w:w="4421"/>
        <w:gridCol w:w="3077"/>
        <w:gridCol w:w="1358"/>
      </w:tblGrid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  <w:b/>
                <w:bCs/>
              </w:rPr>
              <w:t>lÉjéktróda^c^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4"/>
                <w:szCs w:val="14"/>
              </w:rPr>
            </w:pPr>
            <w:r>
              <w:rPr>
                <w:rStyle w:val="CharStyle28"/>
                <w:rFonts w:ascii="Times New Roman" w:eastAsia="Times New Roman" w:hAnsi="Times New Roman" w:cs="Times New Roman"/>
                <w:sz w:val="14"/>
                <w:szCs w:val="14"/>
              </w:rPr>
              <w:t>í&lt; r*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rStyle w:val="CharStyle28"/>
                <w:i/>
                <w:iCs/>
                <w:smallCaps/>
                <w:sz w:val="8"/>
                <w:szCs w:val="8"/>
              </w:rPr>
              <w:t>act^-íj =.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rStyle w:val="CharStyle28"/>
                <w:rFonts w:ascii="Times New Roman" w:eastAsia="Times New Roman" w:hAnsi="Times New Roman" w:cs="Times New Roman"/>
                <w:sz w:val="14"/>
                <w:szCs w:val="14"/>
              </w:rPr>
              <w:t>■ . .. *■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Kód VZP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80" w:right="0" w:firstLine="0"/>
              <w:jc w:val="both"/>
            </w:pPr>
            <w:r>
              <w:rPr>
                <w:rStyle w:val="CharStyle28"/>
              </w:rPr>
              <w:t>0094711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Jednotková cena v Kč bez DPH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28"/>
                <w:b/>
                <w:bCs/>
              </w:rPr>
              <w:t>750,00 Kč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Jednotková cena v Kč včetně DPH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28"/>
                <w:b/>
                <w:bCs/>
              </w:rPr>
              <w:t>840,00 Kč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  <w:b/>
                <w:bCs/>
              </w:rPr>
              <w:t>‘Eleldródá pro děti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542" w:val="left"/>
                <w:tab w:pos="1066" w:val="left"/>
                <w:tab w:pos="3077" w:val="left"/>
                <w:tab w:pos="3970" w:val="left"/>
              </w:tabs>
              <w:bidi w:val="0"/>
              <w:spacing w:before="0" w:after="0" w:line="22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28"/>
                <w:i/>
                <w:iCs/>
                <w:sz w:val="8"/>
                <w:szCs w:val="8"/>
              </w:rPr>
              <w:t>&gt;</w:t>
              <w:tab/>
              <w:t>‘fax#</w:t>
            </w:r>
            <w:r>
              <w:rPr>
                <w:rStyle w:val="CharStyle28"/>
                <w:sz w:val="8"/>
                <w:szCs w:val="8"/>
              </w:rPr>
              <w:tab/>
              <w:t>.‘.-v- „</w:t>
              <w:tab/>
              <w:t>.r*,</w:t>
              <w:tab/>
              <w:t>w .s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1200" w:val="left"/>
                <w:tab w:pos="1459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8"/>
                <w:b/>
                <w:bCs/>
              </w:rPr>
              <w:t>-v</w:t>
              <w:tab/>
              <w:t>*</w:t>
              <w:tab/>
              <w:t>- v- i..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288" w:val="left"/>
                <w:tab w:pos="1224" w:val="left"/>
              </w:tabs>
              <w:bidi w:val="0"/>
              <w:spacing w:before="0" w:after="0" w:line="377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28"/>
                <w:sz w:val="8"/>
                <w:szCs w:val="8"/>
              </w:rPr>
              <w:t>i-'</w:t>
              <w:tab/>
            </w:r>
            <w:r>
              <w:rPr>
                <w:rStyle w:val="CharStyle28"/>
                <w:i/>
                <w:iCs/>
                <w:sz w:val="8"/>
                <w:szCs w:val="8"/>
              </w:rPr>
              <w:t>fřť</w:t>
            </w:r>
            <w:r>
              <w:rPr>
                <w:rStyle w:val="CharStyle28"/>
                <w:sz w:val="8"/>
                <w:szCs w:val="8"/>
              </w:rPr>
              <w:t xml:space="preserve"> ' ,r.</w:t>
              <w:tab/>
            </w:r>
            <w:r>
              <w:rPr>
                <w:rStyle w:val="CharStyle28"/>
                <w:i/>
                <w:iCs/>
                <w:sz w:val="8"/>
                <w:szCs w:val="8"/>
              </w:rPr>
              <w:t>v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283" w:val="left"/>
                <w:tab w:pos="509" w:val="left"/>
              </w:tabs>
              <w:bidi w:val="0"/>
              <w:spacing w:before="0" w:after="0" w:line="377" w:lineRule="auto"/>
              <w:ind w:left="0" w:right="0" w:firstLine="460"/>
              <w:jc w:val="left"/>
              <w:rPr>
                <w:sz w:val="8"/>
                <w:szCs w:val="8"/>
              </w:rPr>
            </w:pPr>
            <w:r>
              <w:rPr>
                <w:rStyle w:val="CharStyle28"/>
                <w:sz w:val="8"/>
                <w:szCs w:val="8"/>
                <w:vertAlign w:val="subscript"/>
              </w:rPr>
              <w:t>s</w:t>
            </w:r>
            <w:r>
              <w:rPr>
                <w:rStyle w:val="CharStyle28"/>
                <w:sz w:val="8"/>
                <w:szCs w:val="8"/>
              </w:rPr>
              <w:t xml:space="preserve"> ÍS • .&lt;&gt;</w:t>
              <w:tab/>
              <w:t>-,-S</w:t>
              <w:tab/>
              <w:t>'P- ..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Kód VZP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80" w:right="0" w:firstLine="0"/>
              <w:jc w:val="left"/>
            </w:pPr>
            <w:r>
              <w:rPr>
                <w:rStyle w:val="CharStyle28"/>
              </w:rPr>
              <w:t>0094713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Jednotková cena v Kč bez DPH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28"/>
                <w:b/>
                <w:bCs/>
              </w:rPr>
              <w:t>805,00 Kč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Jednotková cena v Kč včetně DPH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28"/>
                <w:b/>
                <w:bCs/>
              </w:rPr>
              <w:t>901,60 Kč</w:t>
            </w:r>
          </w:p>
        </w:tc>
      </w:tr>
    </w:tbl>
    <w:sectPr>
      <w:footerReference w:type="default" r:id="rId7"/>
      <w:footerReference w:type="even" r:id="rId8"/>
      <w:footnotePr>
        <w:pos w:val="pageBottom"/>
        <w:numFmt w:val="decimal"/>
        <w:numRestart w:val="continuous"/>
      </w:footnotePr>
      <w:pgSz w:w="11900" w:h="16840"/>
      <w:pgMar w:top="1034" w:right="1498" w:bottom="3539" w:left="1546" w:header="606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979805</wp:posOffset>
              </wp:positionH>
              <wp:positionV relativeFrom="page">
                <wp:posOffset>9979025</wp:posOffset>
              </wp:positionV>
              <wp:extent cx="2846705" cy="11303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4670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04-24: Defibrilační elektrody 2024 - 2025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7.150000000000006pt;margin-top:785.75pt;width:224.15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04-24: Defibrilační elektrody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986155</wp:posOffset>
              </wp:positionH>
              <wp:positionV relativeFrom="page">
                <wp:posOffset>10036810</wp:posOffset>
              </wp:positionV>
              <wp:extent cx="2846705" cy="11303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4670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04-24: Defibrílačnl elektrody 2024 - 2025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7.650000000000006pt;margin-top:790.30000000000007pt;width:224.15000000000001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04-24: Defibrílačnl elektrody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979805</wp:posOffset>
              </wp:positionH>
              <wp:positionV relativeFrom="page">
                <wp:posOffset>9979025</wp:posOffset>
              </wp:positionV>
              <wp:extent cx="2846705" cy="11303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4670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04-24: Defibrilační elektrody 2024 - 2025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7.150000000000006pt;margin-top:785.75pt;width:224.15000000000001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04-24: Defibrilační elektrody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979805</wp:posOffset>
              </wp:positionH>
              <wp:positionV relativeFrom="page">
                <wp:posOffset>9979025</wp:posOffset>
              </wp:positionV>
              <wp:extent cx="2846705" cy="11303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4670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04-24: Defibrilační elektrody 2024 - 2025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77.150000000000006pt;margin-top:785.75pt;width:224.15000000000001pt;height:8.9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04-24: Defibrilační elektrody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Nadpis #2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5">
    <w:name w:val="Nadpis #1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character" w:customStyle="1" w:styleId="CharStyle18">
    <w:name w:val="Záhlaví nebo zápatí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Nadpis #3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24">
    <w:name w:val="Titulek tabulky_"/>
    <w:basedOn w:val="DefaultParagraphFont"/>
    <w:link w:val="Style23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28">
    <w:name w:val="Jiné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40"/>
      <w:ind w:right="590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auto"/>
      <w:spacing w:line="230" w:lineRule="auto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14">
    <w:name w:val="Nadpis #1"/>
    <w:basedOn w:val="Normal"/>
    <w:link w:val="CharStyle15"/>
    <w:pPr>
      <w:widowControl w:val="0"/>
      <w:shd w:val="clear" w:color="auto" w:fill="auto"/>
      <w:ind w:right="1180"/>
      <w:jc w:val="right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paragraph" w:customStyle="1" w:styleId="Style17">
    <w:name w:val="Záhlaví nebo zápatí (2)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Nadpis #3"/>
    <w:basedOn w:val="Normal"/>
    <w:link w:val="CharStyle22"/>
    <w:pPr>
      <w:widowControl w:val="0"/>
      <w:shd w:val="clear" w:color="auto" w:fill="auto"/>
      <w:spacing w:after="28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23">
    <w:name w:val="Titulek tabulky"/>
    <w:basedOn w:val="Normal"/>
    <w:link w:val="CharStyle24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7">
    <w:name w:val="Jiné"/>
    <w:basedOn w:val="Normal"/>
    <w:link w:val="CharStyle28"/>
    <w:pPr>
      <w:widowControl w:val="0"/>
      <w:shd w:val="clear" w:color="auto" w:fill="auto"/>
      <w:spacing w:after="2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