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  <w:rPr>
          <w:sz w:val="80"/>
          <w:szCs w:val="80"/>
        </w:rPr>
      </w:pPr>
      <w:bookmarkStart w:id="2" w:name="bookmark2"/>
      <w:r>
        <w:rPr>
          <w:rStyle w:val="CharStyle15"/>
        </w:rPr>
        <w:t xml:space="preserve">iinnu </w:t>
      </w:r>
      <w:r>
        <w:rPr>
          <w:rStyle w:val="CharStyle15"/>
          <w:rFonts w:ascii="Arial" w:eastAsia="Arial" w:hAnsi="Arial" w:cs="Arial"/>
          <w:smallCaps/>
          <w:sz w:val="80"/>
          <w:szCs w:val="80"/>
        </w:rPr>
        <w:t>lihu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1180" w:firstLine="0"/>
        <w:jc w:val="right"/>
      </w:pPr>
      <w:r>
        <w:rPr>
          <w:rStyle w:val="CharStyle5"/>
        </w:rPr>
        <w:t>2024002140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4" w:name="bookmark4"/>
      <w:r>
        <w:rPr>
          <w:rStyle w:val="CharStyle22"/>
          <w:b/>
          <w:bCs/>
        </w:rPr>
        <w:t>RÁMCOVÁ KUPNÍ SMLOUVA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9" w:lineRule="auto"/>
        <w:ind w:left="2040" w:right="0" w:hanging="1300"/>
        <w:jc w:val="left"/>
      </w:pPr>
      <w:r>
        <w:rPr>
          <w:rStyle w:val="CharStyle3"/>
        </w:rPr>
        <w:t>uzavřená v souladu s ustanovením § 2079 a nás!,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64"/>
        <w:gridCol w:w="6211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8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Sídlo: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Kamenice 798/1 d, 625 00 Brno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MUDr. Hana Albrechtová, ředitelka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spacing w:val="1"/>
                <w:shd w:val="clear" w:color="auto" w:fill="000000"/>
              </w:rPr>
              <w:t>..</w:t>
            </w:r>
            <w:r>
              <w:rPr>
                <w:rStyle w:val="CharStyle28"/>
                <w:spacing w:val="2"/>
                <w:shd w:val="clear" w:color="auto" w:fill="000000"/>
              </w:rPr>
              <w:t>....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5"/>
                <w:shd w:val="clear" w:color="auto" w:fill="000000"/>
              </w:rPr>
              <w:t>......</w:t>
            </w:r>
            <w:r>
              <w:rPr>
                <w:rStyle w:val="CharStyle28"/>
                <w:spacing w:val="6"/>
                <w:shd w:val="clear" w:color="auto" w:fill="000000"/>
              </w:rPr>
              <w:t>..</w:t>
            </w:r>
            <w:r>
              <w:rPr>
                <w:rStyle w:val="CharStyle28"/>
                <w:shd w:val="clear" w:color="auto" w:fill="000000"/>
              </w:rPr>
              <w:t>​.</w:t>
            </w:r>
            <w:r>
              <w:rPr>
                <w:rStyle w:val="CharStyle28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28"/>
                <w:shd w:val="clear" w:color="auto" w:fill="000000"/>
                <w:lang w:val="en-US" w:eastAsia="en-US" w:bidi="en-US"/>
              </w:rPr>
              <w:t>​................................</w:t>
            </w:r>
            <w:r>
              <w:rPr>
                <w:rStyle w:val="CharStyle28"/>
                <w:spacing w:val="1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28"/>
                <w:spacing w:val="7"/>
                <w:shd w:val="clear" w:color="auto" w:fill="000000"/>
              </w:rPr>
              <w:t>......</w:t>
            </w:r>
            <w:r>
              <w:rPr>
                <w:rStyle w:val="CharStyle28"/>
                <w:shd w:val="clear" w:color="auto" w:fill="000000"/>
              </w:rPr>
              <w:t>​....</w:t>
            </w:r>
            <w:r>
              <w:rPr>
                <w:rStyle w:val="CharStyle28"/>
                <w:spacing w:val="1"/>
                <w:shd w:val="clear" w:color="auto" w:fill="000000"/>
              </w:rPr>
              <w:t>.....</w:t>
            </w:r>
            <w:r>
              <w:rPr>
                <w:rStyle w:val="CharStyle28"/>
                <w:shd w:val="clear" w:color="auto" w:fill="000000"/>
              </w:rPr>
              <w:t>​.......​</w:t>
            </w:r>
            <w:r>
              <w:rPr>
                <w:rStyle w:val="CharStyle28"/>
                <w:spacing w:val="6"/>
                <w:shd w:val="clear" w:color="auto" w:fill="000000"/>
              </w:rPr>
              <w:t>...</w:t>
            </w:r>
            <w:r>
              <w:rPr>
                <w:rStyle w:val="CharStyle28"/>
                <w:spacing w:val="7"/>
                <w:shd w:val="clear" w:color="auto" w:fill="000000"/>
              </w:rPr>
              <w:t>...</w:t>
            </w:r>
            <w:r>
              <w:rPr>
                <w:rStyle w:val="CharStyle28"/>
                <w:shd w:val="clear" w:color="auto" w:fill="000000"/>
              </w:rPr>
              <w:t>​......</w:t>
            </w:r>
          </w:p>
        </w:tc>
      </w:tr>
      <w:tr>
        <w:trPr>
          <w:trHeight w:val="7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IČO: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DIČ: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00346292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CZ00346292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Krajský soud v Brně sp. zn. Pr 1245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MONETA Money Bank, a.s., č. ú. 117203514/0600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4"/>
        </w:rPr>
        <w:t xml:space="preserve">(dále jen </w:t>
      </w:r>
      <w:r>
        <w:rPr>
          <w:rStyle w:val="CharStyle24"/>
          <w:b/>
          <w:bCs/>
          <w:i/>
          <w:iCs/>
          <w:sz w:val="19"/>
          <w:szCs w:val="19"/>
        </w:rPr>
        <w:t>„kupující"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64"/>
        <w:gridCol w:w="6206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b/>
                <w:bCs/>
              </w:rPr>
              <w:t>Medsol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Lužná 591/4, 160 00 Praha 6 - Vokovice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Mgr. Michal Baroš, MBA, jednatel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shd w:val="clear" w:color="auto" w:fill="000000"/>
              </w:rPr>
              <w:t>.......​</w:t>
            </w:r>
            <w:r>
              <w:rPr>
                <w:rStyle w:val="CharStyle28"/>
                <w:spacing w:val="7"/>
                <w:shd w:val="clear" w:color="auto" w:fill="000000"/>
              </w:rPr>
              <w:t>......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3"/>
                <w:shd w:val="clear" w:color="auto" w:fill="000000"/>
              </w:rPr>
              <w:t>............</w:t>
            </w:r>
            <w:r>
              <w:rPr>
                <w:rStyle w:val="CharStyle28"/>
                <w:spacing w:val="4"/>
                <w:shd w:val="clear" w:color="auto" w:fill="000000"/>
              </w:rPr>
              <w:t>.</w:t>
            </w:r>
            <w:r>
              <w:rPr>
                <w:rStyle w:val="CharStyle28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8"/>
                <w:spacing w:val="1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CharStyle28"/>
                <w:spacing w:val="2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8"/>
                <w:shd w:val="clear" w:color="auto" w:fill="000000"/>
              </w:rPr>
              <w:t>...</w:t>
            </w:r>
            <w:r>
              <w:rPr>
                <w:rStyle w:val="CharStyle28"/>
                <w:spacing w:val="9"/>
                <w:shd w:val="clear" w:color="auto" w:fill="000000"/>
              </w:rPr>
              <w:t>..</w:t>
            </w:r>
            <w:r>
              <w:rPr>
                <w:rStyle w:val="CharStyle28"/>
                <w:shd w:val="clear" w:color="auto" w:fill="000000"/>
              </w:rPr>
              <w:t>​....</w:t>
            </w:r>
            <w:r>
              <w:rPr>
                <w:rStyle w:val="CharStyle28"/>
                <w:spacing w:val="1"/>
                <w:shd w:val="clear" w:color="auto" w:fill="000000"/>
              </w:rPr>
              <w:t>.....</w:t>
            </w:r>
            <w:r>
              <w:rPr>
                <w:rStyle w:val="CharStyle28"/>
                <w:shd w:val="clear" w:color="auto" w:fill="000000"/>
              </w:rPr>
              <w:t>​.......​.......​......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IČO: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DIČ: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242 01 596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CZ24201596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zapsán v obchodním rejstříku vedeném Městským soudem v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Praze, oddíl C, vložka 188143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ČSOB, a.s., č.ú. 260001288/ 0300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4"/>
        </w:rPr>
        <w:t xml:space="preserve">(dále jen </w:t>
      </w:r>
      <w:r>
        <w:rPr>
          <w:rStyle w:val="CharStyle24"/>
          <w:b/>
          <w:bCs/>
          <w:i/>
          <w:iCs/>
          <w:sz w:val="19"/>
          <w:szCs w:val="19"/>
        </w:rPr>
        <w:t>„prodávající )</w:t>
      </w:r>
    </w:p>
    <w:p>
      <w:pPr>
        <w:widowControl w:val="0"/>
        <w:spacing w:after="7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 xml:space="preserve">Prodávající je oprávněn na základě svého vlastnického práva nakládat s tímto zbožím: </w:t>
      </w:r>
      <w:r>
        <w:rPr>
          <w:rStyle w:val="CharStyle3"/>
          <w:b/>
          <w:bCs/>
        </w:rPr>
        <w:t xml:space="preserve">defibrilační elektrody </w:t>
      </w:r>
      <w:r>
        <w:rPr>
          <w:rStyle w:val="CharStyle3"/>
        </w:rPr>
        <w:t>pro defibrilátory LIFEPAK. Bližší specifikace zboží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80"/>
        <w:ind w:left="380" w:right="0" w:hanging="38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80"/>
        <w:ind w:left="380" w:right="0" w:hanging="380"/>
        <w:jc w:val="both"/>
      </w:pPr>
      <w:r>
        <w:rPr>
          <w:rStyle w:val="CharStyle3"/>
        </w:rPr>
        <w:t>Součástí dodávky zboží podle čl. 1 a čl. 2 této smlouvy je vždy předání veškerých písemných dokladů, které jsou potřebné k používání tohoto zboží. Dodané zboží musí splňovat požadavky na jakost, neporušenost balení a řádné označení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uzavření příslušné dílčí kupní smlouvy. Tento závazek se bude považovat za splněný po předání a převzetí příslušného zboží. Místem dodání je centrální sklad v sídle kupujícího, Kamenice 798/1 d, Brno, 625 00.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20" w:right="0" w:hanging="42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bude-lí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resp. jeho zřizovatele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Kupující se zavazuje zaplatit prodávajícímu za předmět koupě a prodeje podle čl. 1 této smlouvy kupní cenu ve výši součinu počtu odebraných jednotek příslušného zboží a jednotkových cen tohoto zboží. Jednotkové ceny zboží jsou uvedeny v ceníku, který je jako příloha č. 1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3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  <w:b/>
          <w:bCs/>
        </w:rPr>
        <w:t xml:space="preserve">Na </w:t>
      </w:r>
      <w:r>
        <w:rPr>
          <w:rStyle w:val="CharStyle3"/>
        </w:rPr>
        <w:t xml:space="preserve">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P24V00000372. </w:t>
      </w:r>
      <w:r>
        <w:rPr>
          <w:rStyle w:val="CharStyle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 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8" w:lineRule="auto"/>
        <w:ind w:left="440" w:right="0" w:hanging="440"/>
        <w:jc w:val="both"/>
      </w:pPr>
      <w:r>
        <w:rPr>
          <w:rStyle w:val="CharStyle3"/>
        </w:rPr>
        <w:t>Pro případ prodlení se splněním jeho závazku k dodání zboží ve lhůtě podle či.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40" w:right="0" w:hanging="44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40" w:right="0" w:hanging="44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40" w:right="0" w:hanging="44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odchylkou, ve smyslu §, 174Q odst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40" w:right="0" w:hanging="44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60" w:line="276" w:lineRule="auto"/>
        <w:ind w:left="440" w:right="0" w:hanging="44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3-měsíčni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40" w:right="0" w:hanging="44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8. 4.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0" w:right="0" w:firstLine="0"/>
        <w:jc w:val="left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31.12. 2025.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0" w:line="290" w:lineRule="auto"/>
        <w:ind w:left="440" w:right="0" w:hanging="44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3200" distB="0" distL="0" distR="0" simplePos="0" relativeHeight="12582937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203200</wp:posOffset>
                </wp:positionV>
                <wp:extent cx="1728470" cy="14922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84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7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650000000000006pt;margin-top:16.pt;width:136.09999999999999pt;height:11.75pt;z-index:-125829375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0" distL="0" distR="0" simplePos="0" relativeHeight="125829380" behindDoc="0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203200</wp:posOffset>
                </wp:positionV>
                <wp:extent cx="1304290" cy="1492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42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Praze dne 12.3.2024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35000000000002pt;margin-top:16.pt;width:102.7pt;height:11.75pt;z-index:-125829373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Praze dne 12.3.2024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28600" distB="8890" distL="0" distR="0" simplePos="0" relativeHeight="125829382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228600</wp:posOffset>
                </wp:positionV>
                <wp:extent cx="1953895" cy="4787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3895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Ml IDr U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vertAlign w:val="subscript"/>
                              </w:rPr>
                              <w:t>an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 xml:space="preserve">^. </w:t>
                            </w:r>
                            <w:r>
                              <w:rPr>
                                <w:rStyle w:val="CharStyle5"/>
                                <w:sz w:val="14"/>
                                <w:szCs w:val="14"/>
                              </w:rPr>
                              <w:t>Digitálně podepsa!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199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 xml:space="preserve">IV1UL&gt;I. nai I a 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vertAlign w:val="subscript"/>
                              </w:rPr>
                              <w:t>MUDr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Style w:val="CharStyle5"/>
                                <w:sz w:val="14"/>
                                <w:szCs w:val="14"/>
                              </w:rPr>
                              <w:t>Hana Albrechtová</w:t>
                            </w:r>
                          </w:p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8"/>
                              </w:rPr>
                              <w:t>Albrechtova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400000000000006pt;margin-top:18.pt;width:153.84999999999999pt;height:37.700000000000003pt;z-index:-125829371;mso-wrap-distance-left:0;mso-wrap-distance-top:18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Ml IDr U</w:t>
                      </w:r>
                      <w:r>
                        <w:rPr>
                          <w:rStyle w:val="CharStyle5"/>
                          <w:b/>
                          <w:bCs/>
                          <w:vertAlign w:val="subscript"/>
                        </w:rPr>
                        <w:t>an</w:t>
                      </w:r>
                      <w:r>
                        <w:rPr>
                          <w:rStyle w:val="CharStyle5"/>
                          <w:b/>
                          <w:bCs/>
                        </w:rPr>
                        <w:t xml:space="preserve">^. </w:t>
                      </w:r>
                      <w:r>
                        <w:rPr>
                          <w:rStyle w:val="CharStyle5"/>
                          <w:sz w:val="14"/>
                          <w:szCs w:val="14"/>
                        </w:rPr>
                        <w:t>Digitálně podepsa!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99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5"/>
                          <w:b/>
                          <w:bCs/>
                        </w:rPr>
                        <w:t xml:space="preserve">IV1UL&gt;I. nai I a </w:t>
                      </w:r>
                      <w:r>
                        <w:rPr>
                          <w:rStyle w:val="CharStyle5"/>
                          <w:b/>
                          <w:bCs/>
                          <w:vertAlign w:val="subscript"/>
                        </w:rPr>
                        <w:t>MUDr</w:t>
                      </w:r>
                      <w:r>
                        <w:rPr>
                          <w:rStyle w:val="CharStyle5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Style w:val="CharStyle5"/>
                          <w:sz w:val="14"/>
                          <w:szCs w:val="14"/>
                        </w:rPr>
                        <w:t>Hana Albrechtová</w:t>
                      </w:r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8"/>
                        </w:rPr>
                        <w:t>Albrechtova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2590" distB="51435" distL="0" distR="0" simplePos="0" relativeHeight="125829384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402590</wp:posOffset>
                </wp:positionV>
                <wp:extent cx="1627505" cy="2622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</w:rPr>
                              <w:t>Digitální podepsal MICHAL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CharStyle3"/>
                                <w:sz w:val="18"/>
                                <w:szCs w:val="18"/>
                              </w:rPr>
                              <w:t>MICHAL BAROŠ^S^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z w:val="8"/>
                                <w:szCs w:val="8"/>
                              </w:rPr>
                              <w:t>.141323&gt;41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2.05000000000001pt;margin-top:31.699999999999999pt;width:128.15000000000001pt;height:20.650000000000002pt;z-index:-125829369;mso-wrap-distance-left:0;mso-wrap-distance-top:31.699999999999999pt;mso-wrap-distance-right:0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Digitální podepsal MICHAL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Style w:val="CharStyle3"/>
                          <w:sz w:val="18"/>
                          <w:szCs w:val="18"/>
                        </w:rPr>
                        <w:t>MICHAL BAROŠ^S^</w:t>
                      </w:r>
                      <w:r>
                        <w:rPr>
                          <w:rStyle w:val="CharStyle3"/>
                          <w:b/>
                          <w:bCs/>
                          <w:sz w:val="8"/>
                          <w:szCs w:val="8"/>
                        </w:rPr>
                        <w:t>.141323&gt;41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4840" distB="0" distL="0" distR="0" simplePos="0" relativeHeight="125829386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624840</wp:posOffset>
                </wp:positionV>
                <wp:extent cx="222250" cy="914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25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</w:rPr>
                              <w:t>+01'00'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1.40000000000003pt;margin-top:49.200000000000003pt;width:17.5pt;height:7.2000000000000002pt;z-index:-125829367;mso-wrap-distance-left:0;mso-wrap-distance-top:49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0" w:right="973" w:bottom="2029" w:left="1505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7000" distB="0" distL="0" distR="0" simplePos="0" relativeHeight="125829388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127000</wp:posOffset>
                </wp:positionV>
                <wp:extent cx="1408430" cy="5060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843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7.150000000000006pt;margin-top:10.pt;width:110.90000000000001pt;height:39.850000000000001pt;z-index:-125829365;mso-wrap-distance-left:0;mso-wrap-distance-top:10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6350" distL="0" distR="0" simplePos="0" relativeHeight="125829390" behindDoc="0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127000</wp:posOffset>
                </wp:positionV>
                <wp:extent cx="1383665" cy="49974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Mgr. Michal Baroš, MBA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29.40000000000003pt;margin-top:10.pt;width:108.95pt;height:39.350000000000001pt;z-index:-125829363;mso-wrap-distance-left:0;mso-wrap-distance-top:10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Mgr. Michal Baroš, MBA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7" w:right="0" w:bottom="12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7" w:right="1447" w:bottom="1257" w:left="1544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 xml:space="preserve">Příloha č. 1 </w:t>
      </w:r>
      <w:r>
        <w:rPr>
          <w:rStyle w:val="CharStyle3"/>
        </w:rPr>
        <w:t>Specifikace, 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rStyle w:val="CharStyle3"/>
        </w:rPr>
        <w:t>Příloha č. 1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rStyle w:val="CharStyle22"/>
          <w:b/>
          <w:bCs/>
          <w:u w:val="none"/>
        </w:rPr>
        <w:t>SPECIFIKACE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3"/>
          <w:b/>
          <w:bCs/>
        </w:rPr>
        <w:t>Model, typové/výrobní označení: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200" w:line="252" w:lineRule="auto"/>
        <w:ind w:left="0" w:right="0" w:firstLine="0"/>
        <w:jc w:val="left"/>
      </w:pPr>
      <w:r>
        <w:rPr>
          <w:rStyle w:val="CharStyle3"/>
          <w:i/>
          <w:iCs/>
        </w:rPr>
        <w:t>pro dospělé - ELEKTRODY EDGE SYSTÉM S KONEKTOREM QUIK-COMBO®, REDI-PAK (kód VZPpro vykazování ZUM 0094711)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  <w:i/>
          <w:iCs/>
        </w:rPr>
        <w:t>pro děti - ELEKTRODY EDGE SYSTÉM S KONEKTOREM QUIK-COMBO®, dětské, RADIOTRANSPARENTNÍ (kód VZP pro vykazování ZUM 0094713)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b/>
          <w:bCs/>
        </w:rPr>
        <w:t xml:space="preserve">Výrobce: </w:t>
      </w:r>
      <w:r>
        <w:rPr>
          <w:rStyle w:val="CharStyle24"/>
          <w:i/>
          <w:iCs/>
        </w:rPr>
        <w:t>Physio-Control, lne. viz Prohlášení o shodě</w:t>
      </w:r>
    </w:p>
    <w:tbl>
      <w:tblPr>
        <w:tblOverlap w:val="never"/>
        <w:jc w:val="center"/>
        <w:tblLayout w:type="fixed"/>
      </w:tblPr>
      <w:tblGrid>
        <w:gridCol w:w="451"/>
        <w:gridCol w:w="4963"/>
        <w:gridCol w:w="3432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33" w:val="left"/>
                <w:tab w:pos="2208" w:val="left"/>
              </w:tabs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rStyle w:val="CharStyle28"/>
                <w:rFonts w:ascii="Times New Roman" w:eastAsia="Times New Roman" w:hAnsi="Times New Roman" w:cs="Times New Roman"/>
                <w:sz w:val="14"/>
                <w:szCs w:val="14"/>
              </w:rPr>
              <w:t>.j .y &lt; ,</w:t>
              <w:tab/>
              <w:t>y’</w:t>
              <w:tab/>
            </w:r>
            <w:r>
              <w:rPr>
                <w:rStyle w:val="CharStyle28"/>
                <w:rFonts w:ascii="Times New Roman" w:eastAsia="Times New Roman" w:hAnsi="Times New Roman" w:cs="Times New Roman"/>
                <w:sz w:val="14"/>
                <w:szCs w:val="14"/>
                <w:vertAlign w:val="subscript"/>
              </w:rPr>
              <w:t>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Stimulační/defibrilační EKG elektroda. Systém s připraveným připojením.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Jednorázové použití na snímání EKG, stimulaci/defibrilaci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Kompatibilita s přístroji Lifepak 15 a AED Lifepak 1000. Pouze originální příslušenství Lifepak, výrobce Physio Control, pouze originální příslušenství doporučené výrobcem.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ANO, kompatibilita s přístroji LIFEPAK, originální příslušenství LIFEPAK, výrobce Physio-Control,lne. - originální příslušenství doporučené výrobcem - viz manuál o obsluze a Prohlášení o shodě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Na obalu elektrod je viditelné označení s grafickým znázorněním, zda se jedná o elektrody určené pro dospělé, či děti.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Rozměry lepící elektrody pro dospělé: ze strany od kabelu výška 15 cm, šířka do 13,5 cm. Rozměry lepící elektrody pro děti: ze strany od kabelu dolů 10,4 cm, šířka do 9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ANO, rozměry lepící elektrody pro dospělé: ze strany od kabelu výška 15 cm, šířka 13,3 cm. Rozměry lepící elektrody pro děti: ze strany od kabelu dolů 10,4 cm, šířka 8,9 cm.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rStyle w:val="CharStyle28"/>
              </w:rPr>
              <w:t>Snadné otevírání zabalených elektrod: z elektrody musí vystupovat podkladová folie pro snadné odlepení a manipulaci v rukavicích (zejména při odlepování ochranné folie a umístění na pokožku pacienta).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Výrobek neobsahuje latex.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ANO, výrobek neobsahuje latex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Připojení pacienta typu BF. Součásti elektrod je konektor elektrody, který je kompatibilní a vhodný k připojení do terapeutického kabelu přístroje Lifepak 15.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Doporučená teplota pro uskladnění 15 °C - 35 °C. Produkt lze uchovat po omezenou dobu i při extrémní teplotě - 30 °C až 65 °C.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ANO, doporučená teplota pro dlouhodobé uskladnění činí 15 °C -až 35 °C. Produkt lze uchovat po omezenou dobu i při extrémní teplotě -30</w:t>
            </w:r>
            <w:r>
              <w:rPr>
                <w:rStyle w:val="CharStyle28"/>
              </w:rPr>
              <w:t xml:space="preserve"> °C až </w:t>
            </w:r>
            <w:r>
              <w:rPr>
                <w:rStyle w:val="CharStyle28"/>
                <w:i/>
                <w:iCs/>
              </w:rPr>
              <w:t>65 °C.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10 '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28"/>
              </w:rPr>
              <w:t>Jedno balení obsahuje 2 -ks elektrod vzájemně spojených kabelem. Pro dodání možnost více sáčků v kartonu.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28"/>
                <w:i/>
                <w:iCs/>
              </w:rPr>
              <w:t>ANO, jedno balení obsahuje 2 ks elektrod vzájemně spojených kabelem. Karton obsahuje 10 balení nebo 50 balení.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8" w:name="bookmark8"/>
      <w:r>
        <w:rPr>
          <w:rStyle w:val="CharStyle22"/>
          <w:b/>
          <w:bCs/>
          <w:u w:val="none"/>
        </w:rPr>
        <w:t>CENÍK</w:t>
      </w:r>
      <w:bookmarkEnd w:id="8"/>
    </w:p>
    <w:tbl>
      <w:tblPr>
        <w:tblOverlap w:val="never"/>
        <w:jc w:val="center"/>
        <w:tblLayout w:type="fixed"/>
      </w:tblPr>
      <w:tblGrid>
        <w:gridCol w:w="4421"/>
        <w:gridCol w:w="3077"/>
        <w:gridCol w:w="1358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b/>
                <w:bCs/>
              </w:rPr>
              <w:t>lÉjéktróda^c^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Style w:val="CharStyle28"/>
                <w:rFonts w:ascii="Times New Roman" w:eastAsia="Times New Roman" w:hAnsi="Times New Roman" w:cs="Times New Roman"/>
                <w:sz w:val="14"/>
                <w:szCs w:val="14"/>
              </w:rPr>
              <w:t>í&lt; r*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rStyle w:val="CharStyle28"/>
                <w:i/>
                <w:iCs/>
                <w:smallCaps/>
                <w:sz w:val="8"/>
                <w:szCs w:val="8"/>
              </w:rPr>
              <w:t>act^-íj =.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rStyle w:val="CharStyle28"/>
                <w:rFonts w:ascii="Times New Roman" w:eastAsia="Times New Roman" w:hAnsi="Times New Roman" w:cs="Times New Roman"/>
                <w:sz w:val="14"/>
                <w:szCs w:val="14"/>
              </w:rPr>
              <w:t>■ . .. *■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Kód VZP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28"/>
              </w:rPr>
              <w:t>0094711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Jednotková cena v Kč bez 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28"/>
                <w:b/>
                <w:bCs/>
              </w:rPr>
              <w:t>750,00 Kč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Jednotková cena v Kč včetně 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28"/>
                <w:b/>
                <w:bCs/>
              </w:rPr>
              <w:t>840,00 Kč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b/>
                <w:bCs/>
              </w:rPr>
              <w:t>‘Eleldródá pro děti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542" w:val="left"/>
                <w:tab w:pos="1066" w:val="left"/>
                <w:tab w:pos="3077" w:val="left"/>
                <w:tab w:pos="3970" w:val="left"/>
              </w:tabs>
              <w:bidi w:val="0"/>
              <w:spacing w:before="0" w:after="0" w:line="22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28"/>
                <w:i/>
                <w:iCs/>
                <w:sz w:val="8"/>
                <w:szCs w:val="8"/>
              </w:rPr>
              <w:t>&gt;</w:t>
              <w:tab/>
              <w:t>‘fax#</w:t>
            </w:r>
            <w:r>
              <w:rPr>
                <w:rStyle w:val="CharStyle28"/>
                <w:sz w:val="8"/>
                <w:szCs w:val="8"/>
              </w:rPr>
              <w:tab/>
              <w:t>.‘.-v- „</w:t>
              <w:tab/>
              <w:t>.r*,</w:t>
              <w:tab/>
              <w:t>w .s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200" w:val="left"/>
                <w:tab w:pos="145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8"/>
                <w:b/>
                <w:bCs/>
              </w:rPr>
              <w:t>-v</w:t>
              <w:tab/>
              <w:t>*</w:t>
              <w:tab/>
              <w:t>- v- i..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88" w:val="left"/>
                <w:tab w:pos="1224" w:val="left"/>
              </w:tabs>
              <w:bidi w:val="0"/>
              <w:spacing w:before="0" w:after="0" w:line="377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Style w:val="CharStyle28"/>
                <w:sz w:val="8"/>
                <w:szCs w:val="8"/>
              </w:rPr>
              <w:t>i-'</w:t>
              <w:tab/>
            </w:r>
            <w:r>
              <w:rPr>
                <w:rStyle w:val="CharStyle28"/>
                <w:i/>
                <w:iCs/>
                <w:sz w:val="8"/>
                <w:szCs w:val="8"/>
              </w:rPr>
              <w:t>fřť</w:t>
            </w:r>
            <w:r>
              <w:rPr>
                <w:rStyle w:val="CharStyle28"/>
                <w:sz w:val="8"/>
                <w:szCs w:val="8"/>
              </w:rPr>
              <w:t xml:space="preserve"> ' ,r.</w:t>
              <w:tab/>
            </w:r>
            <w:r>
              <w:rPr>
                <w:rStyle w:val="CharStyle28"/>
                <w:i/>
                <w:iCs/>
                <w:sz w:val="8"/>
                <w:szCs w:val="8"/>
              </w:rPr>
              <w:t>v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83" w:val="left"/>
                <w:tab w:pos="509" w:val="left"/>
              </w:tabs>
              <w:bidi w:val="0"/>
              <w:spacing w:before="0" w:after="0" w:line="377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rStyle w:val="CharStyle28"/>
                <w:sz w:val="8"/>
                <w:szCs w:val="8"/>
                <w:vertAlign w:val="subscript"/>
              </w:rPr>
              <w:t>s</w:t>
            </w:r>
            <w:r>
              <w:rPr>
                <w:rStyle w:val="CharStyle28"/>
                <w:sz w:val="8"/>
                <w:szCs w:val="8"/>
              </w:rPr>
              <w:t xml:space="preserve"> ÍS • .&lt;&gt;</w:t>
              <w:tab/>
              <w:t>-,-S</w:t>
              <w:tab/>
              <w:t>'P- ..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Kód VZP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</w:pPr>
            <w:r>
              <w:rPr>
                <w:rStyle w:val="CharStyle28"/>
              </w:rPr>
              <w:t>0094713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Jednotková cena v Kč bez DPH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28"/>
                <w:b/>
                <w:bCs/>
              </w:rPr>
              <w:t>805,00 Kč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Jednotková cena v Kč včetně DPH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28"/>
                <w:b/>
                <w:bCs/>
              </w:rPr>
              <w:t>901,60 Kč</w:t>
            </w:r>
          </w:p>
        </w:tc>
      </w:tr>
    </w:tbl>
    <w:sectPr>
      <w:footerReference w:type="default" r:id="rId7"/>
      <w:footerReference w:type="even" r:id="rId8"/>
      <w:footnotePr>
        <w:pos w:val="pageBottom"/>
        <w:numFmt w:val="decimal"/>
        <w:numRestart w:val="continuous"/>
      </w:footnotePr>
      <w:pgSz w:w="11900" w:h="16840"/>
      <w:pgMar w:top="1034" w:right="1498" w:bottom="3539" w:left="1546" w:header="60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9979025</wp:posOffset>
              </wp:positionV>
              <wp:extent cx="2846705" cy="1130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67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04-24: Defibrilační elektrody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7.150000000000006pt;margin-top:785.75pt;width:224.15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04-24: Defibrilační elektrody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10036810</wp:posOffset>
              </wp:positionV>
              <wp:extent cx="2846705" cy="1130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67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04-24: Defibrílačnl elektrody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7.650000000000006pt;margin-top:790.30000000000007pt;width:224.15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04-24: Defibrílačnl elektrody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9979025</wp:posOffset>
              </wp:positionV>
              <wp:extent cx="2846705" cy="1130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67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04-24: Defibrilační elektrody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7.150000000000006pt;margin-top:785.75pt;width:224.15000000000001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04-24: Defibrilační elektrody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9979025</wp:posOffset>
              </wp:positionV>
              <wp:extent cx="2846705" cy="11303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467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04-24: Defibrilační elektrody 2024 - 2025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7.150000000000006pt;margin-top:785.75pt;width:224.15000000000001pt;height:8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04-24: Defibrilační elektrody 2024 - 2025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dpis #2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dpis #3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8">
    <w:name w:val="Jiné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40"/>
      <w:ind w:right="59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auto"/>
      <w:spacing w:line="230" w:lineRule="auto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auto"/>
      <w:ind w:right="118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dpis #3"/>
    <w:basedOn w:val="Normal"/>
    <w:link w:val="CharStyle22"/>
    <w:pPr>
      <w:widowControl w:val="0"/>
      <w:shd w:val="clear" w:color="auto" w:fill="auto"/>
      <w:spacing w:after="28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7">
    <w:name w:val="Jiné"/>
    <w:basedOn w:val="Normal"/>
    <w:link w:val="CharStyle28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