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77777777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</w:p>
    <w:p w14:paraId="28DB2175" w14:textId="2FFB1143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2</w:t>
      </w:r>
      <w:r w:rsidR="00BF038E">
        <w:rPr>
          <w:rFonts w:ascii="Arial" w:hAnsi="Arial" w:cs="Arial"/>
          <w:color w:val="000000"/>
          <w:sz w:val="20"/>
          <w:szCs w:val="20"/>
        </w:rPr>
        <w:t>414</w:t>
      </w:r>
    </w:p>
    <w:p w14:paraId="6EBB2B70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5148DC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7340EE39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1D00F72B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4916DF59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8D5E438" w14:textId="7D23D29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  <w:r w:rsidR="009627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6253020F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2582E89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2A20EAD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3B428F41" w14:textId="4DD215C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5B302" w14:textId="77777777" w:rsidR="00365CB1" w:rsidRDefault="00365CB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14:paraId="037E94F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6CCDCB0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2DF3E94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0149E35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0AA3A5E7" w14:textId="4BDD8CE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0D7425A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5E54DC8" w14:textId="69019BB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7526B303" w14:textId="3BD480E8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8AE8082" w14:textId="626221F1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7DC0B291" w14:textId="77777777" w:rsidR="00612FF7" w:rsidRDefault="00612FF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E5C821" w14:textId="5961048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723B3EA0" w14:textId="11432EA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22E853F5" w14:textId="69BCF656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30E2DACA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F050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27C046FB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Předmětem smlouvy je </w:t>
      </w:r>
      <w:r w:rsidR="00BF038E">
        <w:rPr>
          <w:rFonts w:ascii="Arial" w:hAnsi="Arial" w:cs="Arial"/>
          <w:color w:val="000000"/>
          <w:sz w:val="20"/>
          <w:szCs w:val="20"/>
        </w:rPr>
        <w:t xml:space="preserve">realizace </w:t>
      </w:r>
      <w:r w:rsidR="006E03A7">
        <w:rPr>
          <w:rFonts w:ascii="Arial" w:hAnsi="Arial" w:cs="Arial"/>
          <w:color w:val="000000"/>
          <w:sz w:val="20"/>
          <w:szCs w:val="20"/>
        </w:rPr>
        <w:t>zemních</w:t>
      </w:r>
      <w:r w:rsidR="00BF038E">
        <w:rPr>
          <w:rFonts w:ascii="Arial" w:hAnsi="Arial" w:cs="Arial"/>
          <w:color w:val="000000"/>
          <w:sz w:val="20"/>
          <w:szCs w:val="20"/>
        </w:rPr>
        <w:t xml:space="preserve"> prací na akci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DA6ED0">
        <w:rPr>
          <w:rFonts w:ascii="Arial" w:hAnsi="Arial" w:cs="Arial"/>
          <w:b/>
          <w:color w:val="000000"/>
          <w:sz w:val="20"/>
          <w:szCs w:val="20"/>
        </w:rPr>
        <w:t xml:space="preserve">Lomnice nad Popelkou – </w:t>
      </w:r>
      <w:r w:rsidR="0033405A">
        <w:rPr>
          <w:rFonts w:ascii="Arial" w:hAnsi="Arial" w:cs="Arial"/>
          <w:b/>
          <w:color w:val="000000"/>
          <w:sz w:val="20"/>
          <w:szCs w:val="20"/>
        </w:rPr>
        <w:t xml:space="preserve">havarijní </w:t>
      </w:r>
      <w:r w:rsidR="00BF038E">
        <w:rPr>
          <w:rFonts w:ascii="Arial" w:hAnsi="Arial" w:cs="Arial"/>
          <w:b/>
          <w:color w:val="000000"/>
          <w:sz w:val="20"/>
          <w:szCs w:val="20"/>
        </w:rPr>
        <w:t>oprava vodovodu ul</w:t>
      </w:r>
      <w:r w:rsidR="0033405A">
        <w:rPr>
          <w:rFonts w:ascii="Arial" w:hAnsi="Arial" w:cs="Arial"/>
          <w:b/>
          <w:color w:val="000000"/>
          <w:sz w:val="20"/>
          <w:szCs w:val="20"/>
        </w:rPr>
        <w:t>ici</w:t>
      </w:r>
      <w:r w:rsidR="00BF038E">
        <w:rPr>
          <w:rFonts w:ascii="Arial" w:hAnsi="Arial" w:cs="Arial"/>
          <w:b/>
          <w:color w:val="000000"/>
          <w:sz w:val="20"/>
          <w:szCs w:val="20"/>
        </w:rPr>
        <w:t xml:space="preserve"> Rohanova“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94F8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BF038E">
        <w:rPr>
          <w:rFonts w:ascii="Arial" w:hAnsi="Arial" w:cs="Arial"/>
          <w:color w:val="000000"/>
          <w:sz w:val="20"/>
          <w:szCs w:val="20"/>
        </w:rPr>
        <w:t>výkazu výměr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. Práce na vodovodním řadu bude zajišťovat a koordinovat SČVK. </w:t>
      </w:r>
    </w:p>
    <w:p w14:paraId="5B6EA9A6" w14:textId="77777777" w:rsidR="00470BEF" w:rsidRDefault="00470BEF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777E99">
        <w:rPr>
          <w:rFonts w:ascii="Arial" w:hAnsi="Arial" w:cs="Arial"/>
          <w:color w:val="000000"/>
          <w:sz w:val="20"/>
          <w:szCs w:val="20"/>
        </w:rPr>
        <w:t>ceněným výkazem výměr, který byl předložen jako součást nabídky zhotovitele.</w:t>
      </w:r>
    </w:p>
    <w:p w14:paraId="275505BC" w14:textId="3E4FFEA1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i zhotovitel souhlasně prohlašují, že na základě shora uvedené specifikace je dílo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dostatečně určitě a srozumitelně vymezeno, zejména co do umístění, rozsahu, podoby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kvalitativních podmínek, které je třeba při jeho realizaci dodržet.</w:t>
      </w:r>
    </w:p>
    <w:p w14:paraId="1DE8389D" w14:textId="2E0B6D05" w:rsidR="009E04D7" w:rsidRPr="009E04D7" w:rsidRDefault="00BF038E" w:rsidP="0038616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bude provádět pouze zemní práce v koordinaci se SČVK, kteří budou provádět montáže potrubí,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přepoje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proplachy atd. </w:t>
      </w:r>
    </w:p>
    <w:p w14:paraId="5C8A3CEC" w14:textId="761E43EB" w:rsidR="009E04D7" w:rsidRPr="009E04D7" w:rsidRDefault="00C12E93" w:rsidP="00CC1F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E04D7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9E04D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04D7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6BFCA8AF" w14:textId="77777777" w:rsidR="00C12E93" w:rsidRDefault="00C12E93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E473F" w14:textId="076217E9" w:rsidR="00BF038E" w:rsidRDefault="00BF038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516AC165" w14:textId="77777777" w:rsidR="00C12E93" w:rsidRPr="00824E52" w:rsidRDefault="00824E52" w:rsidP="006E03A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3.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87FE50" w14:textId="77777777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předloží objednateli průkaz o existenci prohlášení o shodě na výrobky, které nakoupí,</w:t>
      </w:r>
      <w:r w:rsidR="004E1849">
        <w:rPr>
          <w:rFonts w:ascii="Arial" w:hAnsi="Arial" w:cs="Arial"/>
          <w:color w:val="000000"/>
          <w:sz w:val="20"/>
          <w:szCs w:val="20"/>
        </w:rPr>
        <w:t xml:space="preserve"> </w:t>
      </w:r>
      <w:r w:rsidR="00777E99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abuduje a na výrobky, dodané ze strany subdodavatelů.</w:t>
      </w:r>
    </w:p>
    <w:p w14:paraId="0A342705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je povinen zajistit na staveništi veškerá bezpečnostní a hygienická opatření a požární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ochranu staveniště i prováděného díla, a to v rozsahu i způsobem stanoveným příslušnými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předpisy.</w:t>
      </w:r>
    </w:p>
    <w:p w14:paraId="0C90A0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Smluvní strany se dále zavazují vzájemně si uhradit veškeré prokázané škody, které by vznikly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jako důsledek prodlení, vadného plnění nebo porušením jiných smluvních povinností.</w:t>
      </w:r>
    </w:p>
    <w:p w14:paraId="23B26B1B" w14:textId="4621544E" w:rsidR="00BC2212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Objednatel se zavazuje předat zhotoviteli staveniště 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v </w:t>
      </w:r>
      <w:r w:rsidRPr="00777E99">
        <w:rPr>
          <w:rFonts w:ascii="Arial" w:hAnsi="Arial" w:cs="Arial"/>
          <w:color w:val="000000"/>
          <w:sz w:val="20"/>
          <w:szCs w:val="20"/>
        </w:rPr>
        <w:t>takovém stavu, aby bylo možno dílo provádět. Objednatel současně předá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také dvě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projektových dokumentací a všechna potřebná rozhodnutí, či stanoviska nutná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 realizaci díla.</w:t>
      </w:r>
      <w:r w:rsidR="00F235FF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BC2212" w:rsidRPr="00777E99">
        <w:rPr>
          <w:rFonts w:ascii="Arial" w:hAnsi="Arial" w:cs="Arial"/>
          <w:color w:val="000000"/>
          <w:sz w:val="20"/>
          <w:szCs w:val="20"/>
        </w:rPr>
        <w:t>Zhotovitel zajistí aktuální stanoviska k sítím, která bude potřebovat pro vytýčení.</w:t>
      </w:r>
    </w:p>
    <w:p w14:paraId="42FAFA87" w14:textId="3C3DEC37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035D7335" w:rsidR="00A70854" w:rsidRDefault="007B3841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–</w:t>
      </w:r>
      <w:r w:rsidR="009368C8">
        <w:rPr>
          <w:rFonts w:ascii="Arial" w:hAnsi="Arial" w:cs="Arial"/>
          <w:color w:val="000000"/>
          <w:sz w:val="20"/>
          <w:szCs w:val="20"/>
        </w:rPr>
        <w:t xml:space="preserve"> </w:t>
      </w:r>
      <w:r w:rsidR="006E03A7">
        <w:rPr>
          <w:rFonts w:ascii="Arial" w:hAnsi="Arial" w:cs="Arial"/>
          <w:color w:val="000000"/>
          <w:sz w:val="20"/>
          <w:szCs w:val="20"/>
        </w:rPr>
        <w:t>do 21.03.2024</w:t>
      </w:r>
    </w:p>
    <w:p w14:paraId="34144B53" w14:textId="18DF3BC6" w:rsidR="00DA6ED0" w:rsidRDefault="00DA6ED0" w:rsidP="009E04D7">
      <w:pPr>
        <w:pStyle w:val="Zkladntext"/>
        <w:numPr>
          <w:ilvl w:val="1"/>
          <w:numId w:val="7"/>
        </w:numPr>
        <w:tabs>
          <w:tab w:val="left" w:pos="851"/>
          <w:tab w:val="left" w:pos="4962"/>
        </w:tabs>
        <w:ind w:left="4962" w:hanging="4536"/>
        <w:jc w:val="both"/>
        <w:rPr>
          <w:sz w:val="24"/>
        </w:rPr>
      </w:pPr>
      <w:r w:rsidRPr="00DA6ED0">
        <w:rPr>
          <w:b w:val="0"/>
          <w:sz w:val="24"/>
        </w:rPr>
        <w:t>Ukončení realizace</w:t>
      </w:r>
      <w:r>
        <w:rPr>
          <w:bCs w:val="0"/>
          <w:sz w:val="24"/>
        </w:rPr>
        <w:t>:</w:t>
      </w:r>
      <w:r w:rsidR="0033405A">
        <w:rPr>
          <w:b w:val="0"/>
          <w:sz w:val="24"/>
        </w:rPr>
        <w:t xml:space="preserve"> </w:t>
      </w:r>
      <w:r w:rsidR="006E03A7">
        <w:rPr>
          <w:sz w:val="24"/>
          <w:lang w:val="cs-CZ"/>
        </w:rPr>
        <w:t>26. 04. 2024</w:t>
      </w:r>
      <w:r w:rsidR="0033405A">
        <w:rPr>
          <w:sz w:val="24"/>
          <w:lang w:val="cs-CZ"/>
        </w:rPr>
        <w:t xml:space="preserve"> (bez ohledu na začátek prací)</w:t>
      </w:r>
    </w:p>
    <w:p w14:paraId="5E4DF1C0" w14:textId="77777777" w:rsidR="0095283E" w:rsidRPr="00400040" w:rsidRDefault="00C12E93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Dokončením díla se rozumí den podpisu protokolu o předání a převzetí díla, který neobsahuje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vady bránící užívání díla k zamýšlenému účelu.</w:t>
      </w:r>
    </w:p>
    <w:p w14:paraId="6F4045C3" w14:textId="117FEEFA" w:rsidR="00C12E93" w:rsidRDefault="00C12E93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Odstranění vad a nedodělků: Jednotlivé termíny a konečný termín odstranění všech vad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nedodělků budou stanoveny při přejímacím řízení a obsaženy v protokolu o předání a převzetí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díla.</w:t>
      </w:r>
    </w:p>
    <w:p w14:paraId="59FF73C7" w14:textId="77777777" w:rsidR="009E04D7" w:rsidRPr="009E04D7" w:rsidRDefault="009E04D7" w:rsidP="009E0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E8166B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60EB071E" w:rsidR="00C12E93" w:rsidRDefault="00C12E93" w:rsidP="00F43DB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díla, specifikovaného v čl. 2 této smlouvy je sjednána na základě nabídky zhotovitele ze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786C34" w:rsidRPr="006A0DA1">
        <w:rPr>
          <w:rFonts w:ascii="Arial" w:hAnsi="Arial" w:cs="Arial"/>
          <w:color w:val="000000"/>
          <w:sz w:val="20"/>
          <w:szCs w:val="20"/>
        </w:rPr>
        <w:t>d</w:t>
      </w:r>
      <w:r w:rsidR="00FA1BB7" w:rsidRPr="006A0DA1">
        <w:rPr>
          <w:rFonts w:ascii="Arial" w:hAnsi="Arial" w:cs="Arial"/>
          <w:color w:val="000000"/>
          <w:sz w:val="20"/>
          <w:szCs w:val="20"/>
        </w:rPr>
        <w:t>ne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6E03A7">
        <w:rPr>
          <w:rFonts w:ascii="Arial" w:hAnsi="Arial" w:cs="Arial"/>
          <w:color w:val="000000"/>
          <w:sz w:val="20"/>
          <w:szCs w:val="20"/>
        </w:rPr>
        <w:t>13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. </w:t>
      </w:r>
      <w:r w:rsidR="00DA6ED0">
        <w:rPr>
          <w:rFonts w:ascii="Arial" w:hAnsi="Arial" w:cs="Arial"/>
          <w:color w:val="000000"/>
          <w:sz w:val="20"/>
          <w:szCs w:val="20"/>
        </w:rPr>
        <w:t>0</w:t>
      </w:r>
      <w:r w:rsidR="006E03A7">
        <w:rPr>
          <w:rFonts w:ascii="Arial" w:hAnsi="Arial" w:cs="Arial"/>
          <w:color w:val="000000"/>
          <w:sz w:val="20"/>
          <w:szCs w:val="20"/>
        </w:rPr>
        <w:t>3</w:t>
      </w:r>
      <w:r w:rsidR="00A70854">
        <w:rPr>
          <w:rFonts w:ascii="Arial" w:hAnsi="Arial" w:cs="Arial"/>
          <w:color w:val="000000"/>
          <w:sz w:val="20"/>
          <w:szCs w:val="20"/>
        </w:rPr>
        <w:t>. 202</w:t>
      </w:r>
      <w:r w:rsidR="006E03A7">
        <w:rPr>
          <w:rFonts w:ascii="Arial" w:hAnsi="Arial" w:cs="Arial"/>
          <w:color w:val="000000"/>
          <w:sz w:val="20"/>
          <w:szCs w:val="20"/>
        </w:rPr>
        <w:t>4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a podmínek objednatele. Cena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 zahrnuje i náklady na vytyčení stávajících sítí a projednání uzavírky komunikace včetně značení. 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57D5EAC4" w14:textId="77777777" w:rsidR="00C547DE" w:rsidRPr="006A0DA1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49C53C5" w14:textId="0FE61658" w:rsidR="00C12E93" w:rsidRPr="006A0DA1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0DA1">
        <w:rPr>
          <w:rFonts w:ascii="Arial" w:hAnsi="Arial" w:cs="Arial"/>
          <w:b/>
          <w:color w:val="000000"/>
          <w:sz w:val="20"/>
          <w:szCs w:val="20"/>
        </w:rPr>
        <w:t xml:space="preserve">Celkem bez </w:t>
      </w:r>
      <w:proofErr w:type="gramStart"/>
      <w:r w:rsidRPr="006A0DA1">
        <w:rPr>
          <w:rFonts w:ascii="Arial" w:hAnsi="Arial" w:cs="Arial"/>
          <w:b/>
          <w:color w:val="000000"/>
          <w:sz w:val="20"/>
          <w:szCs w:val="20"/>
        </w:rPr>
        <w:t>DPH</w:t>
      </w:r>
      <w:r w:rsidR="009B52F6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="006E03A7">
        <w:rPr>
          <w:rFonts w:ascii="Arial" w:hAnsi="Arial" w:cs="Arial"/>
          <w:b/>
          <w:color w:val="000000"/>
          <w:sz w:val="20"/>
          <w:szCs w:val="20"/>
        </w:rPr>
        <w:t xml:space="preserve">462 851,20 </w:t>
      </w:r>
      <w:r w:rsidRPr="006A0DA1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3C467BFE" w14:textId="0B526FEE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DPH </w:t>
      </w:r>
      <w:proofErr w:type="gramStart"/>
      <w:r w:rsidRPr="006A0DA1">
        <w:rPr>
          <w:rFonts w:ascii="Arial" w:hAnsi="Arial" w:cs="Arial"/>
          <w:color w:val="000000"/>
          <w:sz w:val="20"/>
          <w:szCs w:val="20"/>
        </w:rPr>
        <w:t>21%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400040">
        <w:rPr>
          <w:rFonts w:ascii="Arial" w:hAnsi="Arial" w:cs="Arial"/>
          <w:color w:val="000000"/>
          <w:sz w:val="20"/>
          <w:szCs w:val="20"/>
        </w:rPr>
        <w:tab/>
      </w:r>
      <w:r w:rsidR="006E03A7">
        <w:rPr>
          <w:rFonts w:ascii="Arial" w:hAnsi="Arial" w:cs="Arial"/>
          <w:color w:val="000000"/>
          <w:sz w:val="20"/>
          <w:szCs w:val="20"/>
        </w:rPr>
        <w:t xml:space="preserve"> 97 198,75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770F876D" w14:textId="62F6B074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Celkem včetně DPH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6E03A7">
        <w:rPr>
          <w:rFonts w:ascii="Arial" w:hAnsi="Arial" w:cs="Arial"/>
          <w:color w:val="000000"/>
          <w:sz w:val="20"/>
          <w:szCs w:val="20"/>
        </w:rPr>
        <w:t>560 049,95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9D78F98" w14:textId="77777777" w:rsidR="00A04A9A" w:rsidRPr="006A0DA1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77777777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dně RTS, max. ale do její výše </w:t>
      </w:r>
      <w:proofErr w:type="gramStart"/>
      <w:r w:rsidR="00974BD0">
        <w:rPr>
          <w:rFonts w:ascii="Arial" w:hAnsi="Arial" w:cs="Arial"/>
          <w:color w:val="000000"/>
          <w:sz w:val="20"/>
          <w:szCs w:val="20"/>
        </w:rPr>
        <w:t>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0%</w:t>
      </w:r>
      <w:proofErr w:type="gramEnd"/>
      <w:r w:rsidR="004F76CB"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06E96C28" w14:textId="77777777" w:rsidR="00400040" w:rsidRPr="00854EE5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6DE6C" w14:textId="77777777" w:rsidR="00294301" w:rsidRPr="00854EE5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6E03A7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356851" w14:textId="77777777" w:rsidR="00C12E93" w:rsidRPr="00A70854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 správce stavby objednateli.</w:t>
      </w:r>
    </w:p>
    <w:p w14:paraId="2CEFC651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Smluvní strany se dohodly na možnosti vzájemného zápočtu závazků a pohledávek.</w:t>
      </w:r>
    </w:p>
    <w:p w14:paraId="0597D191" w14:textId="77777777" w:rsidR="00C12E93" w:rsidRPr="006A0DA1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Každá faktura bude mít náležitosti daňového dokladu dle §28, odst. 2 zákona 235/2004 Sb. V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případě, že účetní doklady nebudou mít odpovídající náležitosti, je objednatel oprávněn zaslat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je ve lhůtě splatnosti zpět zhotoviteli k doplnění, aniž se tak dostane do prodlení se splatností;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lhůta splatnosti počíná běžet znovu od opětovného zaslání náležitě doplněných či opravených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dokladů.</w:t>
      </w:r>
    </w:p>
    <w:p w14:paraId="2C4F6DBC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V každé faktuře bude zúčtováno DPH dle platných předpisů.</w:t>
      </w:r>
    </w:p>
    <w:p w14:paraId="7E3198C3" w14:textId="77777777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E7E61" w14:textId="77777777" w:rsidR="00F15746" w:rsidRPr="00854EE5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32DB9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6E03A7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sz w:val="24"/>
          <w:szCs w:val="24"/>
        </w:rPr>
      </w:pPr>
    </w:p>
    <w:p w14:paraId="169D36CD" w14:textId="77777777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284C1590" w14:textId="77777777" w:rsidR="00C12E93" w:rsidRPr="006A0DA1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Hranice předaného obvodu staveniště jsou pro zhotovitele závazné.</w:t>
      </w:r>
    </w:p>
    <w:p w14:paraId="09E40CE8" w14:textId="77777777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>Zhotovitel bude denně udržovat staveniště a stavbou dotčené komunikace čisté a 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 prováděním díla. V případě neplnění této povinnosti zajistí denní úklid objednatel,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a to na náklady zhotovitele.</w:t>
      </w:r>
    </w:p>
    <w:p w14:paraId="0CCFE0B9" w14:textId="77777777" w:rsidR="00C12E93" w:rsidRPr="00836FA1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O předání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staveniště a na konci díla o vyklizení staveniště vyhotoví TD</w:t>
      </w:r>
      <w:r w:rsidR="00A04A9A" w:rsidRPr="00836FA1">
        <w:rPr>
          <w:rFonts w:ascii="Arial" w:hAnsi="Arial" w:cs="Arial"/>
          <w:color w:val="000000"/>
          <w:sz w:val="20"/>
          <w:szCs w:val="20"/>
        </w:rPr>
        <w:t>S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 písemný protokol, který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obě strany podepíší.</w:t>
      </w:r>
    </w:p>
    <w:p w14:paraId="2DFB753B" w14:textId="77777777" w:rsidR="009E04D7" w:rsidRDefault="009E04D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8D5E9" w14:textId="77777777" w:rsidR="006615CD" w:rsidRPr="00854EE5" w:rsidRDefault="006615CD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55C70508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763CAE6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lhůta počíná běžet ode dne stanoveného v přejímacím protokolu podle této smlouvy.</w:t>
      </w:r>
    </w:p>
    <w:p w14:paraId="10FC30EA" w14:textId="77777777" w:rsidR="00C12E93" w:rsidRPr="00E76A95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lhůty na reklamovanou část díla se prodlužují o dobu, která počíná datem uplatnění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reklamace a končí dnem předání odstraněné vady zhotovitelem.</w:t>
      </w:r>
    </w:p>
    <w:p w14:paraId="35ED462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6AA9AC32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A3FEC6F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515E11E0" w14:textId="77777777" w:rsidR="00C12E93" w:rsidRPr="00E76A95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odstranit ve lhůtách dle bodu 8.4. na své náklady během záruční lhůty i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takovou vadu, u níž neuzná, že je za ni odpovědný. Konečná úhrada vzniklých nákladů bude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řešena oběma stranami v dalším řízení. Náklady na odstranění vady budou stanoveny dle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jednotkových cen dle smlouvy o dílo nebo s využitím normativní základny 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>RTS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20E09704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2E1CD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413EB2" w14:textId="69D20EB7" w:rsidR="00C12E93" w:rsidRPr="00E76A95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4 vyhotoveních v tištěné podobě i na CD)</w:t>
      </w:r>
      <w:r w:rsidRPr="00E76A95">
        <w:rPr>
          <w:rFonts w:ascii="Arial" w:hAnsi="Arial" w:cs="Arial"/>
          <w:color w:val="000000"/>
          <w:sz w:val="20"/>
          <w:szCs w:val="20"/>
        </w:rPr>
        <w:t>, jedná se o:</w:t>
      </w:r>
    </w:p>
    <w:p w14:paraId="47B05E4C" w14:textId="3B13DA1E" w:rsidR="00C12E93" w:rsidRPr="00E76A95" w:rsidRDefault="00EA0E92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) CD s fotodokumentací stavby (foto rýhy, armaturních uzlů, křížení se sítěmi, geologické vrstvy –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vše s popisem a staničením řadu), pasport okolních objektů, pozemků (foto před stavbou, po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stavbě)</w:t>
      </w:r>
    </w:p>
    <w:p w14:paraId="3B7917C7" w14:textId="77777777" w:rsidR="00AA4CEE" w:rsidRPr="006615CD" w:rsidRDefault="00AA4CE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008091A0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F5F57E7" w14:textId="77777777" w:rsidR="00C12E93" w:rsidRPr="00E76A95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Objednatel je oprávněn odmítnout převzetí díla obsahující vady, které samy o sobě nebo ve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svém úhrnu brání řádnému užívání díla. Existence jiných vad nebo nedodělků, které nebrání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řádnému užívání díla, není důvodem k tomu, aby objednatel dílo nepřevzal. Vadou se rozumí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odchylka v kvalitě a parametrech díla stanovených projektovou dokumentací, touto smlouvou a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obecně závaznými předpisy.</w:t>
      </w:r>
    </w:p>
    <w:p w14:paraId="67BC1C46" w14:textId="1BC7DFE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633B71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4E8F5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25078D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23166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7D7BE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2BE06" w14:textId="77777777" w:rsidR="0033405A" w:rsidRPr="00854EE5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31AA01E1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proofErr w:type="gramStart"/>
      <w:r w:rsidR="00EA0E92">
        <w:rPr>
          <w:rFonts w:ascii="Arial" w:hAnsi="Arial" w:cs="Arial"/>
          <w:color w:val="000000"/>
          <w:sz w:val="20"/>
          <w:szCs w:val="20"/>
        </w:rPr>
        <w:t>1</w:t>
      </w:r>
      <w:r w:rsidRPr="00A70854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Pr="00A70854">
        <w:rPr>
          <w:rFonts w:ascii="Arial" w:hAnsi="Arial" w:cs="Arial"/>
          <w:color w:val="000000"/>
          <w:sz w:val="20"/>
          <w:szCs w:val="20"/>
        </w:rPr>
        <w:t xml:space="preserve">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620686E7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nesplní povinnost danou odsouhlaseným zápisem ve stavebním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deníku, či odsouhlaseným zápisem z pracovní porady či kontrolního dne stavby, je 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EA0E92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21860849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33405A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086118B3" w14:textId="03169622" w:rsidR="00AB2F4A" w:rsidRPr="00AA4CEE" w:rsidRDefault="00AB2F4A" w:rsidP="006615CD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14:paraId="543F70DF" w14:textId="6106C7F1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0CFDDA0" w14:textId="77777777" w:rsidR="00C12E93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3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výtiscích, kdy objednatel o</w:t>
      </w:r>
      <w:r>
        <w:rPr>
          <w:rFonts w:ascii="Arial" w:hAnsi="Arial" w:cs="Arial"/>
          <w:color w:val="000000"/>
          <w:sz w:val="20"/>
          <w:szCs w:val="20"/>
        </w:rPr>
        <w:t>bdrží 2 výtisky a zhotovitel 1 výtisk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355FA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604B4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3F3FA9" w14:textId="1A6C68E7" w:rsidR="00C547DE" w:rsidRPr="00854EE5" w:rsidRDefault="00C12E93" w:rsidP="0065668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18.3.2024</w:t>
      </w:r>
      <w:r w:rsidR="00974BD0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18.3.2024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7423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51345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113AA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643ED263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31C65A9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5EEDAD91" w14:textId="591A1EF8" w:rsidR="00394591" w:rsidRPr="00854EE5" w:rsidRDefault="0033405A" w:rsidP="008B6D0A">
      <w:pPr>
        <w:tabs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B6D0A">
        <w:rPr>
          <w:rFonts w:ascii="Arial" w:hAnsi="Arial" w:cs="Arial"/>
          <w:b/>
          <w:bCs/>
          <w:sz w:val="20"/>
          <w:szCs w:val="20"/>
        </w:rPr>
        <w:t>Ředitel svazku</w:t>
      </w:r>
      <w:r w:rsidR="008B6D0A"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263E5A">
      <w:footerReference w:type="default" r:id="rId7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6528" w14:textId="77777777" w:rsidR="00263E5A" w:rsidRDefault="00263E5A" w:rsidP="00861194">
      <w:pPr>
        <w:spacing w:after="0" w:line="240" w:lineRule="auto"/>
      </w:pPr>
      <w:r>
        <w:separator/>
      </w:r>
    </w:p>
  </w:endnote>
  <w:endnote w:type="continuationSeparator" w:id="0">
    <w:p w14:paraId="34F8910B" w14:textId="77777777" w:rsidR="00263E5A" w:rsidRDefault="00263E5A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9685AF" w14:textId="3A8E6990" w:rsidR="00861194" w:rsidRDefault="00861194" w:rsidP="0065668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91FF" w14:textId="77777777" w:rsidR="00263E5A" w:rsidRDefault="00263E5A" w:rsidP="00861194">
      <w:pPr>
        <w:spacing w:after="0" w:line="240" w:lineRule="auto"/>
      </w:pPr>
      <w:r>
        <w:separator/>
      </w:r>
    </w:p>
  </w:footnote>
  <w:footnote w:type="continuationSeparator" w:id="0">
    <w:p w14:paraId="775ABDC2" w14:textId="77777777" w:rsidR="00263E5A" w:rsidRDefault="00263E5A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EE3E79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38161891">
    <w:abstractNumId w:val="7"/>
  </w:num>
  <w:num w:numId="2" w16cid:durableId="366758456">
    <w:abstractNumId w:val="1"/>
  </w:num>
  <w:num w:numId="3" w16cid:durableId="1468007237">
    <w:abstractNumId w:val="10"/>
  </w:num>
  <w:num w:numId="4" w16cid:durableId="542866679">
    <w:abstractNumId w:val="2"/>
  </w:num>
  <w:num w:numId="5" w16cid:durableId="1263687737">
    <w:abstractNumId w:val="6"/>
  </w:num>
  <w:num w:numId="6" w16cid:durableId="671840701">
    <w:abstractNumId w:val="5"/>
  </w:num>
  <w:num w:numId="7" w16cid:durableId="1689216773">
    <w:abstractNumId w:val="13"/>
  </w:num>
  <w:num w:numId="8" w16cid:durableId="1216039324">
    <w:abstractNumId w:val="9"/>
  </w:num>
  <w:num w:numId="9" w16cid:durableId="434331572">
    <w:abstractNumId w:val="14"/>
  </w:num>
  <w:num w:numId="10" w16cid:durableId="812596536">
    <w:abstractNumId w:val="11"/>
  </w:num>
  <w:num w:numId="11" w16cid:durableId="1284507505">
    <w:abstractNumId w:val="12"/>
  </w:num>
  <w:num w:numId="12" w16cid:durableId="1169253815">
    <w:abstractNumId w:val="4"/>
  </w:num>
  <w:num w:numId="13" w16cid:durableId="124659250">
    <w:abstractNumId w:val="3"/>
  </w:num>
  <w:num w:numId="14" w16cid:durableId="1821380538">
    <w:abstractNumId w:val="8"/>
  </w:num>
  <w:num w:numId="15" w16cid:durableId="949238988">
    <w:abstractNumId w:val="0"/>
  </w:num>
  <w:num w:numId="16" w16cid:durableId="1013652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22015"/>
    <w:rsid w:val="0005082B"/>
    <w:rsid w:val="00063AD6"/>
    <w:rsid w:val="0009440E"/>
    <w:rsid w:val="000A54C2"/>
    <w:rsid w:val="000B4ECC"/>
    <w:rsid w:val="000C02EA"/>
    <w:rsid w:val="000D2E0A"/>
    <w:rsid w:val="000F586F"/>
    <w:rsid w:val="0016573C"/>
    <w:rsid w:val="002046AC"/>
    <w:rsid w:val="0021140B"/>
    <w:rsid w:val="00217257"/>
    <w:rsid w:val="00263E5A"/>
    <w:rsid w:val="0027783A"/>
    <w:rsid w:val="00277FDC"/>
    <w:rsid w:val="00294301"/>
    <w:rsid w:val="002E5A4D"/>
    <w:rsid w:val="00300BC3"/>
    <w:rsid w:val="00314A41"/>
    <w:rsid w:val="00315590"/>
    <w:rsid w:val="00315DD7"/>
    <w:rsid w:val="0033405A"/>
    <w:rsid w:val="00337B42"/>
    <w:rsid w:val="00354A1D"/>
    <w:rsid w:val="00356E6F"/>
    <w:rsid w:val="00365CB1"/>
    <w:rsid w:val="00394591"/>
    <w:rsid w:val="003A0394"/>
    <w:rsid w:val="003F0344"/>
    <w:rsid w:val="00400040"/>
    <w:rsid w:val="00422650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4EC9"/>
    <w:rsid w:val="00552455"/>
    <w:rsid w:val="00581889"/>
    <w:rsid w:val="005A1A55"/>
    <w:rsid w:val="005B1583"/>
    <w:rsid w:val="006044D0"/>
    <w:rsid w:val="00612FF7"/>
    <w:rsid w:val="006346DE"/>
    <w:rsid w:val="00656683"/>
    <w:rsid w:val="006615CD"/>
    <w:rsid w:val="006A0DA1"/>
    <w:rsid w:val="006B09DC"/>
    <w:rsid w:val="006D6227"/>
    <w:rsid w:val="006E03A7"/>
    <w:rsid w:val="007040A6"/>
    <w:rsid w:val="00710DE1"/>
    <w:rsid w:val="00723F15"/>
    <w:rsid w:val="00777E99"/>
    <w:rsid w:val="00786C34"/>
    <w:rsid w:val="00794059"/>
    <w:rsid w:val="007B3841"/>
    <w:rsid w:val="007C68E1"/>
    <w:rsid w:val="007D26EB"/>
    <w:rsid w:val="007F60BA"/>
    <w:rsid w:val="008013E2"/>
    <w:rsid w:val="008116F3"/>
    <w:rsid w:val="00824E52"/>
    <w:rsid w:val="00836FA1"/>
    <w:rsid w:val="0084326E"/>
    <w:rsid w:val="00854EE5"/>
    <w:rsid w:val="00861194"/>
    <w:rsid w:val="00887BF9"/>
    <w:rsid w:val="008B6D0A"/>
    <w:rsid w:val="008C0A10"/>
    <w:rsid w:val="008C757A"/>
    <w:rsid w:val="008F7AA8"/>
    <w:rsid w:val="009368C8"/>
    <w:rsid w:val="0094582D"/>
    <w:rsid w:val="0095283E"/>
    <w:rsid w:val="0096275F"/>
    <w:rsid w:val="00974BD0"/>
    <w:rsid w:val="00994F8D"/>
    <w:rsid w:val="009A2708"/>
    <w:rsid w:val="009B52F6"/>
    <w:rsid w:val="009E04D7"/>
    <w:rsid w:val="00A04A9A"/>
    <w:rsid w:val="00A1211F"/>
    <w:rsid w:val="00A26920"/>
    <w:rsid w:val="00A320A2"/>
    <w:rsid w:val="00A33857"/>
    <w:rsid w:val="00A50161"/>
    <w:rsid w:val="00A54EC0"/>
    <w:rsid w:val="00A57086"/>
    <w:rsid w:val="00A70854"/>
    <w:rsid w:val="00A878B8"/>
    <w:rsid w:val="00AA1941"/>
    <w:rsid w:val="00AA24F3"/>
    <w:rsid w:val="00AA4CEE"/>
    <w:rsid w:val="00AB2F4A"/>
    <w:rsid w:val="00AE4E29"/>
    <w:rsid w:val="00B30D3E"/>
    <w:rsid w:val="00B633C2"/>
    <w:rsid w:val="00B814A8"/>
    <w:rsid w:val="00BA0545"/>
    <w:rsid w:val="00BC2212"/>
    <w:rsid w:val="00BE2F4B"/>
    <w:rsid w:val="00BF038E"/>
    <w:rsid w:val="00C12E93"/>
    <w:rsid w:val="00C13E43"/>
    <w:rsid w:val="00C44DC1"/>
    <w:rsid w:val="00C53500"/>
    <w:rsid w:val="00C547DE"/>
    <w:rsid w:val="00C55B40"/>
    <w:rsid w:val="00C55E97"/>
    <w:rsid w:val="00C82C1D"/>
    <w:rsid w:val="00C93695"/>
    <w:rsid w:val="00CE3EAB"/>
    <w:rsid w:val="00CF4192"/>
    <w:rsid w:val="00D715B6"/>
    <w:rsid w:val="00D91497"/>
    <w:rsid w:val="00DA1255"/>
    <w:rsid w:val="00DA6ED0"/>
    <w:rsid w:val="00E103FC"/>
    <w:rsid w:val="00E76A95"/>
    <w:rsid w:val="00E9627D"/>
    <w:rsid w:val="00EA0E92"/>
    <w:rsid w:val="00F15746"/>
    <w:rsid w:val="00F235FF"/>
    <w:rsid w:val="00F261B3"/>
    <w:rsid w:val="00F5549C"/>
    <w:rsid w:val="00FA1BB7"/>
    <w:rsid w:val="00FA44B5"/>
    <w:rsid w:val="00FD6F95"/>
    <w:rsid w:val="00FE021E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1582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5</cp:revision>
  <cp:lastPrinted>2023-03-15T12:43:00Z</cp:lastPrinted>
  <dcterms:created xsi:type="dcterms:W3CDTF">2024-03-14T08:03:00Z</dcterms:created>
  <dcterms:modified xsi:type="dcterms:W3CDTF">2024-03-21T07:10:00Z</dcterms:modified>
</cp:coreProperties>
</file>