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7221400066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t>Servisní</w:t>
      </w:r>
      <w:r>
        <w:rPr>
          <w:spacing w:val="-7"/>
        </w:rPr>
        <w:t> </w:t>
      </w:r>
      <w:r>
        <w:rPr/>
        <w:t>středisko</w:t>
      </w:r>
      <w:r>
        <w:rPr>
          <w:spacing w:val="-7"/>
        </w:rPr>
        <w:t> </w:t>
      </w:r>
      <w:r>
        <w:rPr/>
        <w:t>pro</w:t>
      </w:r>
      <w:r>
        <w:rPr>
          <w:spacing w:val="-7"/>
        </w:rPr>
        <w:t> </w:t>
      </w:r>
      <w:r>
        <w:rPr/>
        <w:t>správu</w:t>
      </w:r>
      <w:r>
        <w:rPr>
          <w:spacing w:val="-8"/>
        </w:rPr>
        <w:t> </w:t>
      </w:r>
      <w:r>
        <w:rPr/>
        <w:t>svěřeného</w:t>
      </w:r>
      <w:r>
        <w:rPr>
          <w:spacing w:val="-4"/>
        </w:rPr>
        <w:t> </w:t>
      </w:r>
      <w:r>
        <w:rPr/>
        <w:t>majetku</w:t>
      </w:r>
      <w:r>
        <w:rPr>
          <w:spacing w:val="-8"/>
        </w:rPr>
        <w:t> </w:t>
      </w:r>
      <w:r>
        <w:rPr/>
        <w:t>Městské</w:t>
      </w:r>
      <w:r>
        <w:rPr>
          <w:spacing w:val="-8"/>
        </w:rPr>
        <w:t> </w:t>
      </w:r>
      <w:r>
        <w:rPr/>
        <w:t>části</w:t>
      </w:r>
      <w:r>
        <w:rPr>
          <w:spacing w:val="-7"/>
        </w:rPr>
        <w:t> </w:t>
      </w:r>
      <w:r>
        <w:rPr/>
        <w:t>Praha</w:t>
      </w:r>
      <w:r>
        <w:rPr>
          <w:spacing w:val="-7"/>
        </w:rPr>
        <w:t> </w:t>
      </w:r>
      <w:r>
        <w:rPr/>
        <w:t>8,</w:t>
      </w:r>
      <w:r>
        <w:rPr>
          <w:spacing w:val="-6"/>
        </w:rPr>
        <w:t> </w:t>
      </w:r>
      <w:r>
        <w:rPr/>
        <w:t>příspěvková</w:t>
      </w:r>
      <w:r>
        <w:rPr>
          <w:spacing w:val="-7"/>
        </w:rPr>
        <w:t> </w:t>
      </w:r>
      <w:r>
        <w:rPr>
          <w:spacing w:val="-2"/>
        </w:rPr>
        <w:t>organizace</w:t>
      </w:r>
    </w:p>
    <w:p>
      <w:pPr>
        <w:pStyle w:val="BodyText"/>
        <w:tabs>
          <w:tab w:pos="2982" w:val="left" w:leader="none"/>
        </w:tabs>
        <w:ind w:left="102"/>
      </w:pPr>
      <w:r>
        <w:rPr/>
        <w:t>se</w:t>
      </w:r>
      <w:r>
        <w:rPr>
          <w:spacing w:val="-5"/>
        </w:rPr>
        <w:t> </w:t>
      </w:r>
      <w:r>
        <w:rPr>
          <w:spacing w:val="-2"/>
        </w:rPr>
        <w:t>sídlem:</w:t>
      </w:r>
      <w:r>
        <w:rPr/>
        <w:tab/>
        <w:t>U</w:t>
      </w:r>
      <w:r>
        <w:rPr>
          <w:spacing w:val="-6"/>
        </w:rPr>
        <w:t> </w:t>
      </w:r>
      <w:r>
        <w:rPr/>
        <w:t>synagogy</w:t>
      </w:r>
      <w:r>
        <w:rPr>
          <w:spacing w:val="-5"/>
        </w:rPr>
        <w:t> </w:t>
      </w:r>
      <w:r>
        <w:rPr/>
        <w:t>236/2,</w:t>
      </w:r>
      <w:r>
        <w:rPr>
          <w:spacing w:val="-6"/>
        </w:rPr>
        <w:t> </w:t>
      </w:r>
      <w:r>
        <w:rPr/>
        <w:t>Libeň,</w:t>
      </w:r>
      <w:r>
        <w:rPr>
          <w:spacing w:val="-5"/>
        </w:rPr>
        <w:t> </w:t>
      </w:r>
      <w:r>
        <w:rPr/>
        <w:t>180</w:t>
      </w:r>
      <w:r>
        <w:rPr>
          <w:spacing w:val="-1"/>
        </w:rPr>
        <w:t> </w:t>
      </w:r>
      <w:r>
        <w:rPr/>
        <w:t>00</w:t>
      </w:r>
      <w:r>
        <w:rPr>
          <w:spacing w:val="-5"/>
        </w:rPr>
        <w:t> </w:t>
      </w:r>
      <w:r>
        <w:rPr/>
        <w:t>Praha</w:t>
      </w:r>
      <w:r>
        <w:rPr>
          <w:spacing w:val="-5"/>
        </w:rPr>
        <w:t> </w:t>
      </w:r>
      <w:r>
        <w:rPr>
          <w:spacing w:val="-10"/>
        </w:rPr>
        <w:t>8</w:t>
      </w:r>
    </w:p>
    <w:p>
      <w:pPr>
        <w:pStyle w:val="BodyText"/>
        <w:tabs>
          <w:tab w:pos="2982" w:val="left" w:leader="none"/>
        </w:tabs>
        <w:spacing w:line="265" w:lineRule="exact" w:before="1"/>
        <w:ind w:left="102"/>
      </w:pPr>
      <w:r>
        <w:rPr>
          <w:spacing w:val="-4"/>
        </w:rPr>
        <w:t>IČO:</w:t>
      </w:r>
      <w:r>
        <w:rPr/>
        <w:tab/>
      </w:r>
      <w:r>
        <w:rPr>
          <w:spacing w:val="-2"/>
        </w:rPr>
        <w:t>00639524</w:t>
      </w:r>
    </w:p>
    <w:p>
      <w:pPr>
        <w:pStyle w:val="BodyText"/>
        <w:tabs>
          <w:tab w:pos="2982" w:val="left" w:leader="none"/>
        </w:tabs>
        <w:spacing w:line="265" w:lineRule="exact"/>
        <w:ind w:left="102"/>
      </w:pPr>
      <w:r>
        <w:rPr>
          <w:spacing w:val="-2"/>
        </w:rPr>
        <w:t>zastoupená:</w:t>
      </w:r>
      <w:r>
        <w:rPr/>
        <w:tab/>
        <w:t>Ing.</w:t>
      </w:r>
      <w:r>
        <w:rPr>
          <w:spacing w:val="-3"/>
        </w:rPr>
        <w:t> </w:t>
      </w:r>
      <w:r>
        <w:rPr/>
        <w:t>Stanislavem</w:t>
      </w:r>
      <w:r>
        <w:rPr>
          <w:spacing w:val="-4"/>
        </w:rPr>
        <w:t> </w:t>
      </w:r>
      <w:r>
        <w:rPr/>
        <w:t>H</w:t>
      </w:r>
      <w:r>
        <w:rPr>
          <w:spacing w:val="-3"/>
        </w:rPr>
        <w:t> </w:t>
      </w:r>
      <w:r>
        <w:rPr/>
        <w:t>l</w:t>
      </w:r>
      <w:r>
        <w:rPr>
          <w:spacing w:val="-3"/>
        </w:rPr>
        <w:t> </w:t>
      </w:r>
      <w:r>
        <w:rPr/>
        <w:t>a</w:t>
      </w:r>
      <w:r>
        <w:rPr>
          <w:spacing w:val="-4"/>
        </w:rPr>
        <w:t> </w:t>
      </w:r>
      <w:r>
        <w:rPr/>
        <w:t>d</w:t>
      </w:r>
      <w:r>
        <w:rPr>
          <w:spacing w:val="-1"/>
        </w:rPr>
        <w:t> </w:t>
      </w:r>
      <w:r>
        <w:rPr/>
        <w:t>i</w:t>
      </w:r>
      <w:r>
        <w:rPr>
          <w:spacing w:val="-3"/>
        </w:rPr>
        <w:t> </w:t>
      </w:r>
      <w:r>
        <w:rPr/>
        <w:t>š</w:t>
      </w:r>
      <w:r>
        <w:rPr>
          <w:spacing w:val="-1"/>
        </w:rPr>
        <w:t> </w:t>
      </w:r>
      <w:r>
        <w:rPr/>
        <w:t>e</w:t>
      </w:r>
      <w:r>
        <w:rPr>
          <w:spacing w:val="-4"/>
        </w:rPr>
        <w:t> </w:t>
      </w:r>
      <w:r>
        <w:rPr/>
        <w:t>m,</w:t>
      </w:r>
      <w:r>
        <w:rPr>
          <w:spacing w:val="-4"/>
        </w:rPr>
        <w:t> </w:t>
      </w:r>
      <w:r>
        <w:rPr>
          <w:spacing w:val="-2"/>
        </w:rPr>
        <w:t>ředitelem</w:t>
      </w:r>
    </w:p>
    <w:p>
      <w:pPr>
        <w:pStyle w:val="BodyText"/>
        <w:tabs>
          <w:tab w:pos="2982" w:val="left" w:leader="none"/>
        </w:tabs>
        <w:ind w:left="102"/>
      </w:pPr>
      <w:r>
        <w:rPr/>
        <w:t>bankovní</w:t>
      </w:r>
      <w:r>
        <w:rPr>
          <w:spacing w:val="-10"/>
        </w:rPr>
        <w:t> </w:t>
      </w:r>
      <w:r>
        <w:rPr>
          <w:spacing w:val="-2"/>
        </w:rPr>
        <w:t>spojení:</w:t>
      </w:r>
      <w:r>
        <w:rPr/>
        <w:tab/>
        <w:t>Komerční</w:t>
      </w:r>
      <w:r>
        <w:rPr>
          <w:spacing w:val="-8"/>
        </w:rPr>
        <w:t> </w:t>
      </w:r>
      <w:r>
        <w:rPr/>
        <w:t>banka,</w:t>
      </w:r>
      <w:r>
        <w:rPr>
          <w:spacing w:val="-8"/>
        </w:rPr>
        <w:t> </w:t>
      </w:r>
      <w:r>
        <w:rPr>
          <w:spacing w:val="-4"/>
        </w:rPr>
        <w:t>a.s.</w:t>
      </w:r>
    </w:p>
    <w:p>
      <w:pPr>
        <w:pStyle w:val="BodyText"/>
        <w:tabs>
          <w:tab w:pos="2982" w:val="left" w:leader="none"/>
        </w:tabs>
        <w:ind w:left="102" w:right="5262"/>
      </w:pPr>
      <w:r>
        <w:rPr/>
        <w:t>číslo účtu:</w:t>
        <w:tab/>
      </w:r>
      <w:r>
        <w:rPr>
          <w:spacing w:val="-2"/>
        </w:rPr>
        <w:t>19838081/0100 </w:t>
      </w:r>
      <w:r>
        <w:rPr/>
        <w:t>(dále jen „příjemce podpory“)</w:t>
      </w:r>
    </w:p>
    <w:p>
      <w:pPr>
        <w:pStyle w:val="BodyText"/>
        <w:spacing w:before="1"/>
      </w:pPr>
    </w:p>
    <w:p>
      <w:pPr>
        <w:pStyle w:val="BodyText"/>
        <w:spacing w:before="1"/>
        <w:ind w:left="102"/>
      </w:pPr>
      <w:r>
        <w:rPr/>
        <w:t>se</w:t>
      </w:r>
      <w:r>
        <w:rPr>
          <w:spacing w:val="-7"/>
        </w:rPr>
        <w:t> </w:t>
      </w:r>
      <w:r>
        <w:rPr/>
        <w:t>dohodly</w:t>
      </w:r>
      <w:r>
        <w:rPr>
          <w:spacing w:val="-6"/>
        </w:rPr>
        <w:t> </w:t>
      </w:r>
      <w:r>
        <w:rPr>
          <w:spacing w:val="-2"/>
        </w:rPr>
        <w:t>takto:</w:t>
      </w:r>
    </w:p>
    <w:p>
      <w:pPr>
        <w:pStyle w:val="BodyText"/>
        <w:spacing w:before="11"/>
        <w:rPr>
          <w:sz w:val="19"/>
        </w:rPr>
      </w:pPr>
    </w:p>
    <w:p>
      <w:pPr>
        <w:pStyle w:val="Heading1"/>
        <w:ind w:left="2296" w:right="2305"/>
      </w:pPr>
      <w:r>
        <w:rPr>
          <w:spacing w:val="-5"/>
        </w:rPr>
        <w:t>I.</w:t>
      </w:r>
    </w:p>
    <w:p>
      <w:pPr>
        <w:pStyle w:val="Heading2"/>
        <w:spacing w:before="1"/>
        <w:ind w:left="3135" w:right="3148"/>
      </w:pPr>
      <w:r>
        <w:rPr/>
        <w:t>Předmět</w:t>
      </w:r>
      <w:r>
        <w:rPr>
          <w:spacing w:val="-12"/>
        </w:rPr>
        <w:t> </w:t>
      </w:r>
      <w:r>
        <w:rPr>
          <w:spacing w:val="-2"/>
        </w:rPr>
        <w:t>smlouvy</w:t>
      </w:r>
    </w:p>
    <w:p>
      <w:pPr>
        <w:pStyle w:val="BodyText"/>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spacing w:before="1"/>
        <w:ind w:left="385" w:right="111"/>
        <w:jc w:val="both"/>
      </w:pPr>
      <w:r>
        <w:rPr/>
        <w:t>„Smlouva“) se uzavírá na základě Rozhodnutí ministra životního prostředí č. 7221400066 o poskytnutí finančních prostředků ze Státního fondu životního prostředí ČR ze dne 22. 12.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19" w:after="0"/>
        <w:ind w:left="385" w:right="112" w:hanging="284"/>
        <w:jc w:val="both"/>
        <w:rPr>
          <w:sz w:val="20"/>
        </w:rPr>
      </w:pPr>
      <w:r>
        <w:rPr>
          <w:sz w:val="20"/>
        </w:rPr>
        <w:t>Příjemce podpory potvrzuje, že se seznámil s Výzvou RES+ 4/2022 k</w:t>
      </w:r>
      <w:r>
        <w:rPr>
          <w:spacing w:val="-4"/>
          <w:sz w:val="20"/>
        </w:rPr>
        <w:t> </w:t>
      </w:r>
      <w:r>
        <w:rPr>
          <w:sz w:val="20"/>
        </w:rPr>
        <w:t>předkládání žádostí o poskytnutí podpory z</w:t>
      </w:r>
      <w:r>
        <w:rPr>
          <w:spacing w:val="-1"/>
          <w:sz w:val="20"/>
        </w:rPr>
        <w:t> </w:t>
      </w:r>
      <w:r>
        <w:rPr>
          <w:sz w:val="20"/>
        </w:rPr>
        <w:t>prostředků Modernizačního fondu (dále jen „Výzva“), a že náležitosti akce odpovídají podmínkám stanoveným Rozhodnutím a Výzvou.</w:t>
      </w:r>
    </w:p>
    <w:p>
      <w:pPr>
        <w:pStyle w:val="ListParagraph"/>
        <w:numPr>
          <w:ilvl w:val="0"/>
          <w:numId w:val="1"/>
        </w:numPr>
        <w:tabs>
          <w:tab w:pos="386" w:val="left" w:leader="none"/>
        </w:tabs>
        <w:spacing w:line="240" w:lineRule="auto" w:before="121"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5"/>
          <w:sz w:val="20"/>
        </w:rPr>
        <w:t> </w:t>
      </w:r>
      <w:r>
        <w:rPr>
          <w:sz w:val="20"/>
        </w:rPr>
        <w:t>výhradně</w:t>
      </w:r>
      <w:r>
        <w:rPr>
          <w:spacing w:val="-5"/>
          <w:sz w:val="20"/>
        </w:rPr>
        <w:t> </w:t>
      </w:r>
      <w:r>
        <w:rPr>
          <w:sz w:val="20"/>
        </w:rPr>
        <w:t>na</w:t>
      </w:r>
      <w:r>
        <w:rPr>
          <w:spacing w:val="-5"/>
          <w:sz w:val="20"/>
        </w:rPr>
        <w:t> </w:t>
      </w:r>
      <w:r>
        <w:rPr>
          <w:spacing w:val="-2"/>
          <w:sz w:val="20"/>
        </w:rPr>
        <w:t>akci:</w:t>
      </w:r>
    </w:p>
    <w:p>
      <w:pPr>
        <w:pStyle w:val="Heading2"/>
        <w:spacing w:before="121"/>
        <w:ind w:left="2296" w:right="2305"/>
      </w:pPr>
      <w:r>
        <w:rPr/>
        <w:t>„FVE</w:t>
      </w:r>
      <w:r>
        <w:rPr>
          <w:spacing w:val="-5"/>
        </w:rPr>
        <w:t> </w:t>
      </w:r>
      <w:r>
        <w:rPr/>
        <w:t>KD</w:t>
      </w:r>
      <w:r>
        <w:rPr>
          <w:spacing w:val="-5"/>
        </w:rPr>
        <w:t> </w:t>
      </w:r>
      <w:r>
        <w:rPr/>
        <w:t>Krakov</w:t>
      </w:r>
      <w:r>
        <w:rPr>
          <w:spacing w:val="-5"/>
        </w:rPr>
        <w:t> </w:t>
      </w:r>
      <w:r>
        <w:rPr/>
        <w:t>a</w:t>
      </w:r>
      <w:r>
        <w:rPr>
          <w:spacing w:val="-4"/>
        </w:rPr>
        <w:t> </w:t>
      </w:r>
      <w:r>
        <w:rPr/>
        <w:t>ZŠ</w:t>
      </w:r>
      <w:r>
        <w:rPr>
          <w:spacing w:val="-4"/>
        </w:rPr>
        <w:t> </w:t>
      </w:r>
      <w:r>
        <w:rPr>
          <w:spacing w:val="-2"/>
        </w:rPr>
        <w:t>Burešova“</w:t>
      </w:r>
    </w:p>
    <w:p>
      <w:pPr>
        <w:pStyle w:val="BodyText"/>
        <w:spacing w:before="118"/>
        <w:ind w:left="385"/>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after="0"/>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114" w:hanging="284"/>
        <w:jc w:val="both"/>
        <w:rPr>
          <w:sz w:val="20"/>
        </w:rPr>
      </w:pPr>
      <w:r>
        <w:rPr>
          <w:sz w:val="20"/>
        </w:rPr>
        <w:t>Podpora</w:t>
      </w:r>
      <w:r>
        <w:rPr>
          <w:spacing w:val="-1"/>
          <w:sz w:val="20"/>
        </w:rPr>
        <w:t> </w:t>
      </w:r>
      <w:r>
        <w:rPr>
          <w:sz w:val="20"/>
        </w:rPr>
        <w:t>je</w:t>
      </w:r>
      <w:r>
        <w:rPr>
          <w:spacing w:val="-2"/>
          <w:sz w:val="20"/>
        </w:rPr>
        <w:t> </w:t>
      </w:r>
      <w:r>
        <w:rPr>
          <w:sz w:val="20"/>
        </w:rPr>
        <w:t>poskytována</w:t>
      </w:r>
      <w:r>
        <w:rPr>
          <w:spacing w:val="-1"/>
          <w:sz w:val="20"/>
        </w:rPr>
        <w:t> </w:t>
      </w:r>
      <w:r>
        <w:rPr>
          <w:sz w:val="20"/>
        </w:rPr>
        <w:t>v souladu</w:t>
      </w:r>
      <w:r>
        <w:rPr>
          <w:spacing w:val="-1"/>
          <w:sz w:val="20"/>
        </w:rPr>
        <w:t> </w:t>
      </w:r>
      <w:r>
        <w:rPr>
          <w:sz w:val="20"/>
        </w:rPr>
        <w:t>s</w:t>
      </w:r>
      <w:r>
        <w:rPr>
          <w:spacing w:val="-1"/>
          <w:sz w:val="20"/>
        </w:rPr>
        <w:t> </w:t>
      </w:r>
      <w:r>
        <w:rPr>
          <w:sz w:val="20"/>
        </w:rPr>
        <w:t>Nařízením</w:t>
      </w:r>
      <w:r>
        <w:rPr>
          <w:spacing w:val="-2"/>
          <w:sz w:val="20"/>
        </w:rPr>
        <w:t> </w:t>
      </w:r>
      <w:r>
        <w:rPr>
          <w:sz w:val="20"/>
        </w:rPr>
        <w:t>Komise (EU)</w:t>
      </w:r>
      <w:r>
        <w:rPr>
          <w:spacing w:val="-1"/>
          <w:sz w:val="20"/>
        </w:rPr>
        <w:t> </w:t>
      </w:r>
      <w:r>
        <w:rPr>
          <w:sz w:val="20"/>
        </w:rPr>
        <w:t>č.</w:t>
      </w:r>
      <w:r>
        <w:rPr>
          <w:spacing w:val="-1"/>
          <w:sz w:val="20"/>
        </w:rPr>
        <w:t> </w:t>
      </w:r>
      <w:r>
        <w:rPr>
          <w:sz w:val="20"/>
        </w:rPr>
        <w:t>651/2014</w:t>
      </w:r>
      <w:r>
        <w:rPr>
          <w:spacing w:val="-1"/>
          <w:sz w:val="20"/>
        </w:rPr>
        <w:t> </w:t>
      </w:r>
      <w:r>
        <w:rPr>
          <w:sz w:val="20"/>
        </w:rPr>
        <w:t>ze</w:t>
      </w:r>
      <w:r>
        <w:rPr>
          <w:spacing w:val="-2"/>
          <w:sz w:val="20"/>
        </w:rPr>
        <w:t> </w:t>
      </w:r>
      <w:r>
        <w:rPr>
          <w:sz w:val="20"/>
        </w:rPr>
        <w:t>dne</w:t>
      </w:r>
      <w:r>
        <w:rPr>
          <w:spacing w:val="-1"/>
          <w:sz w:val="20"/>
        </w:rPr>
        <w:t> </w:t>
      </w:r>
      <w:r>
        <w:rPr>
          <w:sz w:val="20"/>
        </w:rPr>
        <w:t>17.</w:t>
      </w:r>
      <w:r>
        <w:rPr>
          <w:spacing w:val="-3"/>
          <w:sz w:val="20"/>
        </w:rPr>
        <w:t> </w:t>
      </w:r>
      <w:r>
        <w:rPr>
          <w:sz w:val="20"/>
        </w:rPr>
        <w:t>června</w:t>
      </w:r>
      <w:r>
        <w:rPr>
          <w:spacing w:val="-1"/>
          <w:sz w:val="20"/>
        </w:rPr>
        <w:t> </w:t>
      </w:r>
      <w:r>
        <w:rPr>
          <w:sz w:val="20"/>
        </w:rPr>
        <w:t>2014,</w:t>
      </w:r>
      <w:r>
        <w:rPr>
          <w:spacing w:val="-1"/>
          <w:sz w:val="20"/>
        </w:rPr>
        <w:t> </w:t>
      </w:r>
      <w:r>
        <w:rPr>
          <w:sz w:val="20"/>
        </w:rPr>
        <w:t>kterým se v souladu s články 107 a 108 Smlouvy prohlašují určité kategorie podpory za slučitelné s vnitřním trhem</w:t>
      </w:r>
      <w:r>
        <w:rPr>
          <w:spacing w:val="-12"/>
          <w:sz w:val="20"/>
        </w:rPr>
        <w:t> </w:t>
      </w:r>
      <w:r>
        <w:rPr>
          <w:sz w:val="20"/>
        </w:rPr>
        <w:t>(obecné</w:t>
      </w:r>
      <w:r>
        <w:rPr>
          <w:spacing w:val="-11"/>
          <w:sz w:val="20"/>
        </w:rPr>
        <w:t> </w:t>
      </w:r>
      <w:r>
        <w:rPr>
          <w:sz w:val="20"/>
        </w:rPr>
        <w:t>nařízení</w:t>
      </w:r>
      <w:r>
        <w:rPr>
          <w:spacing w:val="-11"/>
          <w:sz w:val="20"/>
        </w:rPr>
        <w:t> </w:t>
      </w:r>
      <w:r>
        <w:rPr>
          <w:sz w:val="20"/>
        </w:rPr>
        <w:t>o</w:t>
      </w:r>
      <w:r>
        <w:rPr>
          <w:spacing w:val="-11"/>
          <w:sz w:val="20"/>
        </w:rPr>
        <w:t> </w:t>
      </w:r>
      <w:r>
        <w:rPr>
          <w:sz w:val="20"/>
        </w:rPr>
        <w:t>blokových</w:t>
      </w:r>
      <w:r>
        <w:rPr>
          <w:spacing w:val="-11"/>
          <w:sz w:val="20"/>
        </w:rPr>
        <w:t> </w:t>
      </w:r>
      <w:r>
        <w:rPr>
          <w:sz w:val="20"/>
        </w:rPr>
        <w:t>výjimkách),</w:t>
      </w:r>
      <w:r>
        <w:rPr>
          <w:spacing w:val="-11"/>
          <w:sz w:val="20"/>
        </w:rPr>
        <w:t> </w:t>
      </w:r>
      <w:r>
        <w:rPr>
          <w:sz w:val="20"/>
        </w:rPr>
        <w:t>zveřejněném</w:t>
      </w:r>
      <w:r>
        <w:rPr>
          <w:spacing w:val="-12"/>
          <w:sz w:val="20"/>
        </w:rPr>
        <w:t> </w:t>
      </w:r>
      <w:r>
        <w:rPr>
          <w:sz w:val="20"/>
        </w:rPr>
        <w:t>v</w:t>
      </w:r>
      <w:r>
        <w:rPr>
          <w:spacing w:val="-11"/>
          <w:sz w:val="20"/>
        </w:rPr>
        <w:t> </w:t>
      </w:r>
      <w:r>
        <w:rPr>
          <w:sz w:val="20"/>
        </w:rPr>
        <w:t>Úředním</w:t>
      </w:r>
      <w:r>
        <w:rPr>
          <w:spacing w:val="-12"/>
          <w:sz w:val="20"/>
        </w:rPr>
        <w:t> </w:t>
      </w:r>
      <w:r>
        <w:rPr>
          <w:sz w:val="20"/>
        </w:rPr>
        <w:t>věstníku</w:t>
      </w:r>
      <w:r>
        <w:rPr>
          <w:spacing w:val="-11"/>
          <w:sz w:val="20"/>
        </w:rPr>
        <w:t> </w:t>
      </w:r>
      <w:r>
        <w:rPr>
          <w:sz w:val="20"/>
        </w:rPr>
        <w:t>EU</w:t>
      </w:r>
      <w:r>
        <w:rPr>
          <w:spacing w:val="-11"/>
          <w:sz w:val="20"/>
        </w:rPr>
        <w:t> </w:t>
      </w:r>
      <w:r>
        <w:rPr>
          <w:sz w:val="20"/>
        </w:rPr>
        <w:t>dne</w:t>
      </w:r>
      <w:r>
        <w:rPr>
          <w:spacing w:val="-11"/>
          <w:sz w:val="20"/>
        </w:rPr>
        <w:t> </w:t>
      </w:r>
      <w:r>
        <w:rPr>
          <w:sz w:val="20"/>
        </w:rPr>
        <w:t>26.</w:t>
      </w:r>
      <w:r>
        <w:rPr>
          <w:spacing w:val="-11"/>
          <w:sz w:val="20"/>
        </w:rPr>
        <w:t> </w:t>
      </w:r>
      <w:r>
        <w:rPr>
          <w:sz w:val="20"/>
        </w:rPr>
        <w:t>června</w:t>
      </w:r>
      <w:r>
        <w:rPr>
          <w:spacing w:val="-11"/>
          <w:sz w:val="20"/>
        </w:rPr>
        <w:t> </w:t>
      </w:r>
      <w:r>
        <w:rPr>
          <w:sz w:val="20"/>
        </w:rPr>
        <w:t>2014 a jejím oznámením SA.63670.</w:t>
      </w:r>
    </w:p>
    <w:p>
      <w:pPr>
        <w:pStyle w:val="BodyText"/>
        <w:spacing w:before="13"/>
        <w:rPr>
          <w:sz w:val="19"/>
        </w:rPr>
      </w:pPr>
    </w:p>
    <w:p>
      <w:pPr>
        <w:pStyle w:val="Heading1"/>
        <w:ind w:left="3143" w:right="2799"/>
      </w:pPr>
      <w:r>
        <w:rPr>
          <w:spacing w:val="-5"/>
        </w:rPr>
        <w:t>II.</w:t>
      </w:r>
    </w:p>
    <w:p>
      <w:pPr>
        <w:pStyle w:val="Heading2"/>
        <w:ind w:left="3143" w:right="2798"/>
      </w:pPr>
      <w:r>
        <w:rPr/>
        <w:t>Výše</w:t>
      </w:r>
      <w:r>
        <w:rPr>
          <w:spacing w:val="-6"/>
        </w:rPr>
        <w:t> </w:t>
      </w:r>
      <w:r>
        <w:rPr>
          <w:spacing w:val="-2"/>
        </w:rPr>
        <w:t>dotace</w:t>
      </w:r>
    </w:p>
    <w:p>
      <w:pPr>
        <w:pStyle w:val="BodyText"/>
        <w:spacing w:before="12"/>
        <w:rPr>
          <w:b/>
          <w:sz w:val="19"/>
        </w:rPr>
      </w:pPr>
    </w:p>
    <w:p>
      <w:pPr>
        <w:pStyle w:val="ListParagraph"/>
        <w:numPr>
          <w:ilvl w:val="0"/>
          <w:numId w:val="2"/>
        </w:numPr>
        <w:tabs>
          <w:tab w:pos="386" w:val="left" w:leader="none"/>
        </w:tabs>
        <w:spacing w:line="240" w:lineRule="auto" w:before="0" w:after="0"/>
        <w:ind w:left="385" w:right="112"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w:t>
      </w:r>
      <w:r>
        <w:rPr>
          <w:spacing w:val="-1"/>
          <w:sz w:val="20"/>
        </w:rPr>
        <w:t> </w:t>
      </w:r>
      <w:r>
        <w:rPr>
          <w:sz w:val="20"/>
        </w:rPr>
        <w:t>dotace</w:t>
      </w:r>
      <w:r>
        <w:rPr>
          <w:spacing w:val="-2"/>
          <w:sz w:val="20"/>
        </w:rPr>
        <w:t> </w:t>
      </w:r>
      <w:r>
        <w:rPr>
          <w:sz w:val="20"/>
        </w:rPr>
        <w:t>ve</w:t>
      </w:r>
      <w:r>
        <w:rPr>
          <w:spacing w:val="-1"/>
          <w:sz w:val="20"/>
        </w:rPr>
        <w:t> </w:t>
      </w:r>
      <w:r>
        <w:rPr>
          <w:sz w:val="20"/>
        </w:rPr>
        <w:t>výši </w:t>
      </w:r>
      <w:r>
        <w:rPr>
          <w:b/>
          <w:sz w:val="20"/>
        </w:rPr>
        <w:t>2</w:t>
      </w:r>
      <w:r>
        <w:rPr>
          <w:b/>
          <w:spacing w:val="-3"/>
          <w:sz w:val="20"/>
        </w:rPr>
        <w:t> </w:t>
      </w:r>
      <w:r>
        <w:rPr>
          <w:b/>
          <w:sz w:val="20"/>
        </w:rPr>
        <w:t>597</w:t>
      </w:r>
      <w:r>
        <w:rPr>
          <w:b/>
          <w:spacing w:val="-3"/>
          <w:sz w:val="20"/>
        </w:rPr>
        <w:t> </w:t>
      </w:r>
      <w:r>
        <w:rPr>
          <w:b/>
          <w:sz w:val="20"/>
        </w:rPr>
        <w:t>264,00 Kč</w:t>
      </w:r>
      <w:r>
        <w:rPr>
          <w:b/>
          <w:spacing w:val="-1"/>
          <w:sz w:val="20"/>
        </w:rPr>
        <w:t> </w:t>
      </w:r>
      <w:r>
        <w:rPr>
          <w:sz w:val="20"/>
        </w:rPr>
        <w:t>(slovy: dva</w:t>
      </w:r>
      <w:r>
        <w:rPr>
          <w:spacing w:val="-1"/>
          <w:sz w:val="20"/>
        </w:rPr>
        <w:t> </w:t>
      </w:r>
      <w:r>
        <w:rPr>
          <w:sz w:val="20"/>
        </w:rPr>
        <w:t>miliony</w:t>
      </w:r>
      <w:r>
        <w:rPr>
          <w:spacing w:val="-1"/>
          <w:sz w:val="20"/>
        </w:rPr>
        <w:t> </w:t>
      </w:r>
      <w:r>
        <w:rPr>
          <w:sz w:val="20"/>
        </w:rPr>
        <w:t>pět</w:t>
      </w:r>
      <w:r>
        <w:rPr>
          <w:spacing w:val="-2"/>
          <w:sz w:val="20"/>
        </w:rPr>
        <w:t> </w:t>
      </w:r>
      <w:r>
        <w:rPr>
          <w:sz w:val="20"/>
        </w:rPr>
        <w:t>set devadesát</w:t>
      </w:r>
      <w:r>
        <w:rPr>
          <w:spacing w:val="-1"/>
          <w:sz w:val="20"/>
        </w:rPr>
        <w:t> </w:t>
      </w:r>
      <w:r>
        <w:rPr>
          <w:sz w:val="20"/>
        </w:rPr>
        <w:t>sedm</w:t>
      </w:r>
      <w:r>
        <w:rPr>
          <w:spacing w:val="-2"/>
          <w:sz w:val="20"/>
        </w:rPr>
        <w:t> </w:t>
      </w:r>
      <w:r>
        <w:rPr>
          <w:sz w:val="20"/>
        </w:rPr>
        <w:t>tisíc</w:t>
      </w:r>
      <w:r>
        <w:rPr>
          <w:spacing w:val="-2"/>
          <w:sz w:val="20"/>
        </w:rPr>
        <w:t> </w:t>
      </w:r>
      <w:r>
        <w:rPr>
          <w:sz w:val="20"/>
        </w:rPr>
        <w:t>dvě</w:t>
      </w:r>
      <w:r>
        <w:rPr>
          <w:spacing w:val="-2"/>
          <w:sz w:val="20"/>
        </w:rPr>
        <w:t> </w:t>
      </w:r>
      <w:r>
        <w:rPr>
          <w:sz w:val="20"/>
        </w:rPr>
        <w:t>stě</w:t>
      </w:r>
      <w:r>
        <w:rPr>
          <w:spacing w:val="-2"/>
          <w:sz w:val="20"/>
        </w:rPr>
        <w:t> </w:t>
      </w:r>
      <w:r>
        <w:rPr>
          <w:sz w:val="20"/>
        </w:rPr>
        <w:t>šedesát čtyři korun českých).</w:t>
      </w:r>
    </w:p>
    <w:p>
      <w:pPr>
        <w:pStyle w:val="ListParagraph"/>
        <w:numPr>
          <w:ilvl w:val="0"/>
          <w:numId w:val="2"/>
        </w:numPr>
        <w:tabs>
          <w:tab w:pos="386" w:val="left" w:leader="none"/>
        </w:tabs>
        <w:spacing w:line="240" w:lineRule="auto" w:before="122" w:after="0"/>
        <w:ind w:left="385" w:right="111" w:hanging="284"/>
        <w:jc w:val="both"/>
        <w:rPr>
          <w:sz w:val="20"/>
        </w:rPr>
      </w:pPr>
      <w:r>
        <w:rPr>
          <w:sz w:val="20"/>
        </w:rPr>
        <w:t>Základ pro stanovení podpory odpovídá způsobilým výdajům stanoveným Fondem dle žádosti a jejích příloh a činí 12 656 110,31 Kč.</w:t>
      </w:r>
    </w:p>
    <w:p>
      <w:pPr>
        <w:pStyle w:val="ListParagraph"/>
        <w:numPr>
          <w:ilvl w:val="0"/>
          <w:numId w:val="2"/>
        </w:numPr>
        <w:tabs>
          <w:tab w:pos="386" w:val="left" w:leader="none"/>
        </w:tabs>
        <w:spacing w:line="240" w:lineRule="auto" w:before="120" w:after="0"/>
        <w:ind w:left="385" w:right="113"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0" w:hanging="284"/>
        <w:jc w:val="both"/>
        <w:rPr>
          <w:sz w:val="20"/>
        </w:rPr>
      </w:pPr>
      <w:r>
        <w:rPr>
          <w:sz w:val="20"/>
        </w:rPr>
        <w:t>Při určování způsobilých výdajů akce a z nich odvozené výše podpory se bude vycházet ze znění čl. 9 a 10 Výzvy.</w:t>
      </w:r>
    </w:p>
    <w:p>
      <w:pPr>
        <w:pStyle w:val="BodyText"/>
        <w:spacing w:before="1"/>
      </w:pPr>
    </w:p>
    <w:p>
      <w:pPr>
        <w:pStyle w:val="Heading1"/>
        <w:spacing w:line="265" w:lineRule="exact"/>
      </w:pPr>
      <w:r>
        <w:rPr>
          <w:spacing w:val="-4"/>
        </w:rPr>
        <w:t>III.</w:t>
      </w:r>
    </w:p>
    <w:p>
      <w:pPr>
        <w:pStyle w:val="Heading2"/>
        <w:spacing w:line="265" w:lineRule="exact"/>
        <w:ind w:left="3135" w:right="3148"/>
      </w:pPr>
      <w:r>
        <w:rPr/>
        <w:t>Platební</w:t>
      </w:r>
      <w:r>
        <w:rPr>
          <w:spacing w:val="-9"/>
        </w:rPr>
        <w:t> </w:t>
      </w:r>
      <w:r>
        <w:rPr>
          <w:spacing w:val="-2"/>
        </w:rPr>
        <w:t>podmínky</w:t>
      </w:r>
    </w:p>
    <w:p>
      <w:pPr>
        <w:pStyle w:val="BodyText"/>
        <w:spacing w:before="1"/>
        <w:rPr>
          <w:b/>
        </w:rPr>
      </w:pPr>
    </w:p>
    <w:p>
      <w:pPr>
        <w:pStyle w:val="ListParagraph"/>
        <w:numPr>
          <w:ilvl w:val="0"/>
          <w:numId w:val="3"/>
        </w:numPr>
        <w:tabs>
          <w:tab w:pos="386" w:val="left" w:leader="none"/>
        </w:tabs>
        <w:spacing w:line="240"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1"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19"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37" w:lineRule="auto" w:before="125"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spacing w:after="0" w:line="237"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19"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 Tato oboustranná vzájemná</w:t>
      </w:r>
      <w:r>
        <w:rPr>
          <w:spacing w:val="-1"/>
          <w:sz w:val="20"/>
        </w:rPr>
        <w:t> </w:t>
      </w:r>
      <w:r>
        <w:rPr>
          <w:sz w:val="20"/>
        </w:rPr>
        <w:t>dohoda</w:t>
      </w:r>
      <w:r>
        <w:rPr>
          <w:spacing w:val="-1"/>
          <w:sz w:val="20"/>
        </w:rPr>
        <w:t> </w:t>
      </w:r>
      <w:r>
        <w:rPr>
          <w:sz w:val="20"/>
        </w:rPr>
        <w:t>musí</w:t>
      </w:r>
      <w:r>
        <w:rPr>
          <w:spacing w:val="-2"/>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BodyText"/>
        <w:rPr>
          <w:sz w:val="26"/>
        </w:rPr>
      </w:pPr>
    </w:p>
    <w:p>
      <w:pPr>
        <w:pStyle w:val="Heading1"/>
        <w:spacing w:before="186"/>
        <w:ind w:left="3140"/>
      </w:pPr>
      <w:r>
        <w:rPr>
          <w:spacing w:val="-5"/>
        </w:rPr>
        <w:t>IV.</w:t>
      </w:r>
    </w:p>
    <w:p>
      <w:pPr>
        <w:pStyle w:val="Heading2"/>
        <w:ind w:left="2296" w:right="2310"/>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1" w:after="0"/>
        <w:ind w:left="745" w:right="111" w:hanging="360"/>
        <w:jc w:val="left"/>
        <w:rPr>
          <w:sz w:val="20"/>
        </w:rPr>
      </w:pPr>
      <w:r>
        <w:rPr>
          <w:sz w:val="20"/>
        </w:rPr>
        <w:t>splní</w:t>
      </w:r>
      <w:r>
        <w:rPr>
          <w:spacing w:val="18"/>
          <w:sz w:val="20"/>
        </w:rPr>
        <w:t> </w:t>
      </w:r>
      <w:r>
        <w:rPr>
          <w:sz w:val="20"/>
        </w:rPr>
        <w:t>účel</w:t>
      </w:r>
      <w:r>
        <w:rPr>
          <w:spacing w:val="21"/>
          <w:sz w:val="20"/>
        </w:rPr>
        <w:t> </w:t>
      </w:r>
      <w:r>
        <w:rPr>
          <w:sz w:val="20"/>
        </w:rPr>
        <w:t>akce</w:t>
      </w:r>
      <w:r>
        <w:rPr>
          <w:spacing w:val="20"/>
          <w:sz w:val="20"/>
        </w:rPr>
        <w:t> </w:t>
      </w:r>
      <w:r>
        <w:rPr>
          <w:sz w:val="20"/>
        </w:rPr>
        <w:t>„FVE</w:t>
      </w:r>
      <w:r>
        <w:rPr>
          <w:spacing w:val="18"/>
          <w:sz w:val="20"/>
        </w:rPr>
        <w:t> </w:t>
      </w:r>
      <w:r>
        <w:rPr>
          <w:sz w:val="20"/>
        </w:rPr>
        <w:t>KD</w:t>
      </w:r>
      <w:r>
        <w:rPr>
          <w:spacing w:val="18"/>
          <w:sz w:val="20"/>
        </w:rPr>
        <w:t> </w:t>
      </w:r>
      <w:r>
        <w:rPr>
          <w:sz w:val="20"/>
        </w:rPr>
        <w:t>Krakov</w:t>
      </w:r>
      <w:r>
        <w:rPr>
          <w:spacing w:val="19"/>
          <w:sz w:val="20"/>
        </w:rPr>
        <w:t> </w:t>
      </w:r>
      <w:r>
        <w:rPr>
          <w:sz w:val="20"/>
        </w:rPr>
        <w:t>a</w:t>
      </w:r>
      <w:r>
        <w:rPr>
          <w:spacing w:val="20"/>
          <w:sz w:val="20"/>
        </w:rPr>
        <w:t> </w:t>
      </w:r>
      <w:r>
        <w:rPr>
          <w:sz w:val="20"/>
        </w:rPr>
        <w:t>ZŠ</w:t>
      </w:r>
      <w:r>
        <w:rPr>
          <w:spacing w:val="18"/>
          <w:sz w:val="20"/>
        </w:rPr>
        <w:t> </w:t>
      </w:r>
      <w:r>
        <w:rPr>
          <w:sz w:val="20"/>
        </w:rPr>
        <w:t>Burešova“</w:t>
      </w:r>
      <w:r>
        <w:rPr>
          <w:spacing w:val="18"/>
          <w:sz w:val="20"/>
        </w:rPr>
        <w:t> </w:t>
      </w:r>
      <w:r>
        <w:rPr>
          <w:sz w:val="20"/>
        </w:rPr>
        <w:t>tím,</w:t>
      </w:r>
      <w:r>
        <w:rPr>
          <w:spacing w:val="18"/>
          <w:sz w:val="20"/>
        </w:rPr>
        <w:t> </w:t>
      </w:r>
      <w:r>
        <w:rPr>
          <w:sz w:val="20"/>
        </w:rPr>
        <w:t>že</w:t>
      </w:r>
      <w:r>
        <w:rPr>
          <w:spacing w:val="17"/>
          <w:sz w:val="20"/>
        </w:rPr>
        <w:t> </w:t>
      </w:r>
      <w:r>
        <w:rPr>
          <w:sz w:val="20"/>
        </w:rPr>
        <w:t>akce</w:t>
      </w:r>
      <w:r>
        <w:rPr>
          <w:spacing w:val="17"/>
          <w:sz w:val="20"/>
        </w:rPr>
        <w:t> </w:t>
      </w:r>
      <w:r>
        <w:rPr>
          <w:sz w:val="20"/>
        </w:rPr>
        <w:t>bude</w:t>
      </w:r>
      <w:r>
        <w:rPr>
          <w:spacing w:val="18"/>
          <w:sz w:val="20"/>
        </w:rPr>
        <w:t> </w:t>
      </w:r>
      <w:r>
        <w:rPr>
          <w:sz w:val="20"/>
        </w:rPr>
        <w:t>provedena</w:t>
      </w:r>
      <w:r>
        <w:rPr>
          <w:spacing w:val="18"/>
          <w:sz w:val="20"/>
        </w:rPr>
        <w:t> </w:t>
      </w:r>
      <w:r>
        <w:rPr>
          <w:sz w:val="20"/>
        </w:rPr>
        <w:t>v souladu</w:t>
      </w:r>
      <w:r>
        <w:rPr>
          <w:spacing w:val="19"/>
          <w:sz w:val="20"/>
        </w:rPr>
        <w:t> </w:t>
      </w:r>
      <w:r>
        <w:rPr>
          <w:sz w:val="20"/>
        </w:rPr>
        <w:t>s</w:t>
      </w:r>
      <w:r>
        <w:rPr>
          <w:spacing w:val="-2"/>
          <w:sz w:val="20"/>
        </w:rPr>
        <w:t> </w:t>
      </w:r>
      <w:r>
        <w:rPr>
          <w:sz w:val="20"/>
        </w:rPr>
        <w:t>Výzvou, žádostí o podporu a jejími přílohami a touto Smlouvou,</w:t>
      </w:r>
    </w:p>
    <w:p>
      <w:pPr>
        <w:pStyle w:val="ListParagraph"/>
        <w:numPr>
          <w:ilvl w:val="1"/>
          <w:numId w:val="4"/>
        </w:numPr>
        <w:tabs>
          <w:tab w:pos="746" w:val="left" w:leader="none"/>
        </w:tabs>
        <w:spacing w:line="240" w:lineRule="auto" w:before="0" w:after="0"/>
        <w:ind w:left="745" w:right="111" w:hanging="360"/>
        <w:jc w:val="left"/>
        <w:rPr>
          <w:sz w:val="20"/>
        </w:rPr>
      </w:pPr>
      <w:r>
        <w:rPr>
          <w:sz w:val="20"/>
        </w:rPr>
        <w:t>realizací</w:t>
      </w:r>
      <w:r>
        <w:rPr>
          <w:spacing w:val="80"/>
          <w:w w:val="150"/>
          <w:sz w:val="20"/>
        </w:rPr>
        <w:t> </w:t>
      </w:r>
      <w:r>
        <w:rPr>
          <w:sz w:val="20"/>
        </w:rPr>
        <w:t>projektu</w:t>
      </w:r>
      <w:r>
        <w:rPr>
          <w:spacing w:val="80"/>
          <w:w w:val="150"/>
          <w:sz w:val="20"/>
        </w:rPr>
        <w:t> </w:t>
      </w:r>
      <w:r>
        <w:rPr>
          <w:sz w:val="20"/>
        </w:rPr>
        <w:t>dojde</w:t>
      </w:r>
      <w:r>
        <w:rPr>
          <w:spacing w:val="80"/>
          <w:w w:val="150"/>
          <w:sz w:val="20"/>
        </w:rPr>
        <w:t> </w:t>
      </w:r>
      <w:r>
        <w:rPr>
          <w:sz w:val="20"/>
        </w:rPr>
        <w:t>k výstavbě</w:t>
      </w:r>
      <w:r>
        <w:rPr>
          <w:spacing w:val="80"/>
          <w:w w:val="150"/>
          <w:sz w:val="20"/>
        </w:rPr>
        <w:t> </w:t>
      </w:r>
      <w:r>
        <w:rPr>
          <w:sz w:val="20"/>
        </w:rPr>
        <w:t>nové</w:t>
      </w:r>
      <w:r>
        <w:rPr>
          <w:spacing w:val="80"/>
          <w:w w:val="150"/>
          <w:sz w:val="20"/>
        </w:rPr>
        <w:t> </w:t>
      </w:r>
      <w:r>
        <w:rPr>
          <w:sz w:val="20"/>
        </w:rPr>
        <w:t>fotovoltaické</w:t>
      </w:r>
      <w:r>
        <w:rPr>
          <w:spacing w:val="80"/>
          <w:w w:val="150"/>
          <w:sz w:val="20"/>
        </w:rPr>
        <w:t> </w:t>
      </w:r>
      <w:r>
        <w:rPr>
          <w:sz w:val="20"/>
        </w:rPr>
        <w:t>elektrárny</w:t>
      </w:r>
      <w:r>
        <w:rPr>
          <w:spacing w:val="80"/>
          <w:w w:val="150"/>
          <w:sz w:val="20"/>
        </w:rPr>
        <w:t> </w:t>
      </w:r>
      <w:r>
        <w:rPr>
          <w:sz w:val="20"/>
        </w:rPr>
        <w:t>se</w:t>
      </w:r>
      <w:r>
        <w:rPr>
          <w:spacing w:val="80"/>
          <w:w w:val="150"/>
          <w:sz w:val="20"/>
        </w:rPr>
        <w:t> </w:t>
      </w:r>
      <w:r>
        <w:rPr>
          <w:sz w:val="20"/>
        </w:rPr>
        <w:t>střešní</w:t>
      </w:r>
      <w:r>
        <w:rPr>
          <w:spacing w:val="80"/>
          <w:w w:val="150"/>
          <w:sz w:val="20"/>
        </w:rPr>
        <w:t> </w:t>
      </w:r>
      <w:r>
        <w:rPr>
          <w:sz w:val="20"/>
        </w:rPr>
        <w:t>instalací</w:t>
      </w:r>
      <w:r>
        <w:rPr>
          <w:spacing w:val="80"/>
          <w:w w:val="150"/>
          <w:sz w:val="20"/>
        </w:rPr>
        <w:t> </w:t>
      </w:r>
      <w:r>
        <w:rPr>
          <w:sz w:val="20"/>
        </w:rPr>
        <w:t>s</w:t>
      </w:r>
      <w:r>
        <w:rPr>
          <w:spacing w:val="40"/>
          <w:sz w:val="20"/>
        </w:rPr>
        <w:t> </w:t>
      </w:r>
      <w:r>
        <w:rPr>
          <w:sz w:val="20"/>
        </w:rPr>
        <w:t>předpokládaným výkonem 153,08 kWp, instalací akumulace o kapacitě 72,8 kWh,</w:t>
      </w:r>
    </w:p>
    <w:p>
      <w:pPr>
        <w:pStyle w:val="ListParagraph"/>
        <w:numPr>
          <w:ilvl w:val="1"/>
          <w:numId w:val="4"/>
        </w:numPr>
        <w:tabs>
          <w:tab w:pos="745" w:val="left" w:leader="none"/>
          <w:tab w:pos="746" w:val="left" w:leader="none"/>
        </w:tabs>
        <w:spacing w:line="240" w:lineRule="auto" w:before="119"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8"/>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6"/>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49"/>
        <w:gridCol w:w="1685"/>
        <w:gridCol w:w="1712"/>
        <w:gridCol w:w="1683"/>
      </w:tblGrid>
      <w:tr>
        <w:trPr>
          <w:trHeight w:val="772" w:hRule="atLeast"/>
        </w:trPr>
        <w:tc>
          <w:tcPr>
            <w:tcW w:w="3749" w:type="dxa"/>
          </w:tcPr>
          <w:p>
            <w:pPr>
              <w:pStyle w:val="TableParagraph"/>
              <w:spacing w:before="120"/>
              <w:ind w:left="105"/>
              <w:rPr>
                <w:b/>
                <w:sz w:val="20"/>
              </w:rPr>
            </w:pPr>
            <w:r>
              <w:rPr>
                <w:b/>
                <w:spacing w:val="-2"/>
                <w:sz w:val="20"/>
              </w:rPr>
              <w:t>Indikátor</w:t>
            </w:r>
          </w:p>
        </w:tc>
        <w:tc>
          <w:tcPr>
            <w:tcW w:w="1685" w:type="dxa"/>
          </w:tcPr>
          <w:p>
            <w:pPr>
              <w:pStyle w:val="TableParagraph"/>
              <w:spacing w:before="120"/>
              <w:ind w:left="108"/>
              <w:rPr>
                <w:b/>
                <w:sz w:val="20"/>
              </w:rPr>
            </w:pPr>
            <w:r>
              <w:rPr>
                <w:b/>
                <w:spacing w:val="-2"/>
                <w:sz w:val="20"/>
              </w:rPr>
              <w:t>Jednotka</w:t>
            </w:r>
          </w:p>
        </w:tc>
        <w:tc>
          <w:tcPr>
            <w:tcW w:w="1712" w:type="dxa"/>
          </w:tcPr>
          <w:p>
            <w:pPr>
              <w:pStyle w:val="TableParagraph"/>
              <w:spacing w:before="120"/>
              <w:ind w:left="106" w:right="794"/>
              <w:rPr>
                <w:b/>
                <w:sz w:val="20"/>
              </w:rPr>
            </w:pPr>
            <w:r>
              <w:rPr>
                <w:b/>
                <w:spacing w:val="-2"/>
                <w:sz w:val="20"/>
              </w:rPr>
              <w:t>Výchozí hodnota</w:t>
            </w:r>
          </w:p>
        </w:tc>
        <w:tc>
          <w:tcPr>
            <w:tcW w:w="1683" w:type="dxa"/>
          </w:tcPr>
          <w:p>
            <w:pPr>
              <w:pStyle w:val="TableParagraph"/>
              <w:spacing w:before="120"/>
              <w:ind w:left="108"/>
              <w:rPr>
                <w:b/>
                <w:sz w:val="20"/>
              </w:rPr>
            </w:pPr>
            <w:r>
              <w:rPr>
                <w:b/>
                <w:sz w:val="20"/>
              </w:rPr>
              <w:t>Cílová</w:t>
            </w:r>
            <w:r>
              <w:rPr>
                <w:b/>
                <w:spacing w:val="-5"/>
                <w:sz w:val="20"/>
              </w:rPr>
              <w:t> </w:t>
            </w:r>
            <w:r>
              <w:rPr>
                <w:b/>
                <w:spacing w:val="-2"/>
                <w:sz w:val="20"/>
              </w:rPr>
              <w:t>hodnota</w:t>
            </w:r>
          </w:p>
        </w:tc>
      </w:tr>
      <w:tr>
        <w:trPr>
          <w:trHeight w:val="532" w:hRule="atLeast"/>
        </w:trPr>
        <w:tc>
          <w:tcPr>
            <w:tcW w:w="3749" w:type="dxa"/>
          </w:tcPr>
          <w:p>
            <w:pPr>
              <w:pStyle w:val="TableParagraph"/>
              <w:spacing w:line="266" w:lineRule="exact" w:before="0"/>
              <w:ind w:left="388"/>
              <w:rPr>
                <w:sz w:val="20"/>
              </w:rPr>
            </w:pPr>
            <w:r>
              <w:rPr>
                <w:sz w:val="20"/>
              </w:rPr>
              <w:t>Nová</w:t>
            </w:r>
            <w:r>
              <w:rPr>
                <w:spacing w:val="-14"/>
                <w:sz w:val="20"/>
              </w:rPr>
              <w:t> </w:t>
            </w:r>
            <w:r>
              <w:rPr>
                <w:sz w:val="20"/>
              </w:rPr>
              <w:t>kapacita</w:t>
            </w:r>
            <w:r>
              <w:rPr>
                <w:spacing w:val="-14"/>
                <w:sz w:val="20"/>
              </w:rPr>
              <w:t> </w:t>
            </w:r>
            <w:r>
              <w:rPr>
                <w:sz w:val="20"/>
              </w:rPr>
              <w:t>akumulace</w:t>
            </w:r>
            <w:r>
              <w:rPr>
                <w:spacing w:val="-12"/>
                <w:sz w:val="20"/>
              </w:rPr>
              <w:t> </w:t>
            </w:r>
            <w:r>
              <w:rPr>
                <w:sz w:val="20"/>
              </w:rPr>
              <w:t>elektrické energie z OZE (kWh)</w:t>
            </w:r>
          </w:p>
        </w:tc>
        <w:tc>
          <w:tcPr>
            <w:tcW w:w="1685" w:type="dxa"/>
          </w:tcPr>
          <w:p>
            <w:pPr>
              <w:pStyle w:val="TableParagraph"/>
              <w:spacing w:before="120"/>
              <w:ind w:left="391"/>
              <w:rPr>
                <w:sz w:val="20"/>
              </w:rPr>
            </w:pPr>
            <w:r>
              <w:rPr>
                <w:spacing w:val="-5"/>
                <w:sz w:val="20"/>
              </w:rPr>
              <w:t>kWh</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72.80</w:t>
            </w:r>
          </w:p>
        </w:tc>
      </w:tr>
      <w:tr>
        <w:trPr>
          <w:trHeight w:val="506" w:hRule="atLeast"/>
        </w:trPr>
        <w:tc>
          <w:tcPr>
            <w:tcW w:w="3749" w:type="dxa"/>
          </w:tcPr>
          <w:p>
            <w:pPr>
              <w:pStyle w:val="TableParagraph"/>
              <w:spacing w:before="0"/>
              <w:ind w:left="388"/>
              <w:rPr>
                <w:sz w:val="20"/>
              </w:rPr>
            </w:pPr>
            <w:r>
              <w:rPr>
                <w:sz w:val="20"/>
              </w:rPr>
              <w:t>Nově</w:t>
            </w:r>
            <w:r>
              <w:rPr>
                <w:spacing w:val="-7"/>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5" w:type="dxa"/>
          </w:tcPr>
          <w:p>
            <w:pPr>
              <w:pStyle w:val="TableParagraph"/>
              <w:spacing w:before="120"/>
              <w:ind w:left="391"/>
              <w:rPr>
                <w:sz w:val="20"/>
              </w:rPr>
            </w:pPr>
            <w:r>
              <w:rPr>
                <w:spacing w:val="-5"/>
                <w:sz w:val="20"/>
              </w:rPr>
              <w:t>kWp</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153.08</w:t>
            </w:r>
          </w:p>
        </w:tc>
      </w:tr>
      <w:tr>
        <w:trPr>
          <w:trHeight w:val="506" w:hRule="atLeast"/>
        </w:trPr>
        <w:tc>
          <w:tcPr>
            <w:tcW w:w="3749"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5" w:type="dxa"/>
          </w:tcPr>
          <w:p>
            <w:pPr>
              <w:pStyle w:val="TableParagraph"/>
              <w:spacing w:before="120"/>
              <w:ind w:left="0" w:right="414"/>
              <w:jc w:val="right"/>
              <w:rPr>
                <w:sz w:val="20"/>
              </w:rPr>
            </w:pPr>
            <w:r>
              <w:rPr>
                <w:sz w:val="20"/>
              </w:rPr>
              <w:t>t</w:t>
            </w:r>
            <w:r>
              <w:rPr>
                <w:spacing w:val="-2"/>
                <w:sz w:val="20"/>
              </w:rPr>
              <w:t> CO2/rok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128.90</w:t>
            </w:r>
          </w:p>
        </w:tc>
      </w:tr>
      <w:tr>
        <w:trPr>
          <w:trHeight w:val="532" w:hRule="atLeast"/>
        </w:trPr>
        <w:tc>
          <w:tcPr>
            <w:tcW w:w="3749" w:type="dxa"/>
          </w:tcPr>
          <w:p>
            <w:pPr>
              <w:pStyle w:val="TableParagraph"/>
              <w:spacing w:line="266" w:lineRule="exact" w:before="0"/>
              <w:ind w:left="388"/>
              <w:rPr>
                <w:sz w:val="20"/>
              </w:rPr>
            </w:pPr>
            <w:r>
              <w:rPr>
                <w:sz w:val="20"/>
              </w:rPr>
              <w:t>Snížení</w:t>
            </w:r>
            <w:r>
              <w:rPr>
                <w:spacing w:val="-10"/>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5" w:type="dxa"/>
          </w:tcPr>
          <w:p>
            <w:pPr>
              <w:pStyle w:val="TableParagraph"/>
              <w:spacing w:before="120"/>
              <w:ind w:left="0" w:right="438"/>
              <w:jc w:val="right"/>
              <w:rPr>
                <w:sz w:val="20"/>
              </w:rPr>
            </w:pPr>
            <w:r>
              <w:rPr>
                <w:spacing w:val="-2"/>
                <w:sz w:val="20"/>
              </w:rPr>
              <w:t>MWh/rok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389.70</w:t>
            </w:r>
          </w:p>
        </w:tc>
      </w:tr>
      <w:tr>
        <w:trPr>
          <w:trHeight w:val="506" w:hRule="atLeast"/>
        </w:trPr>
        <w:tc>
          <w:tcPr>
            <w:tcW w:w="3749"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5" w:type="dxa"/>
          </w:tcPr>
          <w:p>
            <w:pPr>
              <w:pStyle w:val="TableParagraph"/>
              <w:spacing w:before="120"/>
              <w:ind w:left="0" w:right="438"/>
              <w:jc w:val="right"/>
              <w:rPr>
                <w:sz w:val="20"/>
              </w:rPr>
            </w:pPr>
            <w:r>
              <w:rPr>
                <w:spacing w:val="-2"/>
                <w:sz w:val="20"/>
              </w:rPr>
              <w:t>MWh/rok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149.88</w:t>
            </w:r>
          </w:p>
        </w:tc>
      </w:tr>
    </w:tbl>
    <w:p>
      <w:pPr>
        <w:pStyle w:val="BodyText"/>
        <w:rPr>
          <w:sz w:val="38"/>
        </w:rPr>
      </w:pPr>
    </w:p>
    <w:p>
      <w:pPr>
        <w:pStyle w:val="ListParagraph"/>
        <w:numPr>
          <w:ilvl w:val="1"/>
          <w:numId w:val="4"/>
        </w:numPr>
        <w:tabs>
          <w:tab w:pos="746" w:val="left" w:leader="none"/>
        </w:tabs>
        <w:spacing w:line="276" w:lineRule="auto" w:before="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19"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9"/>
          <w:sz w:val="20"/>
        </w:rPr>
        <w:t> </w:t>
      </w:r>
      <w:r>
        <w:rPr>
          <w:sz w:val="20"/>
        </w:rPr>
        <w:t>5</w:t>
      </w:r>
      <w:r>
        <w:rPr>
          <w:spacing w:val="-10"/>
          <w:sz w:val="20"/>
        </w:rPr>
        <w:t> </w:t>
      </w:r>
      <w:r>
        <w:rPr>
          <w:sz w:val="20"/>
        </w:rPr>
        <w:t>let</w:t>
      </w:r>
      <w:r>
        <w:rPr>
          <w:spacing w:val="-10"/>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3"/>
          <w:sz w:val="20"/>
        </w:rPr>
        <w:t> </w:t>
      </w:r>
      <w:r>
        <w:rPr>
          <w:sz w:val="20"/>
        </w:rPr>
        <w:t>Rozhodnutí. Za</w:t>
      </w:r>
      <w:r>
        <w:rPr>
          <w:spacing w:val="28"/>
          <w:sz w:val="20"/>
        </w:rPr>
        <w:t> </w:t>
      </w:r>
      <w:r>
        <w:rPr>
          <w:sz w:val="20"/>
        </w:rPr>
        <w:t>termín</w:t>
      </w:r>
      <w:r>
        <w:rPr>
          <w:spacing w:val="28"/>
          <w:sz w:val="20"/>
        </w:rPr>
        <w:t> </w:t>
      </w:r>
      <w:r>
        <w:rPr>
          <w:sz w:val="20"/>
        </w:rPr>
        <w:t>ukončení</w:t>
      </w:r>
      <w:r>
        <w:rPr>
          <w:spacing w:val="28"/>
          <w:sz w:val="20"/>
        </w:rPr>
        <w:t> </w:t>
      </w:r>
      <w:r>
        <w:rPr>
          <w:sz w:val="20"/>
        </w:rPr>
        <w:t>akce</w:t>
      </w:r>
      <w:r>
        <w:rPr>
          <w:spacing w:val="27"/>
          <w:sz w:val="20"/>
        </w:rPr>
        <w:t> </w:t>
      </w:r>
      <w:r>
        <w:rPr>
          <w:sz w:val="20"/>
        </w:rPr>
        <w:t>se</w:t>
      </w:r>
      <w:r>
        <w:rPr>
          <w:spacing w:val="27"/>
          <w:sz w:val="20"/>
        </w:rPr>
        <w:t> </w:t>
      </w:r>
      <w:r>
        <w:rPr>
          <w:sz w:val="20"/>
        </w:rPr>
        <w:t>považuje</w:t>
      </w:r>
      <w:r>
        <w:rPr>
          <w:spacing w:val="27"/>
          <w:sz w:val="20"/>
        </w:rPr>
        <w:t> </w:t>
      </w:r>
      <w:r>
        <w:rPr>
          <w:sz w:val="20"/>
        </w:rPr>
        <w:t>datum</w:t>
      </w:r>
      <w:r>
        <w:rPr>
          <w:spacing w:val="27"/>
          <w:sz w:val="20"/>
        </w:rPr>
        <w:t> </w:t>
      </w:r>
      <w:r>
        <w:rPr>
          <w:sz w:val="20"/>
        </w:rPr>
        <w:t>vydání</w:t>
      </w:r>
      <w:r>
        <w:rPr>
          <w:spacing w:val="30"/>
          <w:sz w:val="20"/>
        </w:rPr>
        <w:t> </w:t>
      </w:r>
      <w:r>
        <w:rPr>
          <w:sz w:val="20"/>
        </w:rPr>
        <w:t>Kolaudačního</w:t>
      </w:r>
      <w:r>
        <w:rPr>
          <w:spacing w:val="31"/>
          <w:sz w:val="20"/>
        </w:rPr>
        <w:t> </w:t>
      </w:r>
      <w:r>
        <w:rPr>
          <w:sz w:val="20"/>
        </w:rPr>
        <w:t>souhlasu,</w:t>
      </w:r>
      <w:r>
        <w:rPr>
          <w:spacing w:val="28"/>
          <w:sz w:val="20"/>
        </w:rPr>
        <w:t> </w:t>
      </w:r>
      <w:r>
        <w:rPr>
          <w:sz w:val="20"/>
        </w:rPr>
        <w:t>oznámení</w:t>
      </w:r>
      <w:r>
        <w:rPr>
          <w:spacing w:val="28"/>
          <w:sz w:val="20"/>
        </w:rPr>
        <w:t> </w:t>
      </w:r>
      <w:r>
        <w:rPr>
          <w:sz w:val="20"/>
        </w:rPr>
        <w:t>o</w:t>
      </w:r>
      <w:r>
        <w:rPr>
          <w:spacing w:val="29"/>
          <w:sz w:val="20"/>
        </w:rPr>
        <w:t> </w:t>
      </w:r>
      <w:r>
        <w:rPr>
          <w:sz w:val="20"/>
        </w:rPr>
        <w:t>užívání</w:t>
      </w:r>
    </w:p>
    <w:p>
      <w:pPr>
        <w:spacing w:after="0" w:line="276" w:lineRule="auto"/>
        <w:jc w:val="both"/>
        <w:rPr>
          <w:sz w:val="20"/>
        </w:rPr>
        <w:sectPr>
          <w:pgSz w:w="12240" w:h="15840"/>
          <w:pgMar w:header="708" w:footer="771" w:top="2040" w:bottom="960" w:left="1600" w:right="1020"/>
        </w:sectPr>
      </w:pPr>
    </w:p>
    <w:p>
      <w:pPr>
        <w:pStyle w:val="BodyText"/>
        <w:spacing w:before="9"/>
        <w:rPr>
          <w:sz w:val="9"/>
        </w:rPr>
      </w:pPr>
    </w:p>
    <w:p>
      <w:pPr>
        <w:pStyle w:val="BodyText"/>
        <w:spacing w:line="276" w:lineRule="auto" w:before="100"/>
        <w:ind w:left="745" w:right="111"/>
        <w:jc w:val="both"/>
      </w:pPr>
      <w:r>
        <w:rPr/>
        <w:t>podle příslušných ustanovení zákona č. 183/2006 Sb., o územním plánování a stavebním řádu (stavební</w:t>
      </w:r>
      <w:r>
        <w:rPr>
          <w:spacing w:val="-10"/>
        </w:rPr>
        <w:t> </w:t>
      </w:r>
      <w:r>
        <w:rPr/>
        <w:t>zákon),</w:t>
      </w:r>
      <w:r>
        <w:rPr>
          <w:spacing w:val="-10"/>
        </w:rPr>
        <w:t> </w:t>
      </w:r>
      <w:r>
        <w:rPr/>
        <w:t>ve</w:t>
      </w:r>
      <w:r>
        <w:rPr>
          <w:spacing w:val="-11"/>
        </w:rPr>
        <w:t> </w:t>
      </w:r>
      <w:r>
        <w:rPr/>
        <w:t>znění</w:t>
      </w:r>
      <w:r>
        <w:rPr>
          <w:spacing w:val="-10"/>
        </w:rPr>
        <w:t> </w:t>
      </w:r>
      <w:r>
        <w:rPr/>
        <w:t>pozdějších</w:t>
      </w:r>
      <w:r>
        <w:rPr>
          <w:spacing w:val="-10"/>
        </w:rPr>
        <w:t> </w:t>
      </w:r>
      <w:r>
        <w:rPr/>
        <w:t>předpisů,</w:t>
      </w:r>
      <w:r>
        <w:rPr>
          <w:spacing w:val="-9"/>
        </w:rPr>
        <w:t> </w:t>
      </w:r>
      <w:r>
        <w:rPr/>
        <w:t>nebo</w:t>
      </w:r>
      <w:r>
        <w:rPr>
          <w:spacing w:val="-10"/>
        </w:rPr>
        <w:t> </w:t>
      </w:r>
      <w:r>
        <w:rPr/>
        <w:t>termín</w:t>
      </w:r>
      <w:r>
        <w:rPr>
          <w:spacing w:val="-9"/>
        </w:rPr>
        <w:t> </w:t>
      </w:r>
      <w:r>
        <w:rPr/>
        <w:t>schválení</w:t>
      </w:r>
      <w:r>
        <w:rPr>
          <w:spacing w:val="-10"/>
        </w:rPr>
        <w:t> </w:t>
      </w:r>
      <w:r>
        <w:rPr/>
        <w:t>protokolu</w:t>
      </w:r>
      <w:r>
        <w:rPr>
          <w:spacing w:val="-9"/>
        </w:rPr>
        <w:t> </w:t>
      </w:r>
      <w:r>
        <w:rPr/>
        <w:t>o</w:t>
      </w:r>
      <w:r>
        <w:rPr>
          <w:spacing w:val="-8"/>
        </w:rPr>
        <w:t> </w:t>
      </w:r>
      <w:r>
        <w:rPr/>
        <w:t>předání</w:t>
      </w:r>
      <w:r>
        <w:rPr>
          <w:spacing w:val="-9"/>
        </w:rPr>
        <w:t> </w:t>
      </w:r>
      <w:r>
        <w:rPr/>
        <w:t>a</w:t>
      </w:r>
      <w:r>
        <w:rPr>
          <w:spacing w:val="-11"/>
        </w:rPr>
        <w:t> </w:t>
      </w:r>
      <w:r>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1"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6"/>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0"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1"/>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1"/>
          <w:sz w:val="20"/>
        </w:rPr>
        <w:t> </w:t>
      </w:r>
      <w:r>
        <w:rPr>
          <w:sz w:val="20"/>
        </w:rPr>
        <w:t>po</w:t>
      </w:r>
      <w:r>
        <w:rPr>
          <w:spacing w:val="-11"/>
          <w:sz w:val="20"/>
        </w:rPr>
        <w:t> </w:t>
      </w:r>
      <w:r>
        <w:rPr>
          <w:sz w:val="20"/>
        </w:rPr>
        <w:t>uvedenou</w:t>
      </w:r>
      <w:r>
        <w:rPr>
          <w:spacing w:val="-11"/>
          <w:sz w:val="20"/>
        </w:rPr>
        <w:t> </w:t>
      </w:r>
      <w:r>
        <w:rPr>
          <w:sz w:val="20"/>
        </w:rPr>
        <w:t>dobu</w:t>
      </w:r>
      <w:r>
        <w:rPr>
          <w:spacing w:val="-9"/>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0"/>
          <w:sz w:val="20"/>
        </w:rPr>
        <w:t> </w:t>
      </w:r>
      <w:r>
        <w:rPr>
          <w:sz w:val="20"/>
        </w:rPr>
        <w:t>na</w:t>
      </w:r>
      <w:r>
        <w:rPr>
          <w:spacing w:val="69"/>
          <w:sz w:val="20"/>
        </w:rPr>
        <w:t> </w:t>
      </w:r>
      <w:r>
        <w:rPr>
          <w:sz w:val="20"/>
        </w:rPr>
        <w:t>písemnou</w:t>
      </w:r>
      <w:r>
        <w:rPr>
          <w:spacing w:val="72"/>
          <w:sz w:val="20"/>
        </w:rPr>
        <w:t> </w:t>
      </w:r>
      <w:r>
        <w:rPr>
          <w:sz w:val="20"/>
        </w:rPr>
        <w:t>žádost</w:t>
      </w:r>
      <w:r>
        <w:rPr>
          <w:spacing w:val="69"/>
          <w:sz w:val="20"/>
        </w:rPr>
        <w:t> </w:t>
      </w:r>
      <w:r>
        <w:rPr>
          <w:sz w:val="20"/>
        </w:rPr>
        <w:t>příjemce</w:t>
      </w:r>
      <w:r>
        <w:rPr>
          <w:spacing w:val="69"/>
          <w:sz w:val="20"/>
        </w:rPr>
        <w:t> </w:t>
      </w:r>
      <w:r>
        <w:rPr>
          <w:sz w:val="20"/>
        </w:rPr>
        <w:t>podpory</w:t>
      </w:r>
      <w:r>
        <w:rPr>
          <w:spacing w:val="69"/>
          <w:sz w:val="20"/>
        </w:rPr>
        <w:t> </w:t>
      </w:r>
      <w:r>
        <w:rPr>
          <w:sz w:val="20"/>
        </w:rPr>
        <w:t>posoudit</w:t>
      </w:r>
      <w:r>
        <w:rPr>
          <w:spacing w:val="74"/>
          <w:sz w:val="20"/>
        </w:rPr>
        <w:t> </w:t>
      </w:r>
      <w:r>
        <w:rPr>
          <w:sz w:val="20"/>
        </w:rPr>
        <w:t>tuto</w:t>
      </w:r>
      <w:r>
        <w:rPr>
          <w:spacing w:val="70"/>
          <w:sz w:val="20"/>
        </w:rPr>
        <w:t> </w:t>
      </w:r>
      <w:r>
        <w:rPr>
          <w:sz w:val="20"/>
        </w:rPr>
        <w:t>situaci</w:t>
      </w:r>
      <w:r>
        <w:rPr>
          <w:spacing w:val="69"/>
          <w:sz w:val="20"/>
        </w:rPr>
        <w:t> </w:t>
      </w:r>
      <w:r>
        <w:rPr>
          <w:sz w:val="20"/>
        </w:rPr>
        <w:t>a</w:t>
      </w:r>
      <w:r>
        <w:rPr>
          <w:spacing w:val="71"/>
          <w:sz w:val="20"/>
        </w:rPr>
        <w:t> </w:t>
      </w:r>
      <w:r>
        <w:rPr>
          <w:sz w:val="20"/>
        </w:rPr>
        <w:t>rozhodnout</w:t>
      </w:r>
      <w:r>
        <w:rPr>
          <w:spacing w:val="69"/>
          <w:sz w:val="20"/>
        </w:rPr>
        <w:t> </w:t>
      </w:r>
      <w:r>
        <w:rPr>
          <w:sz w:val="20"/>
        </w:rPr>
        <w:t>tak</w:t>
      </w:r>
    </w:p>
    <w:p>
      <w:pPr>
        <w:pStyle w:val="BodyText"/>
        <w:ind w:left="745" w:right="113"/>
        <w:jc w:val="both"/>
      </w:pPr>
      <w:r>
        <w:rPr/>
        <w:t>o</w:t>
      </w:r>
      <w:r>
        <w:rPr>
          <w:spacing w:val="-1"/>
        </w:rPr>
        <w:t> </w:t>
      </w:r>
      <w:r>
        <w:rPr/>
        <w:t>případném</w:t>
      </w:r>
      <w:r>
        <w:rPr>
          <w:spacing w:val="22"/>
        </w:rPr>
        <w:t> </w:t>
      </w:r>
      <w:r>
        <w:rPr/>
        <w:t>stavění</w:t>
      </w:r>
      <w:r>
        <w:rPr>
          <w:spacing w:val="23"/>
        </w:rPr>
        <w:t> </w:t>
      </w:r>
      <w:r>
        <w:rPr/>
        <w:t>uvedené</w:t>
      </w:r>
      <w:r>
        <w:rPr>
          <w:spacing w:val="22"/>
        </w:rPr>
        <w:t> </w:t>
      </w:r>
      <w:r>
        <w:rPr/>
        <w:t>lhůty.</w:t>
      </w:r>
      <w:r>
        <w:rPr>
          <w:spacing w:val="25"/>
        </w:rPr>
        <w:t> </w:t>
      </w:r>
      <w:r>
        <w:rPr/>
        <w:t>Příjemce</w:t>
      </w:r>
      <w:r>
        <w:rPr>
          <w:spacing w:val="22"/>
        </w:rPr>
        <w:t> </w:t>
      </w:r>
      <w:r>
        <w:rPr/>
        <w:t>podpory</w:t>
      </w:r>
      <w:r>
        <w:rPr>
          <w:spacing w:val="24"/>
        </w:rPr>
        <w:t> </w:t>
      </w:r>
      <w:r>
        <w:rPr/>
        <w:t>je</w:t>
      </w:r>
      <w:r>
        <w:rPr>
          <w:spacing w:val="22"/>
        </w:rPr>
        <w:t> </w:t>
      </w:r>
      <w:r>
        <w:rPr/>
        <w:t>v takovém</w:t>
      </w:r>
      <w:r>
        <w:rPr>
          <w:spacing w:val="23"/>
        </w:rPr>
        <w:t> </w:t>
      </w:r>
      <w:r>
        <w:rPr/>
        <w:t>případě</w:t>
      </w:r>
      <w:r>
        <w:rPr>
          <w:spacing w:val="22"/>
        </w:rPr>
        <w:t> </w:t>
      </w:r>
      <w:r>
        <w:rPr/>
        <w:t>povinen</w:t>
      </w:r>
      <w:r>
        <w:rPr>
          <w:spacing w:val="23"/>
        </w:rPr>
        <w:t> </w:t>
      </w:r>
      <w:r>
        <w:rPr/>
        <w:t>zajistit,</w:t>
      </w:r>
      <w:r>
        <w:rPr>
          <w:spacing w:val="23"/>
        </w:rPr>
        <w:t> </w:t>
      </w:r>
      <w:r>
        <w:rPr/>
        <w:t>aby v době stavění běhu lhůty došlo k nápravě vzniklého stavu,</w:t>
      </w:r>
    </w:p>
    <w:p>
      <w:pPr>
        <w:pStyle w:val="ListParagraph"/>
        <w:numPr>
          <w:ilvl w:val="1"/>
          <w:numId w:val="4"/>
        </w:numPr>
        <w:tabs>
          <w:tab w:pos="746" w:val="left" w:leader="none"/>
        </w:tabs>
        <w:spacing w:line="240" w:lineRule="auto" w:before="121"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0"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19"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7"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1"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2"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38"/>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6" w:hanging="284"/>
        <w:jc w:val="both"/>
        <w:rPr>
          <w:sz w:val="20"/>
        </w:rPr>
      </w:pPr>
      <w:r>
        <w:rPr>
          <w:sz w:val="20"/>
        </w:rPr>
        <w:t>informovat</w:t>
      </w:r>
      <w:r>
        <w:rPr>
          <w:spacing w:val="-6"/>
          <w:sz w:val="20"/>
        </w:rPr>
        <w:t> </w:t>
      </w:r>
      <w:r>
        <w:rPr>
          <w:sz w:val="20"/>
        </w:rPr>
        <w:t>Fond</w:t>
      </w:r>
      <w:r>
        <w:rPr>
          <w:spacing w:val="-6"/>
          <w:sz w:val="20"/>
        </w:rPr>
        <w:t> </w:t>
      </w:r>
      <w:r>
        <w:rPr>
          <w:sz w:val="20"/>
        </w:rPr>
        <w:t>o</w:t>
      </w:r>
      <w:r>
        <w:rPr>
          <w:spacing w:val="-6"/>
          <w:sz w:val="20"/>
        </w:rPr>
        <w:t> </w:t>
      </w:r>
      <w:r>
        <w:rPr>
          <w:sz w:val="20"/>
        </w:rPr>
        <w:t>všech</w:t>
      </w:r>
      <w:r>
        <w:rPr>
          <w:spacing w:val="-6"/>
          <w:sz w:val="20"/>
        </w:rPr>
        <w:t> </w:t>
      </w:r>
      <w:r>
        <w:rPr>
          <w:sz w:val="20"/>
        </w:rPr>
        <w:t>změnách</w:t>
      </w:r>
      <w:r>
        <w:rPr>
          <w:spacing w:val="-6"/>
          <w:sz w:val="20"/>
        </w:rPr>
        <w:t> </w:t>
      </w:r>
      <w:r>
        <w:rPr>
          <w:sz w:val="20"/>
        </w:rPr>
        <w:t>a</w:t>
      </w:r>
      <w:r>
        <w:rPr>
          <w:spacing w:val="-6"/>
          <w:sz w:val="20"/>
        </w:rPr>
        <w:t> </w:t>
      </w:r>
      <w:r>
        <w:rPr>
          <w:sz w:val="20"/>
        </w:rPr>
        <w:t>dalších</w:t>
      </w:r>
      <w:r>
        <w:rPr>
          <w:spacing w:val="-6"/>
          <w:sz w:val="20"/>
        </w:rPr>
        <w:t> </w:t>
      </w:r>
      <w:r>
        <w:rPr>
          <w:sz w:val="20"/>
        </w:rPr>
        <w:t>okolnostech,</w:t>
      </w:r>
      <w:r>
        <w:rPr>
          <w:spacing w:val="-6"/>
          <w:sz w:val="20"/>
        </w:rPr>
        <w:t> </w:t>
      </w:r>
      <w:r>
        <w:rPr>
          <w:sz w:val="20"/>
        </w:rPr>
        <w:t>které</w:t>
      </w:r>
      <w:r>
        <w:rPr>
          <w:spacing w:val="-5"/>
          <w:sz w:val="20"/>
        </w:rPr>
        <w:t> </w:t>
      </w:r>
      <w:r>
        <w:rPr>
          <w:sz w:val="20"/>
        </w:rPr>
        <w:t>mají</w:t>
      </w:r>
      <w:r>
        <w:rPr>
          <w:spacing w:val="-6"/>
          <w:sz w:val="20"/>
        </w:rPr>
        <w:t> </w:t>
      </w:r>
      <w:r>
        <w:rPr>
          <w:sz w:val="20"/>
        </w:rPr>
        <w:t>nebo</w:t>
      </w:r>
      <w:r>
        <w:rPr>
          <w:spacing w:val="-5"/>
          <w:sz w:val="20"/>
        </w:rPr>
        <w:t> </w:t>
      </w:r>
      <w:r>
        <w:rPr>
          <w:sz w:val="20"/>
        </w:rPr>
        <w:t>by</w:t>
      </w:r>
      <w:r>
        <w:rPr>
          <w:spacing w:val="-6"/>
          <w:sz w:val="20"/>
        </w:rPr>
        <w:t> </w:t>
      </w:r>
      <w:r>
        <w:rPr>
          <w:sz w:val="20"/>
        </w:rPr>
        <w:t>mohly</w:t>
      </w:r>
      <w:r>
        <w:rPr>
          <w:spacing w:val="-6"/>
          <w:sz w:val="20"/>
        </w:rPr>
        <w:t> </w:t>
      </w:r>
      <w:r>
        <w:rPr>
          <w:sz w:val="20"/>
        </w:rPr>
        <w:t>mít</w:t>
      </w:r>
      <w:r>
        <w:rPr>
          <w:spacing w:val="-6"/>
          <w:sz w:val="20"/>
        </w:rPr>
        <w:t> </w:t>
      </w:r>
      <w:r>
        <w:rPr>
          <w:sz w:val="20"/>
        </w:rPr>
        <w:t>vliv</w:t>
      </w:r>
      <w:r>
        <w:rPr>
          <w:spacing w:val="-6"/>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1"/>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8"/>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8"/>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40"/>
          <w:sz w:val="20"/>
        </w:rPr>
        <w:t> </w:t>
      </w:r>
      <w:r>
        <w:rPr>
          <w:sz w:val="20"/>
        </w:rPr>
        <w:t>veškeré</w:t>
      </w:r>
      <w:r>
        <w:rPr>
          <w:spacing w:val="40"/>
          <w:sz w:val="20"/>
        </w:rPr>
        <w:t> </w:t>
      </w:r>
      <w:r>
        <w:rPr>
          <w:sz w:val="20"/>
        </w:rPr>
        <w:t>dokumenty</w:t>
      </w:r>
      <w:r>
        <w:rPr>
          <w:spacing w:val="40"/>
          <w:sz w:val="20"/>
        </w:rPr>
        <w:t> </w:t>
      </w:r>
      <w:r>
        <w:rPr>
          <w:sz w:val="20"/>
        </w:rPr>
        <w:t>související</w:t>
      </w:r>
      <w:r>
        <w:rPr>
          <w:spacing w:val="40"/>
          <w:sz w:val="20"/>
        </w:rPr>
        <w:t> </w:t>
      </w:r>
      <w:r>
        <w:rPr>
          <w:sz w:val="20"/>
        </w:rPr>
        <w:t>s realizací</w:t>
      </w:r>
      <w:r>
        <w:rPr>
          <w:spacing w:val="40"/>
          <w:sz w:val="20"/>
        </w:rPr>
        <w:t> </w:t>
      </w:r>
      <w:r>
        <w:rPr>
          <w:sz w:val="20"/>
        </w:rPr>
        <w:t>projektu</w:t>
      </w:r>
      <w:r>
        <w:rPr>
          <w:spacing w:val="40"/>
          <w:sz w:val="20"/>
        </w:rPr>
        <w:t> </w:t>
      </w:r>
      <w:r>
        <w:rPr>
          <w:sz w:val="20"/>
        </w:rPr>
        <w:t>včetně</w:t>
      </w:r>
      <w:r>
        <w:rPr>
          <w:spacing w:val="40"/>
          <w:sz w:val="20"/>
        </w:rPr>
        <w:t> </w:t>
      </w:r>
      <w:r>
        <w:rPr>
          <w:sz w:val="20"/>
        </w:rPr>
        <w:t>fotodokumentace</w:t>
      </w:r>
      <w:r>
        <w:rPr>
          <w:spacing w:val="40"/>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4"/>
          <w:sz w:val="20"/>
        </w:rPr>
        <w:t> </w:t>
      </w:r>
      <w:r>
        <w:rPr>
          <w:sz w:val="20"/>
        </w:rPr>
        <w:t>trhem,</w:t>
      </w:r>
      <w:r>
        <w:rPr>
          <w:spacing w:val="-12"/>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2"/>
        <w:ind w:left="385"/>
        <w:jc w:val="both"/>
      </w:pPr>
      <w:r>
        <w:rPr/>
        <w:t>o</w:t>
      </w:r>
      <w:r>
        <w:rPr>
          <w:spacing w:val="-7"/>
        </w:rPr>
        <w:t> </w:t>
      </w:r>
      <w:r>
        <w:rPr/>
        <w:t>změně</w:t>
      </w:r>
      <w:r>
        <w:rPr>
          <w:spacing w:val="-7"/>
        </w:rPr>
        <w:t> </w:t>
      </w:r>
      <w:r>
        <w:rPr/>
        <w:t>některých</w:t>
      </w:r>
      <w:r>
        <w:rPr>
          <w:spacing w:val="-6"/>
        </w:rPr>
        <w:t> </w:t>
      </w:r>
      <w:r>
        <w:rPr/>
        <w:t>souvisejících</w:t>
      </w:r>
      <w:r>
        <w:rPr>
          <w:spacing w:val="-7"/>
        </w:rPr>
        <w:t> </w:t>
      </w:r>
      <w:r>
        <w:rPr/>
        <w:t>zákonů</w:t>
      </w:r>
      <w:r>
        <w:rPr>
          <w:spacing w:val="-7"/>
        </w:rPr>
        <w:t> </w:t>
      </w:r>
      <w:r>
        <w:rPr/>
        <w:t>(rozpočtová</w:t>
      </w:r>
      <w:r>
        <w:rPr>
          <w:spacing w:val="-8"/>
        </w:rPr>
        <w:t> </w:t>
      </w:r>
      <w:r>
        <w:rPr/>
        <w:t>pravidla),</w:t>
      </w:r>
      <w:r>
        <w:rPr>
          <w:spacing w:val="-8"/>
        </w:rPr>
        <w:t> </w:t>
      </w:r>
      <w:r>
        <w:rPr/>
        <w:t>v</w:t>
      </w:r>
      <w:r>
        <w:rPr>
          <w:spacing w:val="-3"/>
        </w:rPr>
        <w:t> </w:t>
      </w:r>
      <w:r>
        <w:rPr/>
        <w:t>platném</w:t>
      </w:r>
      <w:r>
        <w:rPr>
          <w:spacing w:val="-9"/>
        </w:rPr>
        <w:t> </w:t>
      </w:r>
      <w:r>
        <w:rPr>
          <w:spacing w:val="-2"/>
        </w:rPr>
        <w:t>znění.</w:t>
      </w:r>
    </w:p>
    <w:p>
      <w:pPr>
        <w:pStyle w:val="ListParagraph"/>
        <w:numPr>
          <w:ilvl w:val="0"/>
          <w:numId w:val="5"/>
        </w:numPr>
        <w:tabs>
          <w:tab w:pos="386" w:val="left" w:leader="none"/>
        </w:tabs>
        <w:spacing w:line="240" w:lineRule="auto" w:before="121"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pStyle w:val="ListParagraph"/>
        <w:numPr>
          <w:ilvl w:val="0"/>
          <w:numId w:val="5"/>
        </w:numPr>
        <w:tabs>
          <w:tab w:pos="386" w:val="left" w:leader="none"/>
        </w:tabs>
        <w:spacing w:line="240" w:lineRule="auto" w:before="120" w:after="0"/>
        <w:ind w:left="385" w:right="116"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both"/>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6"/>
          <w:sz w:val="20"/>
        </w:rPr>
        <w:t> </w:t>
      </w:r>
      <w:r>
        <w:rPr>
          <w:spacing w:val="-2"/>
          <w:sz w:val="20"/>
        </w:rPr>
        <w:t>podpory,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1"/>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8"/>
          <w:sz w:val="20"/>
        </w:rPr>
        <w:t> </w:t>
      </w:r>
      <w:r>
        <w:rPr>
          <w:sz w:val="20"/>
        </w:rPr>
        <w:t>k)</w:t>
      </w:r>
      <w:r>
        <w:rPr>
          <w:spacing w:val="35"/>
          <w:sz w:val="20"/>
        </w:rPr>
        <w:t> </w:t>
      </w:r>
      <w:r>
        <w:rPr>
          <w:sz w:val="20"/>
        </w:rPr>
        <w:t>bude</w:t>
      </w:r>
      <w:r>
        <w:rPr>
          <w:spacing w:val="40"/>
          <w:sz w:val="20"/>
        </w:rPr>
        <w:t> </w:t>
      </w:r>
      <w:r>
        <w:rPr>
          <w:sz w:val="20"/>
        </w:rPr>
        <w:t>postiženo</w:t>
      </w:r>
      <w:r>
        <w:rPr>
          <w:spacing w:val="37"/>
          <w:sz w:val="20"/>
        </w:rPr>
        <w:t> </w:t>
      </w:r>
      <w:r>
        <w:rPr>
          <w:sz w:val="20"/>
        </w:rPr>
        <w:t>odvodem</w:t>
      </w:r>
      <w:r>
        <w:rPr>
          <w:spacing w:val="34"/>
          <w:sz w:val="20"/>
        </w:rPr>
        <w:t> </w:t>
      </w:r>
      <w:r>
        <w:rPr>
          <w:sz w:val="20"/>
        </w:rPr>
        <w:t>ve</w:t>
      </w:r>
      <w:r>
        <w:rPr>
          <w:spacing w:val="34"/>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18"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5"/>
          <w:sz w:val="20"/>
        </w:rPr>
        <w:t> </w:t>
      </w:r>
      <w:r>
        <w:rPr>
          <w:sz w:val="20"/>
        </w:rPr>
        <w:t>takto:</w:t>
      </w:r>
      <w:r>
        <w:rPr>
          <w:spacing w:val="35"/>
          <w:sz w:val="20"/>
        </w:rPr>
        <w:t> </w:t>
      </w:r>
      <w:r>
        <w:rPr>
          <w:sz w:val="20"/>
        </w:rPr>
        <w:t>do</w:t>
      </w:r>
      <w:r>
        <w:rPr>
          <w:spacing w:val="35"/>
          <w:sz w:val="20"/>
        </w:rPr>
        <w:t> </w:t>
      </w:r>
      <w:r>
        <w:rPr>
          <w:sz w:val="20"/>
        </w:rPr>
        <w:t>60</w:t>
      </w:r>
      <w:r>
        <w:rPr>
          <w:spacing w:val="35"/>
          <w:sz w:val="20"/>
        </w:rPr>
        <w:t> </w:t>
      </w:r>
      <w:r>
        <w:rPr>
          <w:sz w:val="20"/>
        </w:rPr>
        <w:t>kalendářních</w:t>
      </w:r>
      <w:r>
        <w:rPr>
          <w:spacing w:val="34"/>
          <w:sz w:val="20"/>
        </w:rPr>
        <w:t> </w:t>
      </w:r>
      <w:r>
        <w:rPr>
          <w:sz w:val="20"/>
        </w:rPr>
        <w:t>dní</w:t>
      </w:r>
      <w:r>
        <w:rPr>
          <w:spacing w:val="34"/>
          <w:sz w:val="20"/>
        </w:rPr>
        <w:t> </w:t>
      </w:r>
      <w:r>
        <w:rPr>
          <w:sz w:val="20"/>
        </w:rPr>
        <w:t>bez</w:t>
      </w:r>
      <w:r>
        <w:rPr>
          <w:spacing w:val="35"/>
          <w:sz w:val="20"/>
        </w:rPr>
        <w:t> </w:t>
      </w:r>
      <w:r>
        <w:rPr>
          <w:sz w:val="20"/>
        </w:rPr>
        <w:t>postihu,</w:t>
      </w:r>
      <w:r>
        <w:rPr>
          <w:spacing w:val="36"/>
          <w:sz w:val="20"/>
        </w:rPr>
        <w:t> </w:t>
      </w:r>
      <w:r>
        <w:rPr>
          <w:sz w:val="20"/>
        </w:rPr>
        <w:t>od</w:t>
      </w:r>
      <w:r>
        <w:rPr>
          <w:spacing w:val="35"/>
          <w:sz w:val="20"/>
        </w:rPr>
        <w:t> </w:t>
      </w:r>
      <w:r>
        <w:rPr>
          <w:sz w:val="20"/>
        </w:rPr>
        <w:t>61</w:t>
      </w:r>
      <w:r>
        <w:rPr>
          <w:spacing w:val="35"/>
          <w:sz w:val="20"/>
        </w:rPr>
        <w:t> </w:t>
      </w:r>
      <w:r>
        <w:rPr>
          <w:sz w:val="20"/>
        </w:rPr>
        <w:t>do</w:t>
      </w:r>
      <w:r>
        <w:rPr>
          <w:spacing w:val="35"/>
          <w:sz w:val="20"/>
        </w:rPr>
        <w:t> </w:t>
      </w:r>
      <w:r>
        <w:rPr>
          <w:sz w:val="20"/>
        </w:rPr>
        <w:t>120</w:t>
      </w:r>
      <w:r>
        <w:rPr>
          <w:spacing w:val="35"/>
          <w:sz w:val="20"/>
        </w:rPr>
        <w:t> </w:t>
      </w:r>
      <w:r>
        <w:rPr>
          <w:sz w:val="20"/>
        </w:rPr>
        <w:t>kalendářních</w:t>
      </w:r>
      <w:r>
        <w:rPr>
          <w:spacing w:val="34"/>
          <w:sz w:val="20"/>
        </w:rPr>
        <w:t> </w:t>
      </w:r>
      <w:r>
        <w:rPr>
          <w:sz w:val="20"/>
        </w:rPr>
        <w:t>dní</w:t>
      </w:r>
      <w:r>
        <w:rPr>
          <w:spacing w:val="34"/>
          <w:sz w:val="20"/>
        </w:rPr>
        <w:t> </w:t>
      </w:r>
      <w:r>
        <w:rPr>
          <w:sz w:val="20"/>
        </w:rPr>
        <w:t>odvod</w:t>
      </w:r>
      <w:r>
        <w:rPr>
          <w:spacing w:val="35"/>
          <w:sz w:val="20"/>
        </w:rPr>
        <w:t> </w:t>
      </w:r>
      <w:r>
        <w:rPr>
          <w:sz w:val="20"/>
        </w:rPr>
        <w:t>0,5</w:t>
      </w:r>
      <w:r>
        <w:rPr>
          <w:spacing w:val="40"/>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2"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19" w:after="0"/>
        <w:ind w:left="385" w:right="111" w:hanging="284"/>
        <w:jc w:val="both"/>
        <w:rPr>
          <w:sz w:val="20"/>
        </w:rPr>
      </w:pPr>
      <w:r>
        <w:rPr>
          <w:sz w:val="20"/>
        </w:rPr>
        <w:t>V</w:t>
      </w:r>
      <w:r>
        <w:rPr>
          <w:spacing w:val="-1"/>
          <w:sz w:val="20"/>
        </w:rPr>
        <w:t> </w:t>
      </w:r>
      <w:r>
        <w:rPr>
          <w:sz w:val="20"/>
        </w:rPr>
        <w:t>případě, že dojde k</w:t>
      </w:r>
      <w:r>
        <w:rPr>
          <w:spacing w:val="-1"/>
          <w:sz w:val="20"/>
        </w:rPr>
        <w:t> </w:t>
      </w:r>
      <w:r>
        <w:rPr>
          <w:sz w:val="20"/>
        </w:rPr>
        <w:t>porušení povinností uvedených v článku IV bodu 2 písm. g), bude stanovena finanční oprava podle přílohy č. 1 této Smlouvy.</w:t>
      </w:r>
    </w:p>
    <w:p>
      <w:pPr>
        <w:pStyle w:val="ListParagraph"/>
        <w:numPr>
          <w:ilvl w:val="0"/>
          <w:numId w:val="5"/>
        </w:numPr>
        <w:tabs>
          <w:tab w:pos="386" w:val="left" w:leader="none"/>
        </w:tabs>
        <w:spacing w:line="240" w:lineRule="auto" w:before="121" w:after="0"/>
        <w:ind w:left="385" w:right="110" w:hanging="284"/>
        <w:jc w:val="both"/>
        <w:rPr>
          <w:sz w:val="20"/>
        </w:rPr>
      </w:pPr>
      <w:r>
        <w:rPr>
          <w:sz w:val="20"/>
        </w:rPr>
        <w:t>Porušení ostatních povinností podle této Smlouvy bude postiženo odvodem ve výši 0,1 % z poskytnuté </w:t>
      </w:r>
      <w:r>
        <w:rPr>
          <w:spacing w:val="-2"/>
          <w:sz w:val="20"/>
        </w:rPr>
        <w:t>podpory.</w:t>
      </w:r>
    </w:p>
    <w:p>
      <w:pPr>
        <w:pStyle w:val="BodyText"/>
      </w:pPr>
    </w:p>
    <w:p>
      <w:pPr>
        <w:pStyle w:val="Heading1"/>
        <w:spacing w:line="265" w:lineRule="exact" w:before="1"/>
        <w:ind w:left="3140"/>
      </w:pPr>
      <w:r>
        <w:rPr>
          <w:spacing w:val="-5"/>
        </w:rPr>
        <w:t>VI.</w:t>
      </w:r>
    </w:p>
    <w:p>
      <w:pPr>
        <w:pStyle w:val="Heading2"/>
        <w:spacing w:line="265" w:lineRule="exact"/>
        <w:ind w:left="3137" w:right="314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37" w:lineRule="auto" w:before="124"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2" w:after="0"/>
        <w:ind w:left="385" w:right="121"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40" w:lineRule="auto" w:before="119" w:after="0"/>
        <w:ind w:left="385" w:right="119"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0"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7"/>
          <w:sz w:val="20"/>
        </w:rPr>
        <w:t> </w:t>
      </w:r>
      <w:r>
        <w:rPr>
          <w:sz w:val="20"/>
        </w:rPr>
        <w:t>Smlouvy</w:t>
      </w:r>
      <w:r>
        <w:rPr>
          <w:spacing w:val="-5"/>
          <w:sz w:val="20"/>
        </w:rPr>
        <w:t> </w:t>
      </w:r>
      <w:r>
        <w:rPr>
          <w:sz w:val="20"/>
        </w:rPr>
        <w:t>má</w:t>
      </w:r>
      <w:r>
        <w:rPr>
          <w:spacing w:val="-5"/>
          <w:sz w:val="20"/>
        </w:rPr>
        <w:t> </w:t>
      </w:r>
      <w:r>
        <w:rPr>
          <w:sz w:val="20"/>
        </w:rPr>
        <w:t>povinnost</w:t>
      </w:r>
      <w:r>
        <w:rPr>
          <w:spacing w:val="-8"/>
          <w:sz w:val="20"/>
        </w:rPr>
        <w:t> </w:t>
      </w:r>
      <w:r>
        <w:rPr>
          <w:sz w:val="20"/>
        </w:rPr>
        <w:t>příjemce</w:t>
      </w:r>
      <w:r>
        <w:rPr>
          <w:spacing w:val="-7"/>
          <w:sz w:val="20"/>
        </w:rPr>
        <w:t> </w:t>
      </w:r>
      <w:r>
        <w:rPr>
          <w:sz w:val="20"/>
        </w:rPr>
        <w:t>podpory</w:t>
      </w:r>
      <w:r>
        <w:rPr>
          <w:spacing w:val="-8"/>
          <w:sz w:val="20"/>
        </w:rPr>
        <w:t> </w:t>
      </w:r>
      <w:r>
        <w:rPr>
          <w:sz w:val="20"/>
        </w:rPr>
        <w:t>stejný</w:t>
      </w:r>
      <w:r>
        <w:rPr>
          <w:spacing w:val="-8"/>
          <w:sz w:val="20"/>
        </w:rPr>
        <w:t> </w:t>
      </w:r>
      <w:r>
        <w:rPr>
          <w:sz w:val="20"/>
        </w:rPr>
        <w:t>význam</w:t>
      </w:r>
      <w:r>
        <w:rPr>
          <w:spacing w:val="-8"/>
          <w:sz w:val="20"/>
        </w:rPr>
        <w:t> </w:t>
      </w:r>
      <w:r>
        <w:rPr>
          <w:sz w:val="20"/>
        </w:rPr>
        <w:t>jako</w:t>
      </w:r>
      <w:r>
        <w:rPr>
          <w:spacing w:val="-7"/>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18" w:hanging="284"/>
        <w:jc w:val="both"/>
        <w:rPr>
          <w:sz w:val="20"/>
        </w:rPr>
      </w:pPr>
      <w:r>
        <w:rPr>
          <w:sz w:val="20"/>
        </w:rPr>
        <w:t>Pro účely této Smlouvy se informací (povinností informovat) rozumí podání informace prostřednictvím AIS SFŽP, případně e-mailem, datovou schránkou nebo v písemné podobě.</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ind w:left="385" w:right="121"/>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19" w:after="0"/>
        <w:ind w:left="385" w:right="115"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spacing w:before="1"/>
        <w:rPr>
          <w:sz w:val="23"/>
        </w:rPr>
      </w:pPr>
    </w:p>
    <w:p>
      <w:pPr>
        <w:pStyle w:val="BodyText"/>
        <w:ind w:left="102"/>
      </w:pPr>
      <w:r>
        <w:rPr>
          <w:spacing w:val="-5"/>
        </w:rPr>
        <w:t>V:</w:t>
      </w:r>
    </w:p>
    <w:p>
      <w:pPr>
        <w:pStyle w:val="BodyText"/>
      </w:pPr>
    </w:p>
    <w:p>
      <w:pPr>
        <w:pStyle w:val="BodyText"/>
        <w:tabs>
          <w:tab w:pos="6582" w:val="left" w:leader="none"/>
        </w:tabs>
        <w:spacing w:before="1"/>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2"/>
        <w:rPr>
          <w:sz w:val="27"/>
        </w:rPr>
      </w:pPr>
    </w:p>
    <w:p>
      <w:pPr>
        <w:tabs>
          <w:tab w:pos="6582" w:val="left" w:leader="none"/>
        </w:tabs>
        <w:spacing w:before="1"/>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2"/>
        <w:rPr>
          <w:sz w:val="28"/>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9" w:val="left" w:leader="none"/>
          <w:tab w:pos="4840" w:val="left" w:leader="none"/>
          <w:tab w:pos="5948" w:val="left" w:leader="none"/>
          <w:tab w:pos="6986" w:val="left" w:leader="none"/>
          <w:tab w:pos="8199" w:val="left" w:leader="none"/>
          <w:tab w:pos="8673" w:val="left" w:leader="none"/>
        </w:tabs>
        <w:spacing w:line="261" w:lineRule="auto" w:before="1"/>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6"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8"/>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w:t>
      </w:r>
      <w:r>
        <w:rPr>
          <w:spacing w:val="-2"/>
          <w:sz w:val="20"/>
        </w:rPr>
        <w:t> </w:t>
      </w:r>
      <w:r>
        <w:rPr>
          <w:sz w:val="20"/>
        </w:rPr>
        <w:t>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2"/>
              <w:jc w:val="both"/>
              <w:rPr>
                <w:sz w:val="20"/>
              </w:rPr>
            </w:pPr>
            <w:r>
              <w:rPr>
                <w:sz w:val="20"/>
              </w:rPr>
              <w:t>byla</w:t>
            </w:r>
            <w:r>
              <w:rPr>
                <w:spacing w:val="-14"/>
                <w:sz w:val="20"/>
              </w:rPr>
              <w:t> </w:t>
            </w:r>
            <w:r>
              <w:rPr>
                <w:sz w:val="20"/>
              </w:rPr>
              <w:t>doručena</w:t>
            </w:r>
            <w:r>
              <w:rPr>
                <w:spacing w:val="-13"/>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4"/>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before="0"/>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5"/>
                <w:sz w:val="20"/>
              </w:rPr>
              <w:t> </w:t>
            </w:r>
            <w:r>
              <w:rPr>
                <w:sz w:val="20"/>
              </w:rPr>
              <w:t>se</w:t>
            </w:r>
            <w:r>
              <w:rPr>
                <w:spacing w:val="-6"/>
                <w:sz w:val="20"/>
              </w:rPr>
              <w:t> </w:t>
            </w:r>
            <w:r>
              <w:rPr>
                <w:sz w:val="20"/>
              </w:rPr>
              <w:t>na</w:t>
            </w:r>
            <w:r>
              <w:rPr>
                <w:spacing w:val="-7"/>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72384"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43584">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2024-03-21T07:06:42Z</dcterms:created>
  <dcterms:modified xsi:type="dcterms:W3CDTF">2024-03-21T07:06:42Z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2024-03-12T00:00:00Z</vt:filetime>
  </property>
  <property fmtid="{D5CDD505-2E9C-101B-9397-08002B2CF9AE}" pid="3" name="Creator">
    <vt:lpwstr>Microsoft® Word 2016</vt:lpwstr>
  </property>
  <property fmtid="{D5CDD505-2E9C-101B-9397-08002B2CF9AE}" pid="4" name="LastSaved">
    <vt:filetime>2024-03-21T00:00:00Z</vt:filetime>
  </property>
</Properties>
</file>