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7445E224"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1730D0">
        <w:rPr>
          <w:bCs/>
          <w:sz w:val="20"/>
          <w:szCs w:val="20"/>
        </w:rPr>
        <w:t>5</w:t>
      </w:r>
      <w:r w:rsidR="003A4831">
        <w:rPr>
          <w:bCs/>
          <w:sz w:val="20"/>
          <w:szCs w:val="20"/>
        </w:rPr>
        <w:t>/2</w:t>
      </w:r>
      <w:r w:rsidR="001730D0">
        <w:rPr>
          <w:bCs/>
          <w:sz w:val="20"/>
          <w:szCs w:val="20"/>
        </w:rPr>
        <w:t>4</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07A5AFEF" w14:textId="77777777" w:rsidR="002F67D0" w:rsidRPr="00C721FB" w:rsidRDefault="008271C5" w:rsidP="002F67D0">
      <w:pPr>
        <w:pStyle w:val="Odstavecseseznamem"/>
        <w:numPr>
          <w:ilvl w:val="0"/>
          <w:numId w:val="40"/>
        </w:numPr>
        <w:tabs>
          <w:tab w:val="left" w:pos="993"/>
          <w:tab w:val="left" w:pos="1418"/>
        </w:tabs>
        <w:autoSpaceDE w:val="0"/>
        <w:autoSpaceDN w:val="0"/>
        <w:adjustRightInd w:val="0"/>
      </w:pPr>
      <w:r w:rsidRPr="00306A60">
        <w:rPr>
          <w:b/>
          <w:sz w:val="23"/>
          <w:szCs w:val="23"/>
        </w:rPr>
        <w:t>PRODÁVAJÍCÍ</w:t>
      </w:r>
      <w:r w:rsidRPr="0030147D">
        <w:rPr>
          <w:b/>
          <w:sz w:val="23"/>
          <w:szCs w:val="23"/>
        </w:rPr>
        <w:t>:</w:t>
      </w:r>
      <w:r w:rsidRPr="0030147D">
        <w:rPr>
          <w:b/>
          <w:sz w:val="23"/>
          <w:szCs w:val="23"/>
        </w:rPr>
        <w:tab/>
      </w:r>
      <w:r w:rsidR="002F67D0">
        <w:rPr>
          <w:b/>
          <w:sz w:val="23"/>
          <w:szCs w:val="23"/>
        </w:rPr>
        <w:t>INTERMONT s. r. o.</w:t>
      </w:r>
    </w:p>
    <w:p w14:paraId="7A5B289B" w14:textId="77777777" w:rsidR="002F67D0" w:rsidRPr="009865E4" w:rsidRDefault="002F67D0" w:rsidP="002F67D0">
      <w:pPr>
        <w:tabs>
          <w:tab w:val="left" w:pos="1134"/>
          <w:tab w:val="left" w:pos="1418"/>
        </w:tabs>
        <w:spacing w:after="0" w:line="240" w:lineRule="auto"/>
        <w:ind w:left="1416"/>
      </w:pPr>
      <w:r>
        <w:rPr>
          <w:b/>
        </w:rPr>
        <w:tab/>
      </w:r>
      <w:r w:rsidRPr="00566A07">
        <w:rPr>
          <w:b/>
        </w:rPr>
        <w:t>Zastoupen</w:t>
      </w:r>
      <w:r>
        <w:rPr>
          <w:b/>
        </w:rPr>
        <w:t>o:</w:t>
      </w:r>
      <w:r w:rsidRPr="00566A07">
        <w:rPr>
          <w:b/>
        </w:rPr>
        <w:t xml:space="preserve"> </w:t>
      </w:r>
      <w:r w:rsidRPr="009865E4">
        <w:t>Ing. Vladimírem Kubešem, Ph.D.,</w:t>
      </w:r>
      <w:r>
        <w:t xml:space="preserve"> -</w:t>
      </w:r>
      <w:r w:rsidRPr="009865E4">
        <w:t xml:space="preserve"> jednatelem </w:t>
      </w:r>
    </w:p>
    <w:p w14:paraId="1631B8C6" w14:textId="77777777" w:rsidR="002F67D0" w:rsidRPr="009865E4" w:rsidRDefault="002F67D0" w:rsidP="002F67D0">
      <w:pPr>
        <w:tabs>
          <w:tab w:val="left" w:pos="1134"/>
          <w:tab w:val="left" w:pos="1418"/>
        </w:tabs>
        <w:spacing w:after="0" w:line="240" w:lineRule="auto"/>
        <w:ind w:left="1134"/>
      </w:pPr>
      <w:r>
        <w:rPr>
          <w:b/>
        </w:rPr>
        <w:tab/>
      </w:r>
      <w:r w:rsidRPr="009865E4">
        <w:t xml:space="preserve">se sídlem: </w:t>
      </w:r>
      <w:r>
        <w:t>Mikuláše Střely 191, 582 66 Krucemburk</w:t>
      </w:r>
      <w:r w:rsidRPr="009865E4">
        <w:t xml:space="preserve"> </w:t>
      </w:r>
    </w:p>
    <w:p w14:paraId="0C8A3E27" w14:textId="77777777" w:rsidR="002F67D0" w:rsidRDefault="002F67D0" w:rsidP="002F67D0">
      <w:pPr>
        <w:tabs>
          <w:tab w:val="left" w:pos="1134"/>
          <w:tab w:val="left" w:pos="1418"/>
        </w:tabs>
        <w:spacing w:after="0" w:line="240" w:lineRule="auto"/>
        <w:ind w:left="1134"/>
      </w:pPr>
      <w:r>
        <w:tab/>
        <w:t>IČO: 47451441</w:t>
      </w:r>
    </w:p>
    <w:p w14:paraId="2E7F16D1" w14:textId="77777777" w:rsidR="002F67D0" w:rsidRDefault="002F67D0" w:rsidP="002F67D0">
      <w:pPr>
        <w:tabs>
          <w:tab w:val="left" w:pos="993"/>
          <w:tab w:val="left" w:pos="1134"/>
          <w:tab w:val="left" w:pos="1418"/>
        </w:tabs>
        <w:spacing w:after="0" w:line="240" w:lineRule="auto"/>
        <w:ind w:left="1134"/>
        <w:jc w:val="both"/>
      </w:pPr>
      <w:r>
        <w:tab/>
      </w:r>
      <w:r w:rsidRPr="000932B4">
        <w:t xml:space="preserve">DIČ: CZ </w:t>
      </w:r>
      <w:r>
        <w:t>47451441</w:t>
      </w:r>
    </w:p>
    <w:p w14:paraId="5C9B0FB0" w14:textId="77777777" w:rsidR="002F67D0" w:rsidRDefault="002F67D0" w:rsidP="002F67D0">
      <w:pPr>
        <w:tabs>
          <w:tab w:val="left" w:pos="993"/>
          <w:tab w:val="left" w:pos="1134"/>
          <w:tab w:val="left" w:pos="1418"/>
        </w:tabs>
        <w:spacing w:after="0" w:line="240" w:lineRule="auto"/>
        <w:ind w:left="1418" w:hanging="142"/>
        <w:jc w:val="both"/>
      </w:pPr>
      <w:r>
        <w:tab/>
      </w:r>
      <w:r w:rsidRPr="00C721FB">
        <w:t xml:space="preserve">Bankovní </w:t>
      </w:r>
      <w:proofErr w:type="gramStart"/>
      <w:r w:rsidRPr="00C721FB">
        <w:t xml:space="preserve">spojení: </w:t>
      </w:r>
      <w:r>
        <w:t xml:space="preserve"> č.</w:t>
      </w:r>
      <w:proofErr w:type="gramEnd"/>
      <w:r>
        <w:t xml:space="preserve"> </w:t>
      </w:r>
      <w:proofErr w:type="spellStart"/>
      <w:r>
        <w:t>ú.</w:t>
      </w:r>
      <w:proofErr w:type="spellEnd"/>
      <w:r>
        <w:t xml:space="preserve"> : 559033524/0600</w:t>
      </w:r>
    </w:p>
    <w:p w14:paraId="43B5C2E1" w14:textId="77777777" w:rsidR="002F67D0" w:rsidRPr="00C721FB" w:rsidRDefault="002F67D0" w:rsidP="002F67D0">
      <w:pPr>
        <w:tabs>
          <w:tab w:val="left" w:pos="993"/>
          <w:tab w:val="left" w:pos="1134"/>
          <w:tab w:val="left" w:pos="1418"/>
        </w:tabs>
        <w:spacing w:after="0" w:line="240" w:lineRule="auto"/>
        <w:ind w:left="1418" w:hanging="142"/>
        <w:jc w:val="both"/>
      </w:pPr>
      <w:r>
        <w:t xml:space="preserve">   zástupce ve </w:t>
      </w:r>
      <w:r w:rsidRPr="00C721FB">
        <w:t>věcech</w:t>
      </w:r>
      <w:r>
        <w:t xml:space="preserve"> technických: Ing. Vladimír Kubešem, Ph.D.</w:t>
      </w:r>
    </w:p>
    <w:p w14:paraId="4C0A201F" w14:textId="2F0219D1" w:rsidR="0030147D" w:rsidRPr="00C721FB" w:rsidRDefault="0030147D" w:rsidP="002F67D0">
      <w:pPr>
        <w:pStyle w:val="Odstavecseseznamem"/>
        <w:numPr>
          <w:ilvl w:val="0"/>
          <w:numId w:val="40"/>
        </w:numPr>
        <w:tabs>
          <w:tab w:val="left" w:pos="993"/>
          <w:tab w:val="left" w:pos="1418"/>
        </w:tabs>
        <w:autoSpaceDE w:val="0"/>
        <w:autoSpaceDN w:val="0"/>
        <w:adjustRightInd w:val="0"/>
      </w:pP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745A9307"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48973E86"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6D11B350" w:rsidR="00A83103" w:rsidRDefault="00A83103" w:rsidP="0078718C">
      <w:pPr>
        <w:pStyle w:val="Odstavecseseznamem"/>
        <w:numPr>
          <w:ilvl w:val="0"/>
          <w:numId w:val="33"/>
        </w:numPr>
        <w:spacing w:after="0"/>
        <w:jc w:val="both"/>
      </w:pPr>
      <w:r>
        <w:t xml:space="preserve">Smluvní strany si ujednaly, že místem plnění je </w:t>
      </w:r>
      <w:r w:rsidR="00DC061B">
        <w:t>školní pavilon</w:t>
      </w:r>
      <w:r w:rsidR="00306A60">
        <w:t xml:space="preserve"> domova mládeže</w:t>
      </w:r>
      <w:r w:rsidR="001730D0">
        <w:t xml:space="preserve"> – budova „H“</w:t>
      </w:r>
      <w:r w:rsidR="00306A60">
        <w:t xml:space="preserve"> Dukelská 640,</w:t>
      </w:r>
      <w:r w:rsidR="00597B07">
        <w:t xml:space="preserve"> Sezimovo Ústí</w:t>
      </w:r>
      <w:r w:rsidR="00A638CF">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191EF94A"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1730D0">
        <w:rPr>
          <w:rFonts w:asciiTheme="majorHAnsi" w:hAnsiTheme="majorHAnsi"/>
          <w:b/>
        </w:rPr>
        <w:t>30</w:t>
      </w:r>
      <w:r w:rsidR="001D41D3" w:rsidRPr="00A638CF">
        <w:rPr>
          <w:rFonts w:asciiTheme="majorHAnsi" w:hAnsiTheme="majorHAnsi"/>
          <w:b/>
        </w:rPr>
        <w:t>.</w:t>
      </w:r>
      <w:r w:rsidR="00235430" w:rsidRPr="00A638CF">
        <w:rPr>
          <w:rFonts w:asciiTheme="majorHAnsi" w:hAnsiTheme="majorHAnsi"/>
          <w:b/>
        </w:rPr>
        <w:t xml:space="preserve"> </w:t>
      </w:r>
      <w:r w:rsidR="00A638CF" w:rsidRPr="00A638CF">
        <w:rPr>
          <w:rFonts w:asciiTheme="majorHAnsi" w:hAnsiTheme="majorHAnsi"/>
          <w:b/>
        </w:rPr>
        <w:t>0</w:t>
      </w:r>
      <w:r w:rsidR="001730D0">
        <w:rPr>
          <w:rFonts w:asciiTheme="majorHAnsi" w:hAnsiTheme="majorHAnsi"/>
          <w:b/>
        </w:rPr>
        <w:t>6</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1730D0">
        <w:rPr>
          <w:rFonts w:asciiTheme="majorHAnsi" w:hAnsiTheme="majorHAnsi"/>
          <w:b/>
        </w:rPr>
        <w:t>4</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lastRenderedPageBreak/>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3CD9AE6C"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597B07" w:rsidRPr="00597B07">
              <w:rPr>
                <w:rFonts w:ascii="Verdana" w:hAnsi="Verdana"/>
                <w:b/>
                <w:bCs/>
                <w:i w:val="0"/>
                <w:iCs w:val="0"/>
                <w:sz w:val="17"/>
                <w:szCs w:val="17"/>
                <w:lang w:eastAsia="cs-CZ"/>
              </w:rPr>
              <w:t>39</w:t>
            </w:r>
            <w:r w:rsidR="001730D0">
              <w:rPr>
                <w:rFonts w:ascii="Verdana" w:hAnsi="Verdana"/>
                <w:b/>
                <w:bCs/>
                <w:i w:val="0"/>
                <w:iCs w:val="0"/>
                <w:sz w:val="17"/>
                <w:szCs w:val="17"/>
                <w:lang w:eastAsia="cs-CZ"/>
              </w:rPr>
              <w:t>5</w:t>
            </w:r>
            <w:r w:rsidR="00597B07" w:rsidRPr="00597B07">
              <w:rPr>
                <w:rFonts w:ascii="Verdana" w:hAnsi="Verdana"/>
                <w:b/>
                <w:bCs/>
                <w:i w:val="0"/>
                <w:iCs w:val="0"/>
                <w:sz w:val="17"/>
                <w:szCs w:val="17"/>
                <w:lang w:eastAsia="cs-CZ"/>
              </w:rPr>
              <w:t xml:space="preserve"> </w:t>
            </w:r>
            <w:r w:rsidR="001730D0">
              <w:rPr>
                <w:rFonts w:ascii="Verdana" w:hAnsi="Verdana"/>
                <w:b/>
                <w:bCs/>
                <w:i w:val="0"/>
                <w:iCs w:val="0"/>
                <w:sz w:val="17"/>
                <w:szCs w:val="17"/>
                <w:lang w:eastAsia="cs-CZ"/>
              </w:rPr>
              <w:t>880</w:t>
            </w:r>
            <w:r w:rsidR="009D2421" w:rsidRPr="00597B07">
              <w:rPr>
                <w:rFonts w:ascii="Verdana" w:hAnsi="Verdana"/>
                <w:b/>
                <w:bCs/>
                <w:i w:val="0"/>
                <w:iCs w:val="0"/>
                <w:sz w:val="17"/>
                <w:szCs w:val="17"/>
                <w:lang w:eastAsia="cs-CZ"/>
              </w:rPr>
              <w:t>,-</w:t>
            </w:r>
            <w:r w:rsidRPr="00597B07">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50A177DD"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5B38DA" w:rsidRPr="005B38DA">
              <w:rPr>
                <w:rFonts w:ascii="Verdana" w:hAnsi="Verdana"/>
                <w:b/>
                <w:bCs/>
                <w:i w:val="0"/>
                <w:iCs w:val="0"/>
                <w:sz w:val="17"/>
                <w:szCs w:val="17"/>
                <w:lang w:eastAsia="cs-CZ"/>
              </w:rPr>
              <w:t>8</w:t>
            </w:r>
            <w:r w:rsidR="00597B07">
              <w:rPr>
                <w:rFonts w:ascii="Verdana" w:hAnsi="Verdana"/>
                <w:b/>
                <w:bCs/>
                <w:i w:val="0"/>
                <w:iCs w:val="0"/>
                <w:sz w:val="17"/>
                <w:szCs w:val="17"/>
                <w:lang w:eastAsia="cs-CZ"/>
              </w:rPr>
              <w:t>3</w:t>
            </w:r>
            <w:r w:rsidR="001730D0">
              <w:rPr>
                <w:rFonts w:ascii="Verdana" w:hAnsi="Verdana"/>
                <w:b/>
                <w:bCs/>
                <w:i w:val="0"/>
                <w:iCs w:val="0"/>
                <w:sz w:val="17"/>
                <w:szCs w:val="17"/>
                <w:lang w:eastAsia="cs-CZ"/>
              </w:rPr>
              <w:t> </w:t>
            </w:r>
            <w:r w:rsidR="00306A60">
              <w:rPr>
                <w:rFonts w:ascii="Verdana" w:hAnsi="Verdana"/>
                <w:b/>
                <w:bCs/>
                <w:i w:val="0"/>
                <w:iCs w:val="0"/>
                <w:sz w:val="17"/>
                <w:szCs w:val="17"/>
                <w:lang w:eastAsia="cs-CZ"/>
              </w:rPr>
              <w:t>1</w:t>
            </w:r>
            <w:r w:rsidR="001730D0">
              <w:rPr>
                <w:rFonts w:ascii="Verdana" w:hAnsi="Verdana"/>
                <w:b/>
                <w:bCs/>
                <w:i w:val="0"/>
                <w:iCs w:val="0"/>
                <w:sz w:val="17"/>
                <w:szCs w:val="17"/>
                <w:lang w:eastAsia="cs-CZ"/>
              </w:rPr>
              <w:t>34,80</w:t>
            </w:r>
            <w:r w:rsidRPr="005B38DA">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08A7FF23"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5B38DA">
              <w:rPr>
                <w:rFonts w:ascii="Verdana" w:hAnsi="Verdana"/>
                <w:b/>
                <w:i w:val="0"/>
                <w:iCs w:val="0"/>
                <w:sz w:val="17"/>
                <w:szCs w:val="17"/>
                <w:lang w:eastAsia="cs-CZ"/>
              </w:rPr>
              <w:t>7</w:t>
            </w:r>
            <w:r w:rsidR="00597B07">
              <w:rPr>
                <w:rFonts w:ascii="Verdana" w:hAnsi="Verdana"/>
                <w:b/>
                <w:i w:val="0"/>
                <w:iCs w:val="0"/>
                <w:sz w:val="17"/>
                <w:szCs w:val="17"/>
                <w:lang w:eastAsia="cs-CZ"/>
              </w:rPr>
              <w:t>9</w:t>
            </w:r>
            <w:r w:rsidR="001730D0">
              <w:rPr>
                <w:rFonts w:ascii="Verdana" w:hAnsi="Verdana"/>
                <w:b/>
                <w:i w:val="0"/>
                <w:iCs w:val="0"/>
                <w:sz w:val="17"/>
                <w:szCs w:val="17"/>
                <w:lang w:eastAsia="cs-CZ"/>
              </w:rPr>
              <w:t> 014,80</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 xml:space="preserve">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w:t>
      </w:r>
      <w:proofErr w:type="gramStart"/>
      <w:r w:rsidRPr="008D0677">
        <w:rPr>
          <w:sz w:val="22"/>
          <w:szCs w:val="22"/>
        </w:rPr>
        <w:t>ruší</w:t>
      </w:r>
      <w:proofErr w:type="gramEnd"/>
      <w:r w:rsidRPr="008D0677">
        <w:rPr>
          <w:sz w:val="22"/>
          <w:szCs w:val="22"/>
        </w:rPr>
        <w:t xml:space="preserve">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 xml:space="preserve">Záruční doba </w:t>
      </w:r>
      <w:proofErr w:type="gramStart"/>
      <w:r>
        <w:rPr>
          <w:sz w:val="22"/>
          <w:szCs w:val="22"/>
        </w:rPr>
        <w:t>neběží</w:t>
      </w:r>
      <w:proofErr w:type="gramEnd"/>
      <w:r>
        <w:rPr>
          <w:sz w:val="22"/>
          <w:szCs w:val="22"/>
        </w:rPr>
        <w:t xml:space="preserve">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proofErr w:type="gramStart"/>
      <w:r w:rsidR="008D0677">
        <w:rPr>
          <w:color w:val="auto"/>
          <w:sz w:val="22"/>
          <w:szCs w:val="22"/>
        </w:rPr>
        <w:t>1</w:t>
      </w:r>
      <w:r w:rsidR="00390F77" w:rsidRPr="00651A0C">
        <w:rPr>
          <w:color w:val="auto"/>
          <w:sz w:val="22"/>
          <w:szCs w:val="22"/>
        </w:rPr>
        <w:t>0</w:t>
      </w:r>
      <w:r w:rsidRPr="00651A0C">
        <w:rPr>
          <w:color w:val="auto"/>
          <w:sz w:val="22"/>
          <w:szCs w:val="22"/>
        </w:rPr>
        <w:t>.000,-</w:t>
      </w:r>
      <w:proofErr w:type="gramEnd"/>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lastRenderedPageBreak/>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w:t>
      </w:r>
      <w:proofErr w:type="gramStart"/>
      <w:r w:rsidRPr="00985FC9">
        <w:rPr>
          <w:sz w:val="22"/>
          <w:szCs w:val="22"/>
        </w:rPr>
        <w:t>obdrží</w:t>
      </w:r>
      <w:proofErr w:type="gramEnd"/>
      <w:r w:rsidRPr="00985FC9">
        <w:rPr>
          <w:sz w:val="22"/>
          <w:szCs w:val="22"/>
        </w:rPr>
        <w:t xml:space="preserve">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1AEAAE64"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1730D0">
              <w:rPr>
                <w:rFonts w:eastAsia="Times New Roman" w:cs="Times New Roman"/>
                <w:lang w:eastAsia="cs-CZ"/>
              </w:rPr>
              <w:t>2</w:t>
            </w:r>
            <w:r w:rsidR="00C04C0C">
              <w:rPr>
                <w:rFonts w:eastAsia="Times New Roman" w:cs="Times New Roman"/>
                <w:i/>
                <w:iCs/>
              </w:rPr>
              <w:t>.</w:t>
            </w:r>
            <w:r w:rsidR="007D0EAE">
              <w:rPr>
                <w:rFonts w:eastAsia="Times New Roman" w:cs="Times New Roman"/>
                <w:i/>
                <w:iCs/>
              </w:rPr>
              <w:t xml:space="preserve"> </w:t>
            </w:r>
            <w:r w:rsidR="001730D0">
              <w:rPr>
                <w:rFonts w:eastAsia="Times New Roman" w:cs="Times New Roman"/>
                <w:i/>
                <w:iCs/>
              </w:rPr>
              <w:t>3</w:t>
            </w:r>
            <w:r w:rsidR="00C04C0C">
              <w:rPr>
                <w:rFonts w:eastAsia="Times New Roman" w:cs="Times New Roman"/>
                <w:i/>
                <w:iCs/>
              </w:rPr>
              <w:t>.</w:t>
            </w:r>
            <w:r w:rsidR="007D0EAE">
              <w:rPr>
                <w:rFonts w:eastAsia="Times New Roman" w:cs="Times New Roman"/>
                <w:i/>
                <w:iCs/>
              </w:rPr>
              <w:t xml:space="preserve"> </w:t>
            </w:r>
            <w:r w:rsidR="00C04C0C">
              <w:rPr>
                <w:rFonts w:eastAsia="Times New Roman" w:cs="Times New Roman"/>
                <w:i/>
                <w:iCs/>
              </w:rPr>
              <w:t>2</w:t>
            </w:r>
            <w:r w:rsidR="00A13684">
              <w:rPr>
                <w:rFonts w:eastAsia="Times New Roman" w:cs="Times New Roman"/>
                <w:i/>
                <w:iCs/>
              </w:rPr>
              <w:t>02</w:t>
            </w:r>
            <w:r w:rsidR="001730D0">
              <w:rPr>
                <w:rFonts w:eastAsia="Times New Roman" w:cs="Times New Roman"/>
                <w:i/>
                <w:iCs/>
              </w:rPr>
              <w:t>4</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30D0"/>
    <w:rsid w:val="00175292"/>
    <w:rsid w:val="00181B53"/>
    <w:rsid w:val="001A124B"/>
    <w:rsid w:val="001D41D3"/>
    <w:rsid w:val="001D7302"/>
    <w:rsid w:val="001E332E"/>
    <w:rsid w:val="001E76C3"/>
    <w:rsid w:val="001E77BD"/>
    <w:rsid w:val="00203639"/>
    <w:rsid w:val="00207B97"/>
    <w:rsid w:val="0021324D"/>
    <w:rsid w:val="002324C4"/>
    <w:rsid w:val="00234E22"/>
    <w:rsid w:val="00235430"/>
    <w:rsid w:val="00253F0B"/>
    <w:rsid w:val="002F4955"/>
    <w:rsid w:val="002F67D0"/>
    <w:rsid w:val="0030147D"/>
    <w:rsid w:val="00306A60"/>
    <w:rsid w:val="00343851"/>
    <w:rsid w:val="00390F77"/>
    <w:rsid w:val="003923BC"/>
    <w:rsid w:val="003969D0"/>
    <w:rsid w:val="003A4831"/>
    <w:rsid w:val="003B2A43"/>
    <w:rsid w:val="003B4DB8"/>
    <w:rsid w:val="003C0966"/>
    <w:rsid w:val="003D5742"/>
    <w:rsid w:val="00405E5C"/>
    <w:rsid w:val="00410F8E"/>
    <w:rsid w:val="00427532"/>
    <w:rsid w:val="00446484"/>
    <w:rsid w:val="0045651A"/>
    <w:rsid w:val="004635C3"/>
    <w:rsid w:val="00482409"/>
    <w:rsid w:val="004971E3"/>
    <w:rsid w:val="004A38E3"/>
    <w:rsid w:val="004C3BCC"/>
    <w:rsid w:val="004C6253"/>
    <w:rsid w:val="004F4182"/>
    <w:rsid w:val="005321FD"/>
    <w:rsid w:val="0057666D"/>
    <w:rsid w:val="00597B07"/>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720F7"/>
    <w:rsid w:val="008745CB"/>
    <w:rsid w:val="00880902"/>
    <w:rsid w:val="00895622"/>
    <w:rsid w:val="008D0677"/>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A2989"/>
    <w:rsid w:val="00DC061B"/>
    <w:rsid w:val="00DD5899"/>
    <w:rsid w:val="00E0383D"/>
    <w:rsid w:val="00E10243"/>
    <w:rsid w:val="00E271AC"/>
    <w:rsid w:val="00E5134B"/>
    <w:rsid w:val="00E70345"/>
    <w:rsid w:val="00E7754C"/>
    <w:rsid w:val="00E931A1"/>
    <w:rsid w:val="00EA6556"/>
    <w:rsid w:val="00EB14B1"/>
    <w:rsid w:val="00EE6C66"/>
    <w:rsid w:val="00F070E0"/>
    <w:rsid w:val="00F120DD"/>
    <w:rsid w:val="00F17C12"/>
    <w:rsid w:val="00F31BEB"/>
    <w:rsid w:val="00F4189B"/>
    <w:rsid w:val="00F655DE"/>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2439</Words>
  <Characters>14392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18</cp:revision>
  <cp:lastPrinted>2017-09-01T06:52:00Z</cp:lastPrinted>
  <dcterms:created xsi:type="dcterms:W3CDTF">2022-07-18T07:59:00Z</dcterms:created>
  <dcterms:modified xsi:type="dcterms:W3CDTF">2024-03-01T06:49:00Z</dcterms:modified>
</cp:coreProperties>
</file>