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0" distL="114300" distR="114300" simplePos="0" relativeHeight="125829378" behindDoc="0" locked="0" layoutInCell="1" allowOverlap="1">
            <wp:simplePos x="0" y="0"/>
            <wp:positionH relativeFrom="page">
              <wp:posOffset>5012055</wp:posOffset>
            </wp:positionH>
            <wp:positionV relativeFrom="paragraph">
              <wp:posOffset>12700</wp:posOffset>
            </wp:positionV>
            <wp:extent cx="1883410" cy="30480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883410" cy="304800"/>
                    </a:xfrm>
                    <a:prstGeom prst="rect"/>
                  </pic:spPr>
                </pic:pic>
              </a:graphicData>
            </a:graphic>
          </wp:anchor>
        </w:drawing>
      </w:r>
    </w:p>
    <w:p>
      <w:pPr>
        <w:pStyle w:val="Style2"/>
        <w:keepNext/>
        <w:keepLines/>
        <w:widowControl w:val="0"/>
        <w:shd w:val="clear" w:color="auto" w:fill="auto"/>
        <w:bidi w:val="0"/>
        <w:spacing w:before="0" w:after="260" w:line="240" w:lineRule="auto"/>
        <w:ind w:left="0" w:right="0" w:firstLine="0"/>
        <w:jc w:val="left"/>
      </w:pPr>
      <w:bookmarkStart w:id="0" w:name="bookmark0"/>
      <w:r>
        <w:rPr>
          <w:rStyle w:val="CharStyle3"/>
        </w:rPr>
        <w:t>Smlouva o operativním leasingu</w:t>
      </w:r>
      <w:bookmarkEnd w:id="0"/>
    </w:p>
    <w:p>
      <w:pPr>
        <w:pStyle w:val="Style4"/>
        <w:keepNext w:val="0"/>
        <w:keepLines w:val="0"/>
        <w:widowControl w:val="0"/>
        <w:shd w:val="clear" w:color="auto" w:fill="auto"/>
        <w:bidi w:val="0"/>
        <w:spacing w:before="0" w:after="320" w:line="240" w:lineRule="auto"/>
        <w:ind w:left="0" w:right="0" w:firstLine="0"/>
        <w:jc w:val="left"/>
        <w:rPr>
          <w:sz w:val="26"/>
          <w:szCs w:val="26"/>
        </w:rPr>
      </w:pPr>
      <w:r>
        <w:rPr>
          <w:rStyle w:val="CharStyle5"/>
        </w:rPr>
        <w:t xml:space="preserve">Číslo smlouvy o operativním leasingu: </w:t>
      </w:r>
      <w:r>
        <w:rPr>
          <w:rStyle w:val="CharStyle5"/>
          <w:rFonts w:ascii="Arial" w:eastAsia="Arial" w:hAnsi="Arial" w:cs="Arial"/>
          <w:sz w:val="26"/>
          <w:szCs w:val="26"/>
        </w:rPr>
        <w:t>0/2024/03/0043</w:t>
      </w:r>
    </w:p>
    <w:p>
      <w:pPr>
        <w:pStyle w:val="Style7"/>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099" w:right="1059" w:bottom="1559" w:left="1939" w:header="671" w:footer="1131" w:gutter="0"/>
          <w:pgNumType w:start="1"/>
          <w:cols w:space="720"/>
          <w:noEndnote/>
          <w:rtlGutter w:val="0"/>
          <w:docGrid w:linePitch="360"/>
        </w:sectPr>
      </w:pPr>
      <w:bookmarkStart w:id="2" w:name="bookmark2"/>
      <w:r>
        <w:rPr>
          <w:rStyle w:val="CharStyle8"/>
        </w:rPr>
        <w:t>I. Smluvní strany:</w:t>
      </w:r>
      <w:bookmarkEnd w:id="2"/>
    </w:p>
    <w:p>
      <w:pPr>
        <w:widowControl w:val="0"/>
        <w:spacing w:line="206" w:lineRule="exact"/>
        <w:rPr>
          <w:sz w:val="17"/>
          <w:szCs w:val="17"/>
        </w:rPr>
      </w:pPr>
    </w:p>
    <w:p>
      <w:pPr>
        <w:widowControl w:val="0"/>
        <w:spacing w:line="1" w:lineRule="exact"/>
        <w:sectPr>
          <w:footnotePr>
            <w:pos w:val="pageBottom"/>
            <w:numFmt w:val="decimal"/>
            <w:numRestart w:val="continuous"/>
          </w:footnotePr>
          <w:type w:val="continuous"/>
          <w:pgSz w:w="11900" w:h="16840"/>
          <w:pgMar w:top="1099" w:right="0" w:bottom="1559" w:left="0" w:header="0" w:footer="3" w:gutter="0"/>
          <w:cols w:space="720"/>
          <w:noEndnote/>
          <w:rtlGutter w:val="0"/>
          <w:docGrid w:linePitch="360"/>
        </w:sectPr>
      </w:pPr>
    </w:p>
    <w:p>
      <w:pPr>
        <w:pStyle w:val="Style9"/>
        <w:keepNext w:val="0"/>
        <w:keepLines w:val="0"/>
        <w:widowControl w:val="0"/>
        <w:shd w:val="clear" w:color="auto" w:fill="auto"/>
        <w:bidi w:val="0"/>
        <w:spacing w:before="0" w:line="240" w:lineRule="auto"/>
        <w:ind w:left="0" w:right="0" w:firstLine="0"/>
        <w:jc w:val="left"/>
      </w:pPr>
      <w:r>
        <w:rPr>
          <w:rStyle w:val="CharStyle10"/>
          <w:b/>
          <w:bCs/>
          <w:i/>
          <w:iCs/>
        </w:rPr>
        <w:t>Leasingový pronajímatel:</w:t>
      </w:r>
    </w:p>
    <w:p>
      <w:pPr>
        <w:pStyle w:val="Style7"/>
        <w:keepNext/>
        <w:keepLines/>
        <w:widowControl w:val="0"/>
        <w:shd w:val="clear" w:color="auto" w:fill="auto"/>
        <w:bidi w:val="0"/>
        <w:spacing w:before="0" w:line="240" w:lineRule="auto"/>
        <w:ind w:left="0" w:right="0" w:firstLine="0"/>
        <w:jc w:val="left"/>
      </w:pPr>
      <w:bookmarkStart w:id="4" w:name="bookmark4"/>
      <w:r>
        <w:rPr>
          <w:rStyle w:val="CharStyle8"/>
        </w:rPr>
        <w:t>CAR4WAY a.s.</w:t>
      </w:r>
      <w:bookmarkEnd w:id="4"/>
    </w:p>
    <w:p>
      <w:pPr>
        <w:pStyle w:val="Style9"/>
        <w:keepNext w:val="0"/>
        <w:keepLines w:val="0"/>
        <w:widowControl w:val="0"/>
        <w:shd w:val="clear" w:color="auto" w:fill="auto"/>
        <w:bidi w:val="0"/>
        <w:spacing w:before="0" w:after="0" w:line="240" w:lineRule="auto"/>
        <w:ind w:left="0" w:right="0" w:firstLine="0"/>
        <w:jc w:val="left"/>
      </w:pPr>
      <w:r>
        <w:rPr>
          <w:rStyle w:val="CharStyle10"/>
        </w:rPr>
        <w:t>; IČ: 25131401, DIČ: CZ699002678</w:t>
      </w:r>
    </w:p>
    <w:p>
      <w:pPr>
        <w:pStyle w:val="Style9"/>
        <w:keepNext w:val="0"/>
        <w:keepLines w:val="0"/>
        <w:widowControl w:val="0"/>
        <w:shd w:val="clear" w:color="auto" w:fill="auto"/>
        <w:bidi w:val="0"/>
        <w:spacing w:before="0" w:line="240" w:lineRule="auto"/>
        <w:ind w:left="0" w:right="0" w:firstLine="0"/>
        <w:jc w:val="left"/>
      </w:pPr>
      <w:r>
        <w:rPr>
          <w:rStyle w:val="CharStyle10"/>
          <w:b/>
          <w:bCs/>
          <w:i/>
          <w:iCs/>
        </w:rPr>
        <w:t>Leasingový nájemce:</w:t>
      </w:r>
    </w:p>
    <w:p>
      <w:pPr>
        <w:pStyle w:val="Style7"/>
        <w:keepNext/>
        <w:keepLines/>
        <w:widowControl w:val="0"/>
        <w:shd w:val="clear" w:color="auto" w:fill="auto"/>
        <w:bidi w:val="0"/>
        <w:spacing w:before="0" w:line="240" w:lineRule="auto"/>
        <w:ind w:left="0" w:right="0" w:firstLine="0"/>
        <w:jc w:val="left"/>
      </w:pPr>
      <w:bookmarkStart w:id="6" w:name="bookmark6"/>
      <w:r>
        <w:rPr>
          <w:rStyle w:val="CharStyle8"/>
        </w:rPr>
        <w:t>Město Říčany</w:t>
      </w:r>
      <w:bookmarkEnd w:id="6"/>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099" w:right="3158" w:bottom="1559" w:left="1939" w:header="0" w:footer="3" w:gutter="0"/>
          <w:cols w:num="2" w:space="720" w:equalWidth="0">
            <w:col w:w="2509" w:space="2038"/>
            <w:col w:w="2257"/>
          </w:cols>
          <w:noEndnote/>
          <w:rtlGutter w:val="0"/>
          <w:docGrid w:linePitch="360"/>
        </w:sectPr>
      </w:pPr>
      <w:r>
        <w:rPr>
          <w:rStyle w:val="CharStyle10"/>
        </w:rPr>
        <w:t>IČ: 00240702 DIČ: CZ00240702</w:t>
      </w:r>
    </w:p>
    <w:tbl>
      <w:tblPr>
        <w:tblOverlap w:val="never"/>
        <w:jc w:val="left"/>
        <w:tblLayout w:type="fixed"/>
      </w:tblPr>
      <w:tblGrid>
        <w:gridCol w:w="4367"/>
        <w:gridCol w:w="3611"/>
      </w:tblGrid>
      <w:tr>
        <w:trPr>
          <w:trHeight w:val="245" w:hRule="exact"/>
        </w:trPr>
        <w:tc>
          <w:tcPr>
            <w:tcBorders>
              <w:top w:val="single" w:sz="4"/>
            </w:tcBorders>
            <w:shd w:val="clear" w:color="auto" w:fill="auto"/>
            <w:vAlign w:val="top"/>
          </w:tcPr>
          <w:p>
            <w:pPr>
              <w:pStyle w:val="Style12"/>
              <w:keepNext w:val="0"/>
              <w:keepLines w:val="0"/>
              <w:framePr w:w="7978" w:h="2048" w:wrap="none" w:vAnchor="text" w:hAnchor="page" w:x="2019" w:y="21"/>
              <w:widowControl w:val="0"/>
              <w:shd w:val="clear" w:color="auto" w:fill="auto"/>
              <w:bidi w:val="0"/>
              <w:spacing w:before="0" w:after="0" w:line="240" w:lineRule="auto"/>
              <w:ind w:left="0" w:right="0" w:firstLine="0"/>
              <w:jc w:val="left"/>
            </w:pPr>
            <w:r>
              <w:rPr>
                <w:rStyle w:val="CharStyle13"/>
              </w:rPr>
              <w:t>se sídlem: Choťánky 166, 290 01 Poděbrady</w:t>
            </w:r>
          </w:p>
        </w:tc>
        <w:tc>
          <w:tcPr>
            <w:tcBorders>
              <w:top w:val="single" w:sz="4"/>
            </w:tcBorders>
            <w:shd w:val="clear" w:color="auto" w:fill="auto"/>
            <w:vAlign w:val="top"/>
          </w:tcPr>
          <w:p>
            <w:pPr>
              <w:pStyle w:val="Style12"/>
              <w:keepNext w:val="0"/>
              <w:keepLines w:val="0"/>
              <w:framePr w:w="7978" w:h="2048" w:wrap="none" w:vAnchor="text" w:hAnchor="page" w:x="2019" w:y="21"/>
              <w:widowControl w:val="0"/>
              <w:shd w:val="clear" w:color="auto" w:fill="auto"/>
              <w:bidi w:val="0"/>
              <w:spacing w:before="0" w:after="0" w:line="240" w:lineRule="auto"/>
              <w:ind w:left="0" w:right="0" w:firstLine="0"/>
              <w:jc w:val="left"/>
            </w:pPr>
            <w:r>
              <w:rPr>
                <w:rStyle w:val="CharStyle13"/>
              </w:rPr>
              <w:t>■ se sídlem: Masarykovo nám. 53/40, 251 01 Říčany</w:t>
            </w:r>
          </w:p>
        </w:tc>
      </w:tr>
      <w:tr>
        <w:trPr>
          <w:trHeight w:val="752" w:hRule="exact"/>
        </w:trPr>
        <w:tc>
          <w:tcPr>
            <w:tcBorders/>
            <w:shd w:val="clear" w:color="auto" w:fill="auto"/>
            <w:vAlign w:val="bottom"/>
          </w:tcPr>
          <w:p>
            <w:pPr>
              <w:pStyle w:val="Style12"/>
              <w:keepNext w:val="0"/>
              <w:keepLines w:val="0"/>
              <w:framePr w:w="7978" w:h="2048" w:wrap="none" w:vAnchor="text" w:hAnchor="page" w:x="2019" w:y="21"/>
              <w:widowControl w:val="0"/>
              <w:shd w:val="clear" w:color="auto" w:fill="auto"/>
              <w:tabs>
                <w:tab w:leader="underscore" w:pos="1786" w:val="left"/>
              </w:tabs>
              <w:bidi w:val="0"/>
              <w:spacing w:before="0" w:after="0" w:line="240" w:lineRule="auto"/>
              <w:ind w:left="0" w:right="0" w:firstLine="0"/>
              <w:jc w:val="left"/>
            </w:pPr>
            <w:r>
              <w:rPr>
                <w:rStyle w:val="CharStyle13"/>
              </w:rPr>
              <w:t>zapsaná v obchodním rejstříku u Městského soudu v Praze, oddíl B, vložka 4741</w:t>
              <w:tab/>
            </w:r>
          </w:p>
          <w:p>
            <w:pPr>
              <w:pStyle w:val="Style12"/>
              <w:keepNext w:val="0"/>
              <w:keepLines w:val="0"/>
              <w:framePr w:w="7978" w:h="2048" w:wrap="none" w:vAnchor="text" w:hAnchor="page" w:x="2019" w:y="21"/>
              <w:widowControl w:val="0"/>
              <w:shd w:val="clear" w:color="auto" w:fill="auto"/>
              <w:bidi w:val="0"/>
              <w:spacing w:before="0" w:after="0" w:line="240" w:lineRule="auto"/>
              <w:ind w:left="0" w:right="0" w:firstLine="0"/>
              <w:jc w:val="left"/>
            </w:pPr>
            <w:r>
              <w:rPr>
                <w:rStyle w:val="CharStyle13"/>
              </w:rPr>
              <w:t>zastoupená: Pavlem Loudou, předsedou představenstva</w:t>
            </w:r>
          </w:p>
        </w:tc>
        <w:tc>
          <w:tcPr>
            <w:tcBorders/>
            <w:shd w:val="clear" w:color="auto" w:fill="auto"/>
            <w:vAlign w:val="bottom"/>
          </w:tcPr>
          <w:p>
            <w:pPr>
              <w:pStyle w:val="Style12"/>
              <w:keepNext w:val="0"/>
              <w:keepLines w:val="0"/>
              <w:framePr w:w="7978" w:h="2048" w:wrap="none" w:vAnchor="text" w:hAnchor="page" w:x="2019" w:y="21"/>
              <w:widowControl w:val="0"/>
              <w:shd w:val="clear" w:color="auto" w:fill="auto"/>
              <w:bidi w:val="0"/>
              <w:spacing w:before="0" w:after="0" w:line="240" w:lineRule="auto"/>
              <w:ind w:left="0" w:right="0" w:firstLine="0"/>
              <w:jc w:val="left"/>
            </w:pPr>
            <w:r>
              <w:rPr>
                <w:rStyle w:val="CharStyle13"/>
              </w:rPr>
              <w:t>' zastoupená: Ing. Davidem Michaličkou, starostou</w:t>
            </w:r>
          </w:p>
        </w:tc>
      </w:tr>
      <w:tr>
        <w:trPr>
          <w:trHeight w:val="310" w:hRule="exact"/>
        </w:trPr>
        <w:tc>
          <w:tcPr>
            <w:tcBorders>
              <w:top w:val="single" w:sz="4"/>
            </w:tcBorders>
            <w:shd w:val="clear" w:color="auto" w:fill="auto"/>
            <w:vAlign w:val="bottom"/>
          </w:tcPr>
          <w:p>
            <w:pPr>
              <w:pStyle w:val="Style12"/>
              <w:keepNext w:val="0"/>
              <w:keepLines w:val="0"/>
              <w:framePr w:w="7978" w:h="2048" w:wrap="none" w:vAnchor="text" w:hAnchor="page" w:x="2019" w:y="21"/>
              <w:widowControl w:val="0"/>
              <w:shd w:val="clear" w:color="auto" w:fill="auto"/>
              <w:bidi w:val="0"/>
              <w:spacing w:before="0" w:after="0" w:line="240" w:lineRule="auto"/>
              <w:ind w:left="0" w:right="0" w:firstLine="0"/>
              <w:jc w:val="left"/>
            </w:pPr>
            <w:r>
              <w:rPr>
                <w:rStyle w:val="CharStyle13"/>
              </w:rPr>
              <w:t>bankovní spojení, č. ú.:</w:t>
            </w:r>
          </w:p>
        </w:tc>
        <w:tc>
          <w:tcPr>
            <w:tcBorders/>
            <w:shd w:val="clear" w:color="auto" w:fill="auto"/>
            <w:vAlign w:val="bottom"/>
          </w:tcPr>
          <w:p>
            <w:pPr>
              <w:pStyle w:val="Style12"/>
              <w:keepNext w:val="0"/>
              <w:keepLines w:val="0"/>
              <w:framePr w:w="7978" w:h="2048" w:wrap="none" w:vAnchor="text" w:hAnchor="page" w:x="2019" w:y="21"/>
              <w:widowControl w:val="0"/>
              <w:shd w:val="clear" w:color="auto" w:fill="auto"/>
              <w:bidi w:val="0"/>
              <w:spacing w:before="0" w:after="0" w:line="240" w:lineRule="auto"/>
              <w:ind w:left="0" w:right="0" w:firstLine="0"/>
              <w:jc w:val="left"/>
            </w:pPr>
            <w:r>
              <w:rPr>
                <w:rStyle w:val="CharStyle13"/>
              </w:rPr>
              <w:t>. bankovní spojení, Č.Ú.:</w:t>
            </w:r>
          </w:p>
        </w:tc>
      </w:tr>
      <w:tr>
        <w:trPr>
          <w:trHeight w:val="378" w:hRule="exact"/>
        </w:trPr>
        <w:tc>
          <w:tcPr>
            <w:tcBorders/>
            <w:shd w:val="clear" w:color="auto" w:fill="auto"/>
            <w:vAlign w:val="bottom"/>
          </w:tcPr>
          <w:p>
            <w:pPr>
              <w:pStyle w:val="Style12"/>
              <w:keepNext w:val="0"/>
              <w:keepLines w:val="0"/>
              <w:framePr w:w="7978" w:h="2048" w:wrap="none" w:vAnchor="text" w:hAnchor="page" w:x="2019" w:y="21"/>
              <w:widowControl w:val="0"/>
              <w:shd w:val="clear" w:color="auto" w:fill="auto"/>
              <w:bidi w:val="0"/>
              <w:spacing w:before="0" w:after="0" w:line="240" w:lineRule="auto"/>
              <w:ind w:left="0" w:right="0" w:firstLine="0"/>
              <w:jc w:val="left"/>
            </w:pPr>
            <w:r>
              <w:rPr>
                <w:rStyle w:val="CharStyle13"/>
              </w:rPr>
              <w:t>Kontakt:</w:t>
            </w:r>
          </w:p>
        </w:tc>
        <w:tc>
          <w:tcPr>
            <w:tcBorders/>
            <w:shd w:val="clear" w:color="auto" w:fill="auto"/>
            <w:vAlign w:val="top"/>
          </w:tcPr>
          <w:p>
            <w:pPr>
              <w:pStyle w:val="Style12"/>
              <w:keepNext w:val="0"/>
              <w:keepLines w:val="0"/>
              <w:framePr w:w="7978" w:h="2048" w:wrap="none" w:vAnchor="text" w:hAnchor="page" w:x="2019" w:y="21"/>
              <w:widowControl w:val="0"/>
              <w:shd w:val="clear" w:color="auto" w:fill="auto"/>
              <w:bidi w:val="0"/>
              <w:spacing w:before="0" w:after="0" w:line="240" w:lineRule="auto"/>
              <w:ind w:left="0" w:right="0" w:firstLine="0"/>
              <w:jc w:val="left"/>
            </w:pPr>
            <w:r>
              <w:rPr>
                <w:rStyle w:val="CharStyle13"/>
                <w:vertAlign w:val="superscript"/>
              </w:rPr>
              <w:t>:</w:t>
            </w:r>
            <w:r>
              <w:rPr>
                <w:rStyle w:val="CharStyle13"/>
              </w:rPr>
              <w:t xml:space="preserve"> Kontakt: Mgr. Jiří Skočdopole, email:</w:t>
            </w:r>
          </w:p>
        </w:tc>
      </w:tr>
      <w:tr>
        <w:trPr>
          <w:trHeight w:val="364" w:hRule="exact"/>
        </w:trPr>
        <w:tc>
          <w:tcPr>
            <w:tcBorders>
              <w:top w:val="single" w:sz="4"/>
            </w:tcBorders>
            <w:shd w:val="clear" w:color="auto" w:fill="auto"/>
            <w:vAlign w:val="center"/>
          </w:tcPr>
          <w:p>
            <w:pPr>
              <w:pStyle w:val="Style12"/>
              <w:keepNext w:val="0"/>
              <w:keepLines w:val="0"/>
              <w:framePr w:w="7978" w:h="2048" w:wrap="none" w:vAnchor="text" w:hAnchor="page" w:x="2019" w:y="21"/>
              <w:widowControl w:val="0"/>
              <w:shd w:val="clear" w:color="auto" w:fill="auto"/>
              <w:bidi w:val="0"/>
              <w:spacing w:before="0" w:after="0" w:line="240" w:lineRule="auto"/>
              <w:ind w:left="0" w:right="0" w:firstLine="0"/>
              <w:jc w:val="left"/>
            </w:pPr>
            <w:r>
              <w:rPr>
                <w:rStyle w:val="CharStyle13"/>
                <w:i/>
                <w:iCs/>
              </w:rPr>
              <w:t>dále jen „Pronajímatel“</w:t>
            </w:r>
          </w:p>
        </w:tc>
        <w:tc>
          <w:tcPr>
            <w:tcBorders/>
            <w:shd w:val="clear" w:color="auto" w:fill="auto"/>
            <w:vAlign w:val="center"/>
          </w:tcPr>
          <w:p>
            <w:pPr>
              <w:pStyle w:val="Style12"/>
              <w:keepNext w:val="0"/>
              <w:keepLines w:val="0"/>
              <w:framePr w:w="7978" w:h="2048" w:wrap="none" w:vAnchor="text" w:hAnchor="page" w:x="2019" w:y="21"/>
              <w:widowControl w:val="0"/>
              <w:shd w:val="clear" w:color="auto" w:fill="auto"/>
              <w:bidi w:val="0"/>
              <w:spacing w:before="0" w:after="0" w:line="240" w:lineRule="auto"/>
              <w:ind w:left="0" w:right="0" w:firstLine="0"/>
              <w:jc w:val="left"/>
            </w:pPr>
            <w:r>
              <w:rPr>
                <w:rStyle w:val="CharStyle13"/>
                <w:i/>
                <w:iCs/>
              </w:rPr>
              <w:t>dále jen „Nájemce“</w:t>
            </w:r>
          </w:p>
        </w:tc>
      </w:tr>
    </w:tbl>
    <w:p>
      <w:pPr>
        <w:framePr w:w="7978" w:h="2048" w:wrap="none" w:vAnchor="text" w:hAnchor="page" w:x="2019" w:y="21"/>
        <w:widowControl w:val="0"/>
        <w:spacing w:line="1" w:lineRule="exact"/>
      </w:pPr>
    </w:p>
    <w:p>
      <w:pPr>
        <w:pStyle w:val="Style9"/>
        <w:keepNext w:val="0"/>
        <w:keepLines w:val="0"/>
        <w:framePr w:w="8791" w:h="940" w:wrap="none" w:vAnchor="text" w:hAnchor="page" w:x="2051" w:y="2244"/>
        <w:widowControl w:val="0"/>
        <w:shd w:val="clear" w:color="auto" w:fill="auto"/>
        <w:bidi w:val="0"/>
        <w:spacing w:before="0" w:after="0" w:line="240" w:lineRule="auto"/>
        <w:ind w:left="0" w:right="0" w:firstLine="0"/>
        <w:jc w:val="both"/>
      </w:pPr>
      <w:r>
        <w:rPr>
          <w:rStyle w:val="CharStyle10"/>
        </w:rPr>
        <w:t xml:space="preserve">uzavírají dle ust. § 1746 odst. 2 zák. Č. 89/2012 Sb,, občanský zákoník, v platném znění, tuto Smlouvu o operativním leasingu </w:t>
      </w:r>
      <w:r>
        <w:rPr>
          <w:rStyle w:val="CharStyle10"/>
          <w:i/>
          <w:iCs/>
        </w:rPr>
        <w:t>(dále jen „Smlouvu“)</w:t>
      </w:r>
      <w:r>
        <w:rPr>
          <w:rStyle w:val="CharStyle10"/>
        </w:rPr>
        <w:t xml:space="preserve"> za níže uvedených podmínek.</w:t>
      </w:r>
    </w:p>
    <w:p>
      <w:pPr>
        <w:pStyle w:val="Style9"/>
        <w:keepNext w:val="0"/>
        <w:keepLines w:val="0"/>
        <w:framePr w:w="8791" w:h="940" w:wrap="none" w:vAnchor="text" w:hAnchor="page" w:x="2051" w:y="2244"/>
        <w:widowControl w:val="0"/>
        <w:shd w:val="clear" w:color="auto" w:fill="auto"/>
        <w:bidi w:val="0"/>
        <w:spacing w:before="0" w:after="0" w:line="240" w:lineRule="auto"/>
        <w:ind w:left="0" w:right="0" w:firstLine="0"/>
        <w:jc w:val="both"/>
      </w:pPr>
      <w:r>
        <w:rPr>
          <w:rStyle w:val="CharStyle10"/>
        </w:rPr>
        <w:t xml:space="preserve">Pronajímatel přenechává na základě Smlouvy nájemci do užívání níže specifikovaný automobil </w:t>
      </w:r>
      <w:r>
        <w:rPr>
          <w:rStyle w:val="CharStyle10"/>
          <w:i/>
          <w:iCs/>
        </w:rPr>
        <w:t xml:space="preserve">(dále jen „Předmětné vozidlo“), </w:t>
      </w:r>
      <w:r>
        <w:rPr>
          <w:rStyle w:val="CharStyle10"/>
        </w:rPr>
        <w:t>který se nájemce zavazuje užívat v souladu se Smlouvou, obchodními podmínkami a obecně závaznými právními předpisy. Po dobu trvání operativního leasingu nese nebezpečí škody na Předmětném vozidle a škody spojené s jeho provozem Nájemce.</w:t>
      </w:r>
    </w:p>
    <w:p>
      <w:pPr>
        <w:pStyle w:val="Style7"/>
        <w:keepNext/>
        <w:keepLines/>
        <w:framePr w:w="2239" w:h="979" w:wrap="none" w:vAnchor="text" w:hAnchor="page" w:x="2048" w:y="3666"/>
        <w:widowControl w:val="0"/>
        <w:shd w:val="clear" w:color="auto" w:fill="auto"/>
        <w:bidi w:val="0"/>
        <w:spacing w:before="0" w:after="0" w:line="240" w:lineRule="auto"/>
        <w:ind w:left="0" w:right="0" w:firstLine="0"/>
        <w:jc w:val="left"/>
      </w:pPr>
      <w:bookmarkStart w:id="8" w:name="bookmark8"/>
      <w:r>
        <w:rPr>
          <w:rStyle w:val="CharStyle8"/>
        </w:rPr>
        <w:t>II. Předmětné vozidlo:</w:t>
      </w:r>
      <w:bookmarkEnd w:id="8"/>
    </w:p>
    <w:p>
      <w:pPr>
        <w:pStyle w:val="Style9"/>
        <w:keepNext w:val="0"/>
        <w:keepLines w:val="0"/>
        <w:framePr w:w="2239" w:h="979" w:wrap="none" w:vAnchor="text" w:hAnchor="page" w:x="2048" w:y="3666"/>
        <w:widowControl w:val="0"/>
        <w:shd w:val="clear" w:color="auto" w:fill="auto"/>
        <w:bidi w:val="0"/>
        <w:spacing w:before="0" w:after="0" w:line="240" w:lineRule="auto"/>
        <w:ind w:left="0" w:right="0" w:firstLine="0"/>
        <w:jc w:val="left"/>
      </w:pPr>
      <w:r>
        <w:rPr>
          <w:rStyle w:val="CharStyle10"/>
        </w:rPr>
        <w:t>Značka, model, specifikace:</w:t>
      </w:r>
    </w:p>
    <w:p>
      <w:pPr>
        <w:pStyle w:val="Style9"/>
        <w:keepNext w:val="0"/>
        <w:keepLines w:val="0"/>
        <w:framePr w:w="2239" w:h="979" w:wrap="none" w:vAnchor="text" w:hAnchor="page" w:x="2048" w:y="3666"/>
        <w:widowControl w:val="0"/>
        <w:shd w:val="clear" w:color="auto" w:fill="auto"/>
        <w:bidi w:val="0"/>
        <w:spacing w:before="0" w:after="0" w:line="240" w:lineRule="auto"/>
        <w:ind w:left="0" w:right="0" w:firstLine="0"/>
        <w:jc w:val="left"/>
      </w:pPr>
      <w:r>
        <w:rPr>
          <w:rStyle w:val="CharStyle10"/>
        </w:rPr>
        <w:t>Stav:</w:t>
      </w:r>
    </w:p>
    <w:p>
      <w:pPr>
        <w:pStyle w:val="Style9"/>
        <w:keepNext w:val="0"/>
        <w:keepLines w:val="0"/>
        <w:framePr w:w="2239" w:h="979" w:wrap="none" w:vAnchor="text" w:hAnchor="page" w:x="2048" w:y="3666"/>
        <w:widowControl w:val="0"/>
        <w:shd w:val="clear" w:color="auto" w:fill="auto"/>
        <w:bidi w:val="0"/>
        <w:spacing w:before="0" w:after="0" w:line="240" w:lineRule="auto"/>
        <w:ind w:left="0" w:right="0" w:firstLine="0"/>
        <w:jc w:val="left"/>
      </w:pPr>
      <w:r>
        <w:rPr>
          <w:rStyle w:val="CharStyle10"/>
        </w:rPr>
        <w:t>Barva vozu:</w:t>
      </w:r>
    </w:p>
    <w:p>
      <w:pPr>
        <w:pStyle w:val="Style9"/>
        <w:keepNext w:val="0"/>
        <w:keepLines w:val="0"/>
        <w:framePr w:w="2239" w:h="979" w:wrap="none" w:vAnchor="text" w:hAnchor="page" w:x="2048" w:y="3666"/>
        <w:widowControl w:val="0"/>
        <w:shd w:val="clear" w:color="auto" w:fill="auto"/>
        <w:bidi w:val="0"/>
        <w:spacing w:before="0" w:after="0" w:line="240" w:lineRule="auto"/>
        <w:ind w:left="0" w:right="0" w:firstLine="0"/>
        <w:jc w:val="left"/>
      </w:pPr>
      <w:r>
        <w:rPr>
          <w:rStyle w:val="CharStyle10"/>
          <w:b/>
          <w:bCs/>
        </w:rPr>
        <w:t>Barva interiéru:</w:t>
      </w:r>
    </w:p>
    <w:p>
      <w:pPr>
        <w:pStyle w:val="Style9"/>
        <w:keepNext w:val="0"/>
        <w:keepLines w:val="0"/>
        <w:framePr w:w="3398" w:h="770" w:wrap="none" w:vAnchor="text" w:hAnchor="page" w:x="6144" w:y="3889"/>
        <w:widowControl w:val="0"/>
        <w:shd w:val="clear" w:color="auto" w:fill="auto"/>
        <w:bidi w:val="0"/>
        <w:spacing w:before="0" w:after="0" w:line="240" w:lineRule="auto"/>
        <w:ind w:left="0" w:right="0" w:firstLine="0"/>
        <w:jc w:val="left"/>
      </w:pPr>
      <w:r>
        <w:rPr>
          <w:rStyle w:val="CharStyle10"/>
          <w:b/>
          <w:bCs/>
        </w:rPr>
        <w:t>Škoda Kodiaq RS 2.0 TS1180 kW 4x4 automat nové/ojeté</w:t>
      </w:r>
    </w:p>
    <w:p>
      <w:pPr>
        <w:pStyle w:val="Style9"/>
        <w:keepNext w:val="0"/>
        <w:keepLines w:val="0"/>
        <w:framePr w:w="3398" w:h="770" w:wrap="none" w:vAnchor="text" w:hAnchor="page" w:x="6144" w:y="3889"/>
        <w:widowControl w:val="0"/>
        <w:shd w:val="clear" w:color="auto" w:fill="auto"/>
        <w:bidi w:val="0"/>
        <w:spacing w:before="0" w:after="0" w:line="240" w:lineRule="auto"/>
        <w:ind w:left="0" w:right="0" w:firstLine="0"/>
        <w:jc w:val="left"/>
      </w:pPr>
      <w:r>
        <w:rPr>
          <w:rStyle w:val="CharStyle10"/>
          <w:b/>
          <w:bCs/>
        </w:rPr>
        <w:t>Bílá Moon metalíza</w:t>
      </w:r>
    </w:p>
    <w:p>
      <w:pPr>
        <w:pStyle w:val="Style9"/>
        <w:keepNext w:val="0"/>
        <w:keepLines w:val="0"/>
        <w:framePr w:w="3398" w:h="770" w:wrap="none" w:vAnchor="text" w:hAnchor="page" w:x="6144" w:y="3889"/>
        <w:widowControl w:val="0"/>
        <w:shd w:val="clear" w:color="auto" w:fill="auto"/>
        <w:bidi w:val="0"/>
        <w:spacing w:before="0" w:after="0" w:line="240" w:lineRule="auto"/>
        <w:ind w:left="0" w:right="0" w:firstLine="0"/>
        <w:jc w:val="left"/>
      </w:pPr>
      <w:r>
        <w:rPr>
          <w:rStyle w:val="CharStyle10"/>
          <w:b/>
          <w:bCs/>
        </w:rPr>
        <w:t>Tmavý</w:t>
      </w:r>
    </w:p>
    <w:p>
      <w:pPr>
        <w:pStyle w:val="Style7"/>
        <w:keepNext/>
        <w:keepLines/>
        <w:framePr w:w="3650" w:h="1343" w:wrap="none" w:vAnchor="text" w:hAnchor="page" w:x="2044" w:y="5106"/>
        <w:widowControl w:val="0"/>
        <w:shd w:val="clear" w:color="auto" w:fill="auto"/>
        <w:bidi w:val="0"/>
        <w:spacing w:before="0" w:after="0" w:line="240" w:lineRule="auto"/>
        <w:ind w:left="0" w:right="0" w:firstLine="0"/>
        <w:jc w:val="left"/>
      </w:pPr>
      <w:bookmarkStart w:id="10" w:name="bookmark10"/>
      <w:r>
        <w:rPr>
          <w:rStyle w:val="CharStyle8"/>
        </w:rPr>
        <w:t>lil. Smluvní podmínky:</w:t>
      </w:r>
      <w:bookmarkEnd w:id="10"/>
    </w:p>
    <w:p>
      <w:pPr>
        <w:pStyle w:val="Style9"/>
        <w:keepNext w:val="0"/>
        <w:keepLines w:val="0"/>
        <w:framePr w:w="3650" w:h="1343" w:wrap="none" w:vAnchor="text" w:hAnchor="page" w:x="2044" w:y="5106"/>
        <w:widowControl w:val="0"/>
        <w:shd w:val="clear" w:color="auto" w:fill="auto"/>
        <w:bidi w:val="0"/>
        <w:spacing w:before="0" w:after="0" w:line="240" w:lineRule="auto"/>
        <w:ind w:left="0" w:right="0" w:firstLine="0"/>
        <w:jc w:val="left"/>
      </w:pPr>
      <w:r>
        <w:rPr>
          <w:rStyle w:val="CharStyle10"/>
        </w:rPr>
        <w:t>Doba leasingu:</w:t>
      </w:r>
    </w:p>
    <w:p>
      <w:pPr>
        <w:pStyle w:val="Style9"/>
        <w:keepNext w:val="0"/>
        <w:keepLines w:val="0"/>
        <w:framePr w:w="3650" w:h="1343" w:wrap="none" w:vAnchor="text" w:hAnchor="page" w:x="2044" w:y="5106"/>
        <w:widowControl w:val="0"/>
        <w:shd w:val="clear" w:color="auto" w:fill="auto"/>
        <w:bidi w:val="0"/>
        <w:spacing w:before="0" w:after="0" w:line="240" w:lineRule="auto"/>
        <w:ind w:left="0" w:right="0" w:firstLine="0"/>
        <w:jc w:val="left"/>
      </w:pPr>
      <w:r>
        <w:rPr>
          <w:rStyle w:val="CharStyle10"/>
        </w:rPr>
        <w:t>Počet km za rok:</w:t>
      </w:r>
    </w:p>
    <w:p>
      <w:pPr>
        <w:pStyle w:val="Style9"/>
        <w:keepNext w:val="0"/>
        <w:keepLines w:val="0"/>
        <w:framePr w:w="3650" w:h="1343" w:wrap="none" w:vAnchor="text" w:hAnchor="page" w:x="2044" w:y="5106"/>
        <w:widowControl w:val="0"/>
        <w:shd w:val="clear" w:color="auto" w:fill="auto"/>
        <w:bidi w:val="0"/>
        <w:spacing w:before="0" w:after="0" w:line="240" w:lineRule="auto"/>
        <w:ind w:left="0" w:right="0" w:firstLine="0"/>
        <w:jc w:val="left"/>
      </w:pPr>
      <w:r>
        <w:rPr>
          <w:rStyle w:val="CharStyle10"/>
        </w:rPr>
        <w:t>Počet km za dobu leasingu:</w:t>
      </w:r>
    </w:p>
    <w:p>
      <w:pPr>
        <w:pStyle w:val="Style9"/>
        <w:keepNext w:val="0"/>
        <w:keepLines w:val="0"/>
        <w:framePr w:w="3650" w:h="1343" w:wrap="none" w:vAnchor="text" w:hAnchor="page" w:x="2044" w:y="5106"/>
        <w:widowControl w:val="0"/>
        <w:shd w:val="clear" w:color="auto" w:fill="auto"/>
        <w:bidi w:val="0"/>
        <w:spacing w:before="0" w:after="0" w:line="240" w:lineRule="auto"/>
        <w:ind w:left="0" w:right="0" w:firstLine="0"/>
        <w:jc w:val="left"/>
      </w:pPr>
      <w:r>
        <w:rPr>
          <w:rStyle w:val="CharStyle10"/>
        </w:rPr>
        <w:t>Volná hranice:</w:t>
      </w:r>
    </w:p>
    <w:p>
      <w:pPr>
        <w:pStyle w:val="Style9"/>
        <w:keepNext w:val="0"/>
        <w:keepLines w:val="0"/>
        <w:framePr w:w="3650" w:h="1343" w:wrap="none" w:vAnchor="text" w:hAnchor="page" w:x="2044" w:y="5106"/>
        <w:widowControl w:val="0"/>
        <w:shd w:val="clear" w:color="auto" w:fill="auto"/>
        <w:bidi w:val="0"/>
        <w:spacing w:before="0" w:after="0" w:line="240" w:lineRule="auto"/>
        <w:ind w:left="0" w:right="0" w:firstLine="0"/>
        <w:jc w:val="left"/>
      </w:pPr>
      <w:r>
        <w:rPr>
          <w:rStyle w:val="CharStyle10"/>
        </w:rPr>
        <w:t>Sazba za každý km nad stanovený počet (bez DPH):</w:t>
      </w:r>
    </w:p>
    <w:p>
      <w:pPr>
        <w:pStyle w:val="Style9"/>
        <w:keepNext w:val="0"/>
        <w:keepLines w:val="0"/>
        <w:framePr w:w="3650" w:h="1343" w:wrap="none" w:vAnchor="text" w:hAnchor="page" w:x="2044" w:y="5106"/>
        <w:widowControl w:val="0"/>
        <w:shd w:val="clear" w:color="auto" w:fill="auto"/>
        <w:bidi w:val="0"/>
        <w:spacing w:before="0" w:after="0" w:line="240" w:lineRule="auto"/>
        <w:ind w:left="0" w:right="0" w:firstLine="0"/>
        <w:jc w:val="left"/>
      </w:pPr>
      <w:r>
        <w:rPr>
          <w:rStyle w:val="CharStyle10"/>
        </w:rPr>
        <w:t>Sazba za každý km pod stanovený počet (bez DPH):</w:t>
      </w:r>
    </w:p>
    <w:p>
      <w:pPr>
        <w:pStyle w:val="Style9"/>
        <w:keepNext w:val="0"/>
        <w:keepLines w:val="0"/>
        <w:framePr w:w="792" w:h="1091" w:wrap="none" w:vAnchor="text" w:hAnchor="page" w:x="6144" w:y="5351"/>
        <w:widowControl w:val="0"/>
        <w:shd w:val="clear" w:color="auto" w:fill="auto"/>
        <w:bidi w:val="0"/>
        <w:spacing w:before="0" w:after="0" w:line="240" w:lineRule="auto"/>
        <w:ind w:left="0" w:right="0" w:firstLine="0"/>
        <w:jc w:val="both"/>
      </w:pPr>
      <w:r>
        <w:rPr>
          <w:rStyle w:val="CharStyle10"/>
          <w:b/>
          <w:bCs/>
        </w:rPr>
        <w:t>12 měsíců 20.000 km</w:t>
      </w:r>
    </w:p>
    <w:p>
      <w:pPr>
        <w:pStyle w:val="Style9"/>
        <w:keepNext w:val="0"/>
        <w:keepLines w:val="0"/>
        <w:framePr w:w="792" w:h="1091" w:wrap="none" w:vAnchor="text" w:hAnchor="page" w:x="6144" w:y="5351"/>
        <w:widowControl w:val="0"/>
        <w:shd w:val="clear" w:color="auto" w:fill="auto"/>
        <w:bidi w:val="0"/>
        <w:spacing w:before="0" w:after="0" w:line="240" w:lineRule="auto"/>
        <w:ind w:left="0" w:right="0" w:firstLine="0"/>
        <w:jc w:val="both"/>
      </w:pPr>
      <w:r>
        <w:rPr>
          <w:rStyle w:val="CharStyle10"/>
          <w:b/>
          <w:bCs/>
        </w:rPr>
        <w:t>20.000 km 3.000 km</w:t>
      </w:r>
    </w:p>
    <w:p>
      <w:pPr>
        <w:pStyle w:val="Style9"/>
        <w:keepNext w:val="0"/>
        <w:keepLines w:val="0"/>
        <w:framePr w:w="792" w:h="1091" w:wrap="none" w:vAnchor="text" w:hAnchor="page" w:x="6144" w:y="5351"/>
        <w:widowControl w:val="0"/>
        <w:shd w:val="clear" w:color="auto" w:fill="auto"/>
        <w:bidi w:val="0"/>
        <w:spacing w:before="0" w:after="0" w:line="240" w:lineRule="auto"/>
        <w:ind w:left="0" w:right="0" w:firstLine="0"/>
        <w:jc w:val="both"/>
      </w:pPr>
      <w:r>
        <w:rPr>
          <w:rStyle w:val="CharStyle10"/>
          <w:b/>
          <w:bCs/>
        </w:rPr>
        <w:t>2,50 Kč 0,39 Kč</w:t>
      </w:r>
    </w:p>
    <w:tbl>
      <w:tblPr>
        <w:tblOverlap w:val="never"/>
        <w:jc w:val="left"/>
        <w:tblLayout w:type="fixed"/>
      </w:tblPr>
      <w:tblGrid>
        <w:gridCol w:w="3337"/>
        <w:gridCol w:w="1732"/>
      </w:tblGrid>
      <w:tr>
        <w:trPr>
          <w:trHeight w:val="187" w:hRule="exact"/>
        </w:trPr>
        <w:tc>
          <w:tcPr>
            <w:tcBorders/>
            <w:shd w:val="clear" w:color="auto" w:fill="auto"/>
            <w:vAlign w:val="bottom"/>
          </w:tcPr>
          <w:p>
            <w:pPr>
              <w:pStyle w:val="Style12"/>
              <w:keepNext w:val="0"/>
              <w:keepLines w:val="0"/>
              <w:framePr w:w="5069" w:h="565" w:vSpace="248" w:wrap="none" w:vAnchor="text" w:hAnchor="page" w:x="2048" w:y="7147"/>
              <w:widowControl w:val="0"/>
              <w:shd w:val="clear" w:color="auto" w:fill="auto"/>
              <w:bidi w:val="0"/>
              <w:spacing w:before="0" w:after="0" w:line="240" w:lineRule="auto"/>
              <w:ind w:left="0" w:right="0" w:firstLine="0"/>
              <w:jc w:val="left"/>
            </w:pPr>
            <w:r>
              <w:rPr>
                <w:rStyle w:val="CharStyle13"/>
              </w:rPr>
              <w:t>Měsíční sjednané nájemné bez DPH:</w:t>
            </w:r>
          </w:p>
        </w:tc>
        <w:tc>
          <w:tcPr>
            <w:tcBorders/>
            <w:shd w:val="clear" w:color="auto" w:fill="auto"/>
            <w:vAlign w:val="bottom"/>
          </w:tcPr>
          <w:p>
            <w:pPr>
              <w:pStyle w:val="Style12"/>
              <w:keepNext w:val="0"/>
              <w:keepLines w:val="0"/>
              <w:framePr w:w="5069" w:h="565" w:vSpace="248" w:wrap="none" w:vAnchor="text" w:hAnchor="page" w:x="2048" w:y="7147"/>
              <w:widowControl w:val="0"/>
              <w:shd w:val="clear" w:color="auto" w:fill="auto"/>
              <w:bidi w:val="0"/>
              <w:spacing w:before="0" w:after="0" w:line="240" w:lineRule="auto"/>
              <w:ind w:left="0" w:right="0" w:firstLine="760"/>
              <w:jc w:val="left"/>
            </w:pPr>
            <w:r>
              <w:rPr>
                <w:rStyle w:val="CharStyle13"/>
                <w:b/>
                <w:bCs/>
              </w:rPr>
              <w:t>15 379,78 Kč</w:t>
            </w:r>
          </w:p>
        </w:tc>
      </w:tr>
      <w:tr>
        <w:trPr>
          <w:trHeight w:val="173" w:hRule="exact"/>
        </w:trPr>
        <w:tc>
          <w:tcPr>
            <w:tcBorders/>
            <w:shd w:val="clear" w:color="auto" w:fill="auto"/>
            <w:vAlign w:val="top"/>
          </w:tcPr>
          <w:p>
            <w:pPr>
              <w:pStyle w:val="Style12"/>
              <w:keepNext w:val="0"/>
              <w:keepLines w:val="0"/>
              <w:framePr w:w="5069" w:h="565" w:vSpace="248" w:wrap="none" w:vAnchor="text" w:hAnchor="page" w:x="2048" w:y="7147"/>
              <w:widowControl w:val="0"/>
              <w:shd w:val="clear" w:color="auto" w:fill="auto"/>
              <w:bidi w:val="0"/>
              <w:spacing w:before="0" w:after="0" w:line="240" w:lineRule="auto"/>
              <w:ind w:left="0" w:right="0" w:firstLine="0"/>
              <w:jc w:val="left"/>
            </w:pPr>
            <w:r>
              <w:rPr>
                <w:rStyle w:val="CharStyle13"/>
              </w:rPr>
              <w:t>Zákonná DPH:</w:t>
            </w:r>
          </w:p>
        </w:tc>
        <w:tc>
          <w:tcPr>
            <w:tcBorders/>
            <w:shd w:val="clear" w:color="auto" w:fill="auto"/>
            <w:vAlign w:val="top"/>
          </w:tcPr>
          <w:p>
            <w:pPr>
              <w:pStyle w:val="Style12"/>
              <w:keepNext w:val="0"/>
              <w:keepLines w:val="0"/>
              <w:framePr w:w="5069" w:h="565" w:vSpace="248" w:wrap="none" w:vAnchor="text" w:hAnchor="page" w:x="2048" w:y="7147"/>
              <w:widowControl w:val="0"/>
              <w:shd w:val="clear" w:color="auto" w:fill="auto"/>
              <w:bidi w:val="0"/>
              <w:spacing w:before="0" w:after="0" w:line="240" w:lineRule="auto"/>
              <w:ind w:left="0" w:right="0" w:firstLine="0"/>
              <w:jc w:val="right"/>
            </w:pPr>
            <w:r>
              <w:rPr>
                <w:rStyle w:val="CharStyle13"/>
                <w:b/>
                <w:bCs/>
              </w:rPr>
              <w:t>3 229,75 Kč</w:t>
            </w:r>
          </w:p>
        </w:tc>
      </w:tr>
      <w:tr>
        <w:trPr>
          <w:trHeight w:val="205" w:hRule="exact"/>
        </w:trPr>
        <w:tc>
          <w:tcPr>
            <w:tcBorders/>
            <w:shd w:val="clear" w:color="auto" w:fill="auto"/>
            <w:vAlign w:val="top"/>
          </w:tcPr>
          <w:p>
            <w:pPr>
              <w:pStyle w:val="Style12"/>
              <w:keepNext w:val="0"/>
              <w:keepLines w:val="0"/>
              <w:framePr w:w="5069" w:h="565" w:vSpace="248" w:wrap="none" w:vAnchor="text" w:hAnchor="page" w:x="2048" w:y="7147"/>
              <w:widowControl w:val="0"/>
              <w:shd w:val="clear" w:color="auto" w:fill="auto"/>
              <w:bidi w:val="0"/>
              <w:spacing w:before="0" w:after="0" w:line="240" w:lineRule="auto"/>
              <w:ind w:left="0" w:right="0" w:firstLine="0"/>
              <w:jc w:val="left"/>
            </w:pPr>
            <w:r>
              <w:rPr>
                <w:rStyle w:val="CharStyle13"/>
              </w:rPr>
              <w:t>Měsíční sjednané nájemné vč. DPH:</w:t>
            </w:r>
          </w:p>
        </w:tc>
        <w:tc>
          <w:tcPr>
            <w:tcBorders/>
            <w:shd w:val="clear" w:color="auto" w:fill="auto"/>
            <w:vAlign w:val="top"/>
          </w:tcPr>
          <w:p>
            <w:pPr>
              <w:pStyle w:val="Style12"/>
              <w:keepNext w:val="0"/>
              <w:keepLines w:val="0"/>
              <w:framePr w:w="5069" w:h="565" w:vSpace="248" w:wrap="none" w:vAnchor="text" w:hAnchor="page" w:x="2048" w:y="7147"/>
              <w:widowControl w:val="0"/>
              <w:shd w:val="clear" w:color="auto" w:fill="auto"/>
              <w:bidi w:val="0"/>
              <w:spacing w:before="0" w:after="0" w:line="240" w:lineRule="auto"/>
              <w:ind w:left="0" w:right="0" w:firstLine="0"/>
              <w:jc w:val="right"/>
            </w:pPr>
            <w:r>
              <w:rPr>
                <w:rStyle w:val="CharStyle13"/>
                <w:b/>
                <w:bCs/>
              </w:rPr>
              <w:t>18 609,53 Kč</w:t>
            </w:r>
          </w:p>
        </w:tc>
      </w:tr>
    </w:tbl>
    <w:p>
      <w:pPr>
        <w:framePr w:w="5069" w:h="565" w:vSpace="248" w:wrap="none" w:vAnchor="text" w:hAnchor="page" w:x="2048" w:y="7147"/>
        <w:widowControl w:val="0"/>
        <w:spacing w:line="1" w:lineRule="exact"/>
      </w:pPr>
    </w:p>
    <w:p>
      <w:pPr>
        <w:pStyle w:val="Style18"/>
        <w:keepNext w:val="0"/>
        <w:keepLines w:val="0"/>
        <w:framePr w:w="2228" w:h="277" w:wrap="none" w:vAnchor="text" w:hAnchor="page" w:x="2059" w:y="6899"/>
        <w:widowControl w:val="0"/>
        <w:shd w:val="clear" w:color="auto" w:fill="auto"/>
        <w:bidi w:val="0"/>
        <w:spacing w:before="0" w:after="0" w:line="240" w:lineRule="auto"/>
        <w:ind w:left="0" w:right="0" w:firstLine="0"/>
        <w:jc w:val="left"/>
        <w:rPr>
          <w:sz w:val="22"/>
          <w:szCs w:val="22"/>
        </w:rPr>
      </w:pPr>
      <w:r>
        <w:rPr>
          <w:rStyle w:val="CharStyle19"/>
          <w:sz w:val="22"/>
          <w:szCs w:val="22"/>
        </w:rPr>
        <w:t>IV. Cenové podmínky:</w:t>
      </w:r>
    </w:p>
    <w:p>
      <w:pPr>
        <w:pStyle w:val="Style7"/>
        <w:keepNext/>
        <w:keepLines/>
        <w:framePr w:w="3780" w:h="1872" w:wrap="none" w:vAnchor="text" w:hAnchor="page" w:x="2048" w:y="8159"/>
        <w:widowControl w:val="0"/>
        <w:shd w:val="clear" w:color="auto" w:fill="auto"/>
        <w:bidi w:val="0"/>
        <w:spacing w:before="0" w:after="160" w:line="240" w:lineRule="auto"/>
        <w:ind w:left="0" w:right="0" w:firstLine="0"/>
        <w:jc w:val="left"/>
      </w:pPr>
      <w:bookmarkStart w:id="12" w:name="bookmark12"/>
      <w:r>
        <w:rPr>
          <w:rStyle w:val="CharStyle8"/>
        </w:rPr>
        <w:t>V. Sjednané služby:</w:t>
      </w:r>
      <w:bookmarkEnd w:id="12"/>
    </w:p>
    <w:p>
      <w:pPr>
        <w:pStyle w:val="Style21"/>
        <w:keepNext/>
        <w:keepLines/>
        <w:framePr w:w="3780" w:h="1872" w:wrap="none" w:vAnchor="text" w:hAnchor="page" w:x="2048" w:y="8159"/>
        <w:widowControl w:val="0"/>
        <w:numPr>
          <w:ilvl w:val="0"/>
          <w:numId w:val="1"/>
        </w:numPr>
        <w:shd w:val="clear" w:color="auto" w:fill="auto"/>
        <w:tabs>
          <w:tab w:pos="693" w:val="left"/>
        </w:tabs>
        <w:bidi w:val="0"/>
        <w:spacing w:before="0" w:after="160" w:line="240" w:lineRule="auto"/>
        <w:ind w:left="0" w:right="0" w:firstLine="340"/>
        <w:jc w:val="left"/>
      </w:pPr>
      <w:bookmarkStart w:id="14" w:name="bookmark14"/>
      <w:r>
        <w:rPr>
          <w:rStyle w:val="CharStyle22"/>
          <w:b/>
          <w:bCs/>
        </w:rPr>
        <w:t>Financování:</w:t>
      </w:r>
      <w:bookmarkEnd w:id="14"/>
    </w:p>
    <w:p>
      <w:pPr>
        <w:pStyle w:val="Style21"/>
        <w:keepNext/>
        <w:keepLines/>
        <w:framePr w:w="3780" w:h="1872" w:wrap="none" w:vAnchor="text" w:hAnchor="page" w:x="2048" w:y="8159"/>
        <w:widowControl w:val="0"/>
        <w:numPr>
          <w:ilvl w:val="0"/>
          <w:numId w:val="1"/>
        </w:numPr>
        <w:shd w:val="clear" w:color="auto" w:fill="auto"/>
        <w:tabs>
          <w:tab w:pos="693" w:val="left"/>
        </w:tabs>
        <w:bidi w:val="0"/>
        <w:spacing w:before="0" w:after="0" w:line="240" w:lineRule="auto"/>
        <w:ind w:left="0" w:right="0" w:firstLine="340"/>
        <w:jc w:val="left"/>
      </w:pPr>
      <w:r>
        <w:rPr>
          <w:rStyle w:val="CharStyle22"/>
          <w:b/>
          <w:bCs/>
        </w:rPr>
        <w:t>Pojištění;</w:t>
      </w:r>
    </w:p>
    <w:p>
      <w:pPr>
        <w:pStyle w:val="Style9"/>
        <w:keepNext w:val="0"/>
        <w:keepLines w:val="0"/>
        <w:framePr w:w="3780" w:h="1872" w:wrap="none" w:vAnchor="text" w:hAnchor="page" w:x="2048" w:y="8159"/>
        <w:widowControl w:val="0"/>
        <w:shd w:val="clear" w:color="auto" w:fill="auto"/>
        <w:bidi w:val="0"/>
        <w:spacing w:before="0" w:after="0" w:line="240" w:lineRule="auto"/>
        <w:ind w:left="0" w:right="0" w:firstLine="680"/>
        <w:jc w:val="left"/>
      </w:pPr>
      <w:r>
        <w:rPr>
          <w:rStyle w:val="CharStyle10"/>
        </w:rPr>
        <w:t>Sjednaná spoluúčast na havarijním pojištění:</w:t>
      </w:r>
    </w:p>
    <w:p>
      <w:pPr>
        <w:pStyle w:val="Style9"/>
        <w:keepNext w:val="0"/>
        <w:keepLines w:val="0"/>
        <w:framePr w:w="3780" w:h="1872" w:wrap="none" w:vAnchor="text" w:hAnchor="page" w:x="2048" w:y="8159"/>
        <w:widowControl w:val="0"/>
        <w:shd w:val="clear" w:color="auto" w:fill="auto"/>
        <w:bidi w:val="0"/>
        <w:spacing w:before="0" w:after="0" w:line="240" w:lineRule="auto"/>
        <w:ind w:left="0" w:right="0" w:firstLine="680"/>
        <w:jc w:val="left"/>
      </w:pPr>
      <w:r>
        <w:rPr>
          <w:rStyle w:val="CharStyle10"/>
        </w:rPr>
        <w:t>Limit plnění pojištění všech skel;</w:t>
      </w:r>
    </w:p>
    <w:p>
      <w:pPr>
        <w:pStyle w:val="Style9"/>
        <w:keepNext w:val="0"/>
        <w:keepLines w:val="0"/>
        <w:framePr w:w="3780" w:h="1872" w:wrap="none" w:vAnchor="text" w:hAnchor="page" w:x="2048" w:y="8159"/>
        <w:widowControl w:val="0"/>
        <w:shd w:val="clear" w:color="auto" w:fill="auto"/>
        <w:bidi w:val="0"/>
        <w:spacing w:before="0" w:after="160" w:line="240" w:lineRule="auto"/>
        <w:ind w:left="0" w:right="0" w:firstLine="680"/>
        <w:jc w:val="left"/>
      </w:pPr>
      <w:r>
        <w:rPr>
          <w:rStyle w:val="CharStyle10"/>
        </w:rPr>
        <w:t>Pojištění finanční ztráty - GAP</w:t>
      </w:r>
    </w:p>
    <w:p>
      <w:pPr>
        <w:pStyle w:val="Style9"/>
        <w:keepNext w:val="0"/>
        <w:keepLines w:val="0"/>
        <w:framePr w:w="3780" w:h="1872" w:wrap="none" w:vAnchor="text" w:hAnchor="page" w:x="2048" w:y="8159"/>
        <w:widowControl w:val="0"/>
        <w:numPr>
          <w:ilvl w:val="0"/>
          <w:numId w:val="1"/>
        </w:numPr>
        <w:shd w:val="clear" w:color="auto" w:fill="auto"/>
        <w:tabs>
          <w:tab w:pos="693" w:val="left"/>
        </w:tabs>
        <w:bidi w:val="0"/>
        <w:spacing w:before="0" w:after="160" w:line="240" w:lineRule="auto"/>
        <w:ind w:left="0" w:right="0" w:firstLine="340"/>
        <w:jc w:val="left"/>
      </w:pPr>
      <w:r>
        <w:rPr>
          <w:rStyle w:val="CharStyle10"/>
          <w:b/>
          <w:bCs/>
        </w:rPr>
        <w:t>Dálniční známka:</w:t>
      </w:r>
    </w:p>
    <w:p>
      <w:pPr>
        <w:pStyle w:val="Style9"/>
        <w:keepNext w:val="0"/>
        <w:keepLines w:val="0"/>
        <w:framePr w:w="2383" w:h="925" w:wrap="none" w:vAnchor="text" w:hAnchor="page" w:x="2390" w:y="10171"/>
        <w:widowControl w:val="0"/>
        <w:numPr>
          <w:ilvl w:val="0"/>
          <w:numId w:val="3"/>
        </w:numPr>
        <w:shd w:val="clear" w:color="auto" w:fill="auto"/>
        <w:tabs>
          <w:tab w:pos="338" w:val="left"/>
        </w:tabs>
        <w:bidi w:val="0"/>
        <w:spacing w:before="0" w:after="180" w:line="240" w:lineRule="auto"/>
        <w:ind w:left="0" w:right="0" w:firstLine="0"/>
        <w:jc w:val="left"/>
      </w:pPr>
      <w:r>
        <w:rPr>
          <w:rStyle w:val="CharStyle10"/>
          <w:b/>
          <w:bCs/>
        </w:rPr>
        <w:t>Pravidelný servis a údržba:</w:t>
      </w:r>
    </w:p>
    <w:p>
      <w:pPr>
        <w:pStyle w:val="Style9"/>
        <w:keepNext w:val="0"/>
        <w:keepLines w:val="0"/>
        <w:framePr w:w="2383" w:h="925" w:wrap="none" w:vAnchor="text" w:hAnchor="page" w:x="2390" w:y="10171"/>
        <w:widowControl w:val="0"/>
        <w:numPr>
          <w:ilvl w:val="0"/>
          <w:numId w:val="3"/>
        </w:numPr>
        <w:shd w:val="clear" w:color="auto" w:fill="auto"/>
        <w:tabs>
          <w:tab w:pos="338" w:val="left"/>
        </w:tabs>
        <w:bidi w:val="0"/>
        <w:spacing w:before="0" w:after="180" w:line="240" w:lineRule="auto"/>
        <w:ind w:left="0" w:right="0" w:firstLine="0"/>
        <w:jc w:val="left"/>
      </w:pPr>
      <w:r>
        <w:rPr>
          <w:rStyle w:val="CharStyle10"/>
          <w:b/>
          <w:bCs/>
        </w:rPr>
        <w:t>Pneuservis:</w:t>
      </w:r>
    </w:p>
    <w:p>
      <w:pPr>
        <w:pStyle w:val="Style9"/>
        <w:keepNext w:val="0"/>
        <w:keepLines w:val="0"/>
        <w:framePr w:w="2383" w:h="925" w:wrap="none" w:vAnchor="text" w:hAnchor="page" w:x="2390" w:y="10171"/>
        <w:widowControl w:val="0"/>
        <w:numPr>
          <w:ilvl w:val="0"/>
          <w:numId w:val="3"/>
        </w:numPr>
        <w:shd w:val="clear" w:color="auto" w:fill="auto"/>
        <w:tabs>
          <w:tab w:pos="338" w:val="left"/>
        </w:tabs>
        <w:bidi w:val="0"/>
        <w:spacing w:before="0" w:after="180" w:line="240" w:lineRule="auto"/>
        <w:ind w:left="0" w:right="0" w:firstLine="0"/>
        <w:jc w:val="left"/>
      </w:pPr>
      <w:r>
        <w:rPr>
          <w:rStyle w:val="CharStyle10"/>
          <w:b/>
          <w:bCs/>
        </w:rPr>
        <w:t>Piek up servis:</w:t>
      </w:r>
    </w:p>
    <w:p>
      <w:pPr>
        <w:pStyle w:val="Style9"/>
        <w:keepNext w:val="0"/>
        <w:keepLines w:val="0"/>
        <w:framePr w:w="2012" w:h="2506" w:wrap="none" w:vAnchor="text" w:hAnchor="page" w:x="6134" w:y="8587"/>
        <w:widowControl w:val="0"/>
        <w:shd w:val="clear" w:color="auto" w:fill="auto"/>
        <w:bidi w:val="0"/>
        <w:spacing w:before="0" w:after="180" w:line="240" w:lineRule="auto"/>
        <w:ind w:left="0" w:right="0" w:firstLine="0"/>
        <w:jc w:val="left"/>
      </w:pPr>
      <w:r>
        <w:rPr>
          <w:rStyle w:val="CharStyle10"/>
          <w:b/>
          <w:bCs/>
        </w:rPr>
        <w:t>ano/ne</w:t>
      </w:r>
    </w:p>
    <w:p>
      <w:pPr>
        <w:pStyle w:val="Style9"/>
        <w:keepNext w:val="0"/>
        <w:keepLines w:val="0"/>
        <w:framePr w:w="2012" w:h="2506" w:wrap="none" w:vAnchor="text" w:hAnchor="page" w:x="6134" w:y="8587"/>
        <w:widowControl w:val="0"/>
        <w:shd w:val="clear" w:color="auto" w:fill="auto"/>
        <w:bidi w:val="0"/>
        <w:spacing w:before="0" w:after="0" w:line="240" w:lineRule="auto"/>
        <w:ind w:left="0" w:right="0" w:firstLine="0"/>
        <w:jc w:val="left"/>
      </w:pPr>
      <w:r>
        <w:rPr>
          <w:rStyle w:val="CharStyle10"/>
          <w:b/>
          <w:bCs/>
        </w:rPr>
        <w:t>ano/ne</w:t>
      </w:r>
    </w:p>
    <w:p>
      <w:pPr>
        <w:pStyle w:val="Style9"/>
        <w:keepNext w:val="0"/>
        <w:keepLines w:val="0"/>
        <w:framePr w:w="2012" w:h="2506" w:wrap="none" w:vAnchor="text" w:hAnchor="page" w:x="6134" w:y="8587"/>
        <w:widowControl w:val="0"/>
        <w:shd w:val="clear" w:color="auto" w:fill="auto"/>
        <w:bidi w:val="0"/>
        <w:spacing w:before="0" w:after="180" w:line="240" w:lineRule="auto"/>
        <w:ind w:left="0" w:right="0" w:firstLine="0"/>
        <w:jc w:val="left"/>
      </w:pPr>
      <w:r>
        <w:rPr>
          <w:rStyle w:val="CharStyle10"/>
          <w:b/>
          <w:bCs/>
        </w:rPr>
        <w:t>5 %, min. 5 000 Kč připojištěno na 20 000,- Kč ano/ne</w:t>
      </w:r>
    </w:p>
    <w:p>
      <w:pPr>
        <w:pStyle w:val="Style9"/>
        <w:keepNext w:val="0"/>
        <w:keepLines w:val="0"/>
        <w:framePr w:w="2012" w:h="2506" w:wrap="none" w:vAnchor="text" w:hAnchor="page" w:x="6134" w:y="8587"/>
        <w:widowControl w:val="0"/>
        <w:shd w:val="clear" w:color="auto" w:fill="auto"/>
        <w:bidi w:val="0"/>
        <w:spacing w:before="0" w:after="180" w:line="240" w:lineRule="auto"/>
        <w:ind w:left="0" w:right="0" w:firstLine="0"/>
        <w:jc w:val="left"/>
      </w:pPr>
      <w:r>
        <w:rPr>
          <w:rStyle w:val="CharStyle10"/>
          <w:b/>
          <w:bCs/>
        </w:rPr>
        <w:t>ano/ne</w:t>
      </w:r>
    </w:p>
    <w:p>
      <w:pPr>
        <w:pStyle w:val="Style9"/>
        <w:keepNext w:val="0"/>
        <w:keepLines w:val="0"/>
        <w:framePr w:w="2012" w:h="2506" w:wrap="none" w:vAnchor="text" w:hAnchor="page" w:x="6134" w:y="8587"/>
        <w:widowControl w:val="0"/>
        <w:shd w:val="clear" w:color="auto" w:fill="auto"/>
        <w:bidi w:val="0"/>
        <w:spacing w:before="0" w:after="180" w:line="240" w:lineRule="auto"/>
        <w:ind w:left="0" w:right="0" w:firstLine="0"/>
        <w:jc w:val="left"/>
      </w:pPr>
      <w:r>
        <w:rPr>
          <w:rStyle w:val="CharStyle10"/>
          <w:b/>
          <w:bCs/>
        </w:rPr>
        <w:t>ano/ne</w:t>
      </w:r>
    </w:p>
    <w:p>
      <w:pPr>
        <w:pStyle w:val="Style9"/>
        <w:keepNext w:val="0"/>
        <w:keepLines w:val="0"/>
        <w:framePr w:w="2012" w:h="2506" w:wrap="none" w:vAnchor="text" w:hAnchor="page" w:x="6134" w:y="8587"/>
        <w:widowControl w:val="0"/>
        <w:shd w:val="clear" w:color="auto" w:fill="auto"/>
        <w:bidi w:val="0"/>
        <w:spacing w:before="0" w:after="180" w:line="240" w:lineRule="auto"/>
        <w:ind w:left="0" w:right="0" w:firstLine="0"/>
        <w:jc w:val="left"/>
      </w:pPr>
      <w:r>
        <w:rPr>
          <w:rStyle w:val="CharStyle10"/>
          <w:b/>
          <w:bCs/>
        </w:rPr>
        <w:t>ano/ne</w:t>
      </w:r>
    </w:p>
    <w:p>
      <w:pPr>
        <w:pStyle w:val="Style9"/>
        <w:keepNext w:val="0"/>
        <w:keepLines w:val="0"/>
        <w:framePr w:w="2012" w:h="2506" w:wrap="none" w:vAnchor="text" w:hAnchor="page" w:x="6134" w:y="8587"/>
        <w:widowControl w:val="0"/>
        <w:shd w:val="clear" w:color="auto" w:fill="auto"/>
        <w:bidi w:val="0"/>
        <w:spacing w:before="0" w:after="180" w:line="240" w:lineRule="auto"/>
        <w:ind w:left="0" w:right="0" w:firstLine="0"/>
        <w:jc w:val="left"/>
      </w:pPr>
      <w:r>
        <w:rPr>
          <w:rStyle w:val="CharStyle10"/>
          <w:b/>
          <w:bCs/>
        </w:rPr>
        <w:t>ano/ne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4" w:line="1" w:lineRule="exact"/>
      </w:pPr>
    </w:p>
    <w:p>
      <w:pPr>
        <w:widowControl w:val="0"/>
        <w:spacing w:line="1" w:lineRule="exact"/>
        <w:sectPr>
          <w:footnotePr>
            <w:pos w:val="pageBottom"/>
            <w:numFmt w:val="decimal"/>
            <w:numRestart w:val="continuous"/>
          </w:footnotePr>
          <w:type w:val="continuous"/>
          <w:pgSz w:w="11900" w:h="16840"/>
          <w:pgMar w:top="1099" w:right="1037" w:bottom="1099" w:left="1939" w:header="0" w:footer="3" w:gutter="0"/>
          <w:cols w:space="720"/>
          <w:noEndnote/>
          <w:rtlGutter w:val="0"/>
          <w:docGrid w:linePitch="360"/>
        </w:sectPr>
      </w:pPr>
    </w:p>
    <w:tbl>
      <w:tblPr>
        <w:tblOverlap w:val="never"/>
        <w:jc w:val="left"/>
        <w:tblLayout w:type="fixed"/>
      </w:tblPr>
      <w:tblGrid>
        <w:gridCol w:w="259"/>
        <w:gridCol w:w="2459"/>
        <w:gridCol w:w="1570"/>
      </w:tblGrid>
      <w:tr>
        <w:trPr>
          <w:trHeight w:val="266" w:hRule="exact"/>
        </w:trPr>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rPr>
                <w:sz w:val="22"/>
                <w:szCs w:val="22"/>
              </w:rPr>
            </w:pPr>
            <w:r>
              <w:rPr>
                <w:rStyle w:val="CharStyle13"/>
                <w:rFonts w:ascii="Times New Roman" w:eastAsia="Times New Roman" w:hAnsi="Times New Roman" w:cs="Times New Roman"/>
                <w:sz w:val="22"/>
                <w:szCs w:val="22"/>
              </w:rPr>
              <w:t>s)</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left"/>
            </w:pPr>
            <w:r>
              <w:rPr>
                <w:rStyle w:val="CharStyle13"/>
                <w:b/>
                <w:bCs/>
              </w:rPr>
              <w:t>Náhradní vozidlo:</w:t>
            </w:r>
          </w:p>
        </w:tc>
        <w:tc>
          <w:tcPr>
            <w:tcBorders/>
            <w:shd w:val="clear" w:color="auto" w:fill="auto"/>
            <w:vAlign w:val="top"/>
          </w:tcPr>
          <w:p>
            <w:pPr>
              <w:pStyle w:val="Style12"/>
              <w:keepNext w:val="0"/>
              <w:keepLines w:val="0"/>
              <w:widowControl w:val="0"/>
              <w:shd w:val="clear" w:color="auto" w:fill="auto"/>
              <w:bidi w:val="0"/>
              <w:spacing w:before="0" w:after="0" w:line="240" w:lineRule="auto"/>
              <w:ind w:left="0" w:right="0" w:firstLine="0"/>
              <w:jc w:val="right"/>
            </w:pPr>
            <w:r>
              <w:rPr>
                <w:rStyle w:val="CharStyle13"/>
                <w:b/>
                <w:bCs/>
              </w:rPr>
              <w:t>ano/ne</w:t>
            </w:r>
          </w:p>
        </w:tc>
      </w:tr>
      <w:tr>
        <w:trPr>
          <w:trHeight w:val="356" w:hRule="exact"/>
        </w:trPr>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rStyle w:val="CharStyle13"/>
                <w:b/>
                <w:bCs/>
              </w:rPr>
              <w:t>h)</w:t>
            </w:r>
          </w:p>
        </w:tc>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rStyle w:val="CharStyle13"/>
                <w:b/>
                <w:bCs/>
              </w:rPr>
              <w:t>Asistenční služba;</w:t>
            </w:r>
          </w:p>
        </w:tc>
        <w:tc>
          <w:tcPr>
            <w:tcBorders/>
            <w:shd w:val="clear" w:color="auto" w:fill="auto"/>
            <w:vAlign w:val="center"/>
          </w:tcPr>
          <w:p>
            <w:pPr>
              <w:pStyle w:val="Style12"/>
              <w:keepNext w:val="0"/>
              <w:keepLines w:val="0"/>
              <w:widowControl w:val="0"/>
              <w:shd w:val="clear" w:color="auto" w:fill="auto"/>
              <w:bidi w:val="0"/>
              <w:spacing w:before="0" w:after="0" w:line="240" w:lineRule="auto"/>
              <w:ind w:left="1020" w:right="0" w:firstLine="0"/>
              <w:jc w:val="both"/>
            </w:pPr>
            <w:r>
              <w:rPr>
                <w:rStyle w:val="CharStyle13"/>
                <w:b/>
                <w:bCs/>
              </w:rPr>
              <w:t>ano/ne</w:t>
            </w:r>
          </w:p>
        </w:tc>
      </w:tr>
      <w:tr>
        <w:trPr>
          <w:trHeight w:val="349" w:hRule="exact"/>
        </w:trPr>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rStyle w:val="CharStyle13"/>
                <w:b/>
                <w:bCs/>
              </w:rPr>
              <w:t>&lt;)</w:t>
            </w:r>
          </w:p>
        </w:tc>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pPr>
            <w:r>
              <w:rPr>
                <w:rStyle w:val="CharStyle13"/>
                <w:b/>
                <w:bCs/>
              </w:rPr>
              <w:t>Palivová karta 1:</w:t>
            </w:r>
          </w:p>
        </w:tc>
        <w:tc>
          <w:tcPr>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right"/>
            </w:pPr>
            <w:r>
              <w:rPr>
                <w:rStyle w:val="CharStyle13"/>
                <w:b/>
                <w:bCs/>
              </w:rPr>
              <w:t>ano/ne</w:t>
            </w:r>
          </w:p>
        </w:tc>
      </w:tr>
      <w:tr>
        <w:trPr>
          <w:trHeight w:val="270" w:hRule="exact"/>
        </w:trPr>
        <w:tc>
          <w:tcPr>
            <w:tcBorders/>
            <w:shd w:val="clear" w:color="auto" w:fill="auto"/>
            <w:vAlign w:val="top"/>
          </w:tcPr>
          <w:p>
            <w:pPr>
              <w:widowControl w:val="0"/>
              <w:rPr>
                <w:sz w:val="10"/>
                <w:szCs w:val="10"/>
              </w:rPr>
            </w:pP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left"/>
            </w:pPr>
            <w:r>
              <w:rPr>
                <w:rStyle w:val="CharStyle13"/>
                <w:b/>
                <w:bCs/>
              </w:rPr>
              <w:t>Palivová karta 2:</w:t>
            </w:r>
          </w:p>
        </w:tc>
        <w:tc>
          <w:tcPr>
            <w:tcBorders/>
            <w:shd w:val="clear" w:color="auto" w:fill="auto"/>
            <w:vAlign w:val="bottom"/>
          </w:tcPr>
          <w:p>
            <w:pPr>
              <w:pStyle w:val="Style12"/>
              <w:keepNext w:val="0"/>
              <w:keepLines w:val="0"/>
              <w:widowControl w:val="0"/>
              <w:shd w:val="clear" w:color="auto" w:fill="auto"/>
              <w:bidi w:val="0"/>
              <w:spacing w:before="0" w:after="0" w:line="240" w:lineRule="auto"/>
              <w:ind w:left="0" w:right="0" w:firstLine="0"/>
              <w:jc w:val="right"/>
            </w:pPr>
            <w:r>
              <w:rPr>
                <w:rStyle w:val="CharStyle13"/>
                <w:b/>
                <w:bCs/>
              </w:rPr>
              <w:t>ano/ne</w:t>
            </w:r>
          </w:p>
        </w:tc>
      </w:tr>
    </w:tbl>
    <w:p>
      <w:pPr>
        <w:pStyle w:val="Style18"/>
        <w:keepNext w:val="0"/>
        <w:keepLines w:val="0"/>
        <w:widowControl w:val="0"/>
        <w:shd w:val="clear" w:color="auto" w:fill="auto"/>
        <w:tabs>
          <w:tab w:pos="3737" w:val="left"/>
        </w:tabs>
        <w:bidi w:val="0"/>
        <w:spacing w:before="0" w:after="0" w:line="240" w:lineRule="auto"/>
        <w:ind w:left="0" w:right="0" w:firstLine="0"/>
        <w:jc w:val="left"/>
      </w:pPr>
      <w:r>
        <w:rPr>
          <w:rStyle w:val="CharStyle19"/>
          <w:b/>
          <w:bCs/>
        </w:rPr>
        <w:t>j) GPS + služba webdispečink:</w:t>
        <w:tab/>
        <w:t>ane/ne</w:t>
      </w:r>
    </w:p>
    <w:p>
      <w:pPr>
        <w:widowControl w:val="0"/>
        <w:spacing w:after="119" w:line="1" w:lineRule="exact"/>
      </w:pPr>
    </w:p>
    <w:p>
      <w:pPr>
        <w:pStyle w:val="Style21"/>
        <w:keepNext/>
        <w:keepLines/>
        <w:widowControl w:val="0"/>
        <w:numPr>
          <w:ilvl w:val="0"/>
          <w:numId w:val="5"/>
        </w:numPr>
        <w:shd w:val="clear" w:color="auto" w:fill="auto"/>
        <w:tabs>
          <w:tab w:pos="651" w:val="left"/>
          <w:tab w:pos="4137" w:val="left"/>
        </w:tabs>
        <w:bidi w:val="0"/>
        <w:spacing w:before="0" w:after="160" w:line="240" w:lineRule="auto"/>
        <w:ind w:left="0" w:right="0" w:firstLine="320"/>
        <w:jc w:val="left"/>
      </w:pPr>
      <w:bookmarkStart w:id="17" w:name="bookmark17"/>
      <w:r>
        <w:rPr>
          <w:rStyle w:val="CharStyle22"/>
          <w:b/>
          <w:bCs/>
        </w:rPr>
        <w:t>Poplatky rádio:</w:t>
        <w:tab/>
        <w:t>ano/ne</w:t>
      </w:r>
      <w:bookmarkEnd w:id="17"/>
    </w:p>
    <w:p>
      <w:pPr>
        <w:pStyle w:val="Style21"/>
        <w:keepNext/>
        <w:keepLines/>
        <w:widowControl w:val="0"/>
        <w:numPr>
          <w:ilvl w:val="0"/>
          <w:numId w:val="5"/>
        </w:numPr>
        <w:shd w:val="clear" w:color="auto" w:fill="auto"/>
        <w:tabs>
          <w:tab w:pos="651" w:val="left"/>
        </w:tabs>
        <w:bidi w:val="0"/>
        <w:spacing w:before="0" w:after="160" w:line="240" w:lineRule="auto"/>
        <w:ind w:left="0" w:right="0" w:firstLine="320"/>
        <w:jc w:val="left"/>
      </w:pPr>
      <w:r>
        <w:rPr>
          <w:rStyle w:val="CharStyle22"/>
          <w:b/>
          <w:bCs/>
        </w:rPr>
        <w:t>Ostatní služby:</w:t>
      </w:r>
    </w:p>
    <w:p>
      <w:pPr>
        <w:pStyle w:val="Style9"/>
        <w:keepNext w:val="0"/>
        <w:keepLines w:val="0"/>
        <w:widowControl w:val="0"/>
        <w:shd w:val="clear" w:color="auto" w:fill="auto"/>
        <w:tabs>
          <w:tab w:pos="3877" w:val="left"/>
        </w:tabs>
        <w:bidi w:val="0"/>
        <w:spacing w:before="0" w:after="460" w:line="240" w:lineRule="auto"/>
        <w:ind w:left="0" w:right="0" w:firstLine="580"/>
        <w:jc w:val="left"/>
      </w:pPr>
      <w:r>
        <w:rPr>
          <w:rStyle w:val="CharStyle10"/>
        </w:rPr>
        <w:t>Přihlášení a odhlášení vozidla:</w:t>
        <w:tab/>
      </w:r>
      <w:r>
        <w:rPr>
          <w:rStyle w:val="CharStyle10"/>
          <w:b/>
          <w:bCs/>
        </w:rPr>
        <w:t>ano/ne</w:t>
      </w:r>
    </w:p>
    <w:p>
      <w:pPr>
        <w:pStyle w:val="Style7"/>
        <w:keepNext/>
        <w:keepLines/>
        <w:widowControl w:val="0"/>
        <w:numPr>
          <w:ilvl w:val="0"/>
          <w:numId w:val="7"/>
        </w:numPr>
        <w:shd w:val="clear" w:color="auto" w:fill="auto"/>
        <w:tabs>
          <w:tab w:pos="452" w:val="left"/>
        </w:tabs>
        <w:bidi w:val="0"/>
        <w:spacing w:before="0" w:after="460" w:line="240" w:lineRule="auto"/>
        <w:ind w:left="0" w:right="0" w:firstLine="0"/>
        <w:jc w:val="left"/>
      </w:pPr>
      <w:bookmarkStart w:id="20" w:name="bookmark20"/>
      <w:r>
        <w:rPr>
          <w:rStyle w:val="CharStyle8"/>
        </w:rPr>
        <w:t>Koeficient předčasného ukončení: 0,54</w:t>
      </w:r>
      <w:bookmarkEnd w:id="20"/>
    </w:p>
    <w:p>
      <w:pPr>
        <w:pStyle w:val="Style7"/>
        <w:keepNext/>
        <w:keepLines/>
        <w:widowControl w:val="0"/>
        <w:numPr>
          <w:ilvl w:val="0"/>
          <w:numId w:val="7"/>
        </w:numPr>
        <w:shd w:val="clear" w:color="auto" w:fill="auto"/>
        <w:tabs>
          <w:tab w:pos="506" w:val="left"/>
        </w:tabs>
        <w:bidi w:val="0"/>
        <w:spacing w:before="0" w:after="220" w:line="240" w:lineRule="auto"/>
        <w:ind w:left="0" w:right="0" w:firstLine="0"/>
        <w:jc w:val="left"/>
      </w:pPr>
      <w:r>
        <w:rPr>
          <w:rStyle w:val="CharStyle8"/>
        </w:rPr>
        <w:t>Závěrečná ujednání:</w:t>
      </w:r>
    </w:p>
    <w:p>
      <w:pPr>
        <w:pStyle w:val="Style9"/>
        <w:keepNext w:val="0"/>
        <w:keepLines w:val="0"/>
        <w:widowControl w:val="0"/>
        <w:shd w:val="clear" w:color="auto" w:fill="auto"/>
        <w:bidi w:val="0"/>
        <w:spacing w:before="0" w:after="520" w:line="252" w:lineRule="auto"/>
        <w:ind w:left="0" w:right="0" w:firstLine="0"/>
        <w:jc w:val="left"/>
      </w:pPr>
      <w:r>
        <w:rPr>
          <w:rStyle w:val="CharStyle10"/>
        </w:rPr>
        <w:t>Nájemce prohlašuje, že se před podpisem Smlouvy seznámil s Obchodními podmínkami smlouvy o operativním leasingu společnosti CAR4WAY a.s., porozuměl jejich obsahu, i obsahu smlouvy a souhlasí s nimi bez výhrad.</w:t>
      </w:r>
    </w:p>
    <w:p>
      <w:pPr>
        <w:pStyle w:val="Style9"/>
        <w:keepNext w:val="0"/>
        <w:keepLines w:val="0"/>
        <w:widowControl w:val="0"/>
        <w:shd w:val="clear" w:color="auto" w:fill="auto"/>
        <w:bidi w:val="0"/>
        <w:spacing w:before="0" w:after="0" w:line="240" w:lineRule="auto"/>
        <w:ind w:left="0" w:right="0" w:firstLine="0"/>
        <w:jc w:val="left"/>
      </w:pPr>
      <w:r>
        <w:rPr>
          <w:rStyle w:val="CharStyle10"/>
        </w:rPr>
        <w:t>Nedílnou součástí této smlouvy jsou:</w:t>
      </w:r>
    </w:p>
    <w:p>
      <w:pPr>
        <w:pStyle w:val="Style9"/>
        <w:keepNext w:val="0"/>
        <w:keepLines w:val="0"/>
        <w:widowControl w:val="0"/>
        <w:shd w:val="clear" w:color="auto" w:fill="auto"/>
        <w:bidi w:val="0"/>
        <w:spacing w:before="0" w:after="0" w:line="240" w:lineRule="auto"/>
        <w:ind w:left="0" w:right="0" w:firstLine="320"/>
        <w:jc w:val="left"/>
      </w:pPr>
      <w:r>
        <w:rPr>
          <w:rStyle w:val="CharStyle10"/>
        </w:rPr>
        <w:t>» Obchodní podmínky smlouvy o operativním leasingu společnosti CAR4WAY a.s.</w:t>
      </w:r>
    </w:p>
    <w:p>
      <w:pPr>
        <w:pStyle w:val="Style9"/>
        <w:keepNext w:val="0"/>
        <w:keepLines w:val="0"/>
        <w:widowControl w:val="0"/>
        <w:shd w:val="clear" w:color="auto" w:fill="auto"/>
        <w:bidi w:val="0"/>
        <w:spacing w:before="0" w:after="0" w:line="240" w:lineRule="auto"/>
        <w:ind w:left="0" w:right="0" w:firstLine="320"/>
        <w:jc w:val="left"/>
      </w:pPr>
      <w:r>
        <w:rPr>
          <w:rStyle w:val="CharStyle10"/>
        </w:rPr>
        <w:t>• Obchodní podmínky Města Říčany</w:t>
      </w:r>
    </w:p>
    <w:p>
      <w:pPr>
        <w:pStyle w:val="Style9"/>
        <w:keepNext w:val="0"/>
        <w:keepLines w:val="0"/>
        <w:widowControl w:val="0"/>
        <w:shd w:val="clear" w:color="auto" w:fill="auto"/>
        <w:bidi w:val="0"/>
        <w:spacing w:before="0" w:after="120" w:line="240" w:lineRule="auto"/>
        <w:ind w:left="0" w:right="0" w:firstLine="320"/>
        <w:jc w:val="left"/>
      </w:pPr>
      <w:r>
        <w:rPr>
          <w:rStyle w:val="CharStyle10"/>
        </w:rPr>
        <w:t>» Rozpis splátek</w:t>
      </w:r>
    </w:p>
    <w:p>
      <w:pPr>
        <w:pStyle w:val="Style9"/>
        <w:keepNext w:val="0"/>
        <w:keepLines w:val="0"/>
        <w:widowControl w:val="0"/>
        <w:shd w:val="clear" w:color="auto" w:fill="auto"/>
        <w:bidi w:val="0"/>
        <w:spacing w:before="0" w:after="0" w:line="240" w:lineRule="auto"/>
        <w:ind w:left="0" w:right="0" w:firstLine="0"/>
        <w:jc w:val="left"/>
      </w:pPr>
      <w:r>
        <w:rPr>
          <w:rStyle w:val="CharStyle10"/>
        </w:rPr>
        <w:t>Smiouvu schválila Rada Města Říčany, Masarykovo náměstí 53, Říčany 251 01</w:t>
      </w:r>
    </w:p>
    <w:p>
      <w:pPr>
        <w:pStyle w:val="Style9"/>
        <w:keepNext w:val="0"/>
        <w:keepLines w:val="0"/>
        <w:widowControl w:val="0"/>
        <w:shd w:val="clear" w:color="auto" w:fill="auto"/>
        <w:bidi w:val="0"/>
        <w:spacing w:before="0" w:after="360" w:line="240" w:lineRule="auto"/>
        <w:ind w:left="0" w:right="0" w:firstLine="0"/>
        <w:jc w:val="left"/>
      </w:pPr>
      <w:r>
        <w:drawing>
          <wp:anchor distT="0" distB="0" distL="114300" distR="114300" simplePos="0" relativeHeight="125829379" behindDoc="0" locked="0" layoutInCell="1" allowOverlap="1">
            <wp:simplePos x="0" y="0"/>
            <wp:positionH relativeFrom="page">
              <wp:posOffset>1333500</wp:posOffset>
            </wp:positionH>
            <wp:positionV relativeFrom="paragraph">
              <wp:posOffset>152400</wp:posOffset>
            </wp:positionV>
            <wp:extent cx="1974850" cy="1621790"/>
            <wp:wrapSquare wrapText="righ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974850" cy="1621790"/>
                    </a:xfrm>
                    <a:prstGeom prst="rect"/>
                  </pic:spPr>
                </pic:pic>
              </a:graphicData>
            </a:graphic>
          </wp:anchor>
        </w:drawing>
      </w:r>
      <w:r>
        <w:rPr>
          <w:rStyle w:val="CharStyle10"/>
        </w:rPr>
        <w:t>IČ000240702. Dne 29.2.2024po č. usn. 24-08-003 a bude zveřejněna v registru smluv.</w:t>
      </w:r>
    </w:p>
    <w:p>
      <w:pPr>
        <w:pStyle w:val="Style9"/>
        <w:keepNext w:val="0"/>
        <w:keepLines w:val="0"/>
        <w:widowControl w:val="0"/>
        <w:shd w:val="clear" w:color="auto" w:fill="auto"/>
        <w:bidi w:val="0"/>
        <w:spacing w:before="0" w:after="620" w:line="240" w:lineRule="auto"/>
        <w:ind w:left="0" w:right="0" w:firstLine="580"/>
        <w:jc w:val="left"/>
      </w:pPr>
      <w:r>
        <w:rPr>
          <w:rStyle w:val="CharStyle10"/>
        </w:rPr>
        <w:t>V Říčanech, dne 29.02.2024</w:t>
      </w:r>
    </w:p>
    <w:p>
      <w:pPr>
        <w:pStyle w:val="Style9"/>
        <w:keepNext w:val="0"/>
        <w:keepLines w:val="0"/>
        <w:widowControl w:val="0"/>
        <w:shd w:val="clear" w:color="auto" w:fill="auto"/>
        <w:bidi w:val="0"/>
        <w:spacing w:before="0" w:after="280" w:line="206" w:lineRule="auto"/>
        <w:ind w:left="580" w:right="0" w:firstLine="940"/>
        <w:jc w:val="left"/>
      </w:pPr>
      <w:r>
        <w:rPr>
          <w:rStyle w:val="CharStyle10"/>
        </w:rPr>
        <w:t>Město Říčany, zastoupené ing?-pavidem Michaličkou, starostou</w:t>
      </w:r>
    </w:p>
    <w:p>
      <w:pPr>
        <w:pStyle w:val="Style9"/>
        <w:keepNext w:val="0"/>
        <w:keepLines w:val="0"/>
        <w:widowControl w:val="0"/>
        <w:shd w:val="clear" w:color="auto" w:fill="auto"/>
        <w:bidi w:val="0"/>
        <w:spacing w:before="0" w:after="280" w:line="240" w:lineRule="auto"/>
        <w:ind w:left="0" w:right="0" w:firstLine="580"/>
        <w:jc w:val="left"/>
      </w:pPr>
      <w:r>
        <w:drawing>
          <wp:anchor distT="0" distB="0" distL="114300" distR="114300" simplePos="0" relativeHeight="125829380" behindDoc="0" locked="0" layoutInCell="1" allowOverlap="1">
            <wp:simplePos x="0" y="0"/>
            <wp:positionH relativeFrom="page">
              <wp:posOffset>4243705</wp:posOffset>
            </wp:positionH>
            <wp:positionV relativeFrom="paragraph">
              <wp:posOffset>317500</wp:posOffset>
            </wp:positionV>
            <wp:extent cx="646430" cy="17653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646430" cy="176530"/>
                    </a:xfrm>
                    <a:prstGeom prst="rect"/>
                  </pic:spPr>
                </pic:pic>
              </a:graphicData>
            </a:graphic>
          </wp:anchor>
        </w:drawing>
      </w:r>
      <w:r>
        <w:rPr>
          <w:rStyle w:val="CharStyle10"/>
        </w:rPr>
        <w:t>Nájemce (hůlkovým písmem)</w:t>
      </w:r>
    </w:p>
    <w:p>
      <w:pPr>
        <w:pStyle w:val="Style9"/>
        <w:keepNext w:val="0"/>
        <w:keepLines w:val="0"/>
        <w:widowControl w:val="0"/>
        <w:shd w:val="clear" w:color="auto" w:fill="auto"/>
        <w:bidi w:val="0"/>
        <w:spacing w:before="280" w:after="260" w:line="240" w:lineRule="auto"/>
        <w:ind w:left="0" w:right="0" w:firstLine="0"/>
        <w:jc w:val="center"/>
        <w:sectPr>
          <w:footnotePr>
            <w:pos w:val="pageBottom"/>
            <w:numFmt w:val="decimal"/>
            <w:numRestart w:val="continuous"/>
          </w:footnotePr>
          <w:pgSz w:w="11900" w:h="16840"/>
          <w:pgMar w:top="2118" w:right="1081" w:bottom="2118" w:left="2060" w:header="1690" w:footer="1690" w:gutter="0"/>
          <w:cols w:space="720"/>
          <w:noEndnote/>
          <w:rtlGutter w:val="0"/>
          <w:docGrid w:linePitch="360"/>
        </w:sectPr>
      </w:pPr>
      <w:r>
        <w:rPr>
          <w:rStyle w:val="CharStyle10"/>
        </w:rPr>
        <w:t>Nájemce</w:t>
      </w:r>
    </w:p>
    <w:p>
      <w:pPr>
        <w:pStyle w:val="Style2"/>
        <w:keepNext/>
        <w:keepLines/>
        <w:widowControl w:val="0"/>
        <w:shd w:val="clear" w:color="auto" w:fill="auto"/>
        <w:bidi w:val="0"/>
        <w:spacing w:before="680" w:after="200" w:line="240" w:lineRule="auto"/>
        <w:ind w:left="0" w:right="0" w:firstLine="0"/>
        <w:jc w:val="both"/>
      </w:pPr>
      <w:bookmarkStart w:id="23" w:name="bookmark23"/>
      <w:r>
        <w:rPr>
          <w:rStyle w:val="CharStyle3"/>
        </w:rPr>
        <w:t>Obchodní podmínky</w:t>
      </w:r>
      <w:bookmarkEnd w:id="23"/>
    </w:p>
    <w:p>
      <w:pPr>
        <w:pStyle w:val="Style4"/>
        <w:keepNext w:val="0"/>
        <w:keepLines w:val="0"/>
        <w:widowControl w:val="0"/>
        <w:shd w:val="clear" w:color="auto" w:fill="auto"/>
        <w:bidi w:val="0"/>
        <w:spacing w:before="0" w:after="560" w:line="240" w:lineRule="auto"/>
        <w:ind w:left="0" w:right="0" w:firstLine="0"/>
        <w:jc w:val="left"/>
        <w:rPr>
          <w:sz w:val="26"/>
          <w:szCs w:val="26"/>
        </w:rPr>
      </w:pPr>
      <w:r>
        <w:rPr>
          <w:rStyle w:val="CharStyle5"/>
        </w:rPr>
        <w:t xml:space="preserve">Smlouvy o operativním leasingu společnosti CAR4WAY a.s. č.: </w:t>
      </w:r>
      <w:r>
        <w:rPr>
          <w:rStyle w:val="CharStyle5"/>
          <w:rFonts w:ascii="Arial" w:eastAsia="Arial" w:hAnsi="Arial" w:cs="Arial"/>
          <w:sz w:val="26"/>
          <w:szCs w:val="26"/>
        </w:rPr>
        <w:t>0/2024/03/0043</w:t>
      </w:r>
    </w:p>
    <w:p>
      <w:pPr>
        <w:pStyle w:val="Style21"/>
        <w:keepNext/>
        <w:keepLines/>
        <w:widowControl w:val="0"/>
        <w:numPr>
          <w:ilvl w:val="0"/>
          <w:numId w:val="9"/>
        </w:numPr>
        <w:shd w:val="clear" w:color="auto" w:fill="auto"/>
        <w:tabs>
          <w:tab w:pos="340" w:val="left"/>
        </w:tabs>
        <w:bidi w:val="0"/>
        <w:spacing w:before="0" w:line="240" w:lineRule="auto"/>
        <w:ind w:left="0" w:right="0" w:firstLine="0"/>
        <w:jc w:val="center"/>
      </w:pPr>
      <w:bookmarkStart w:id="25" w:name="bookmark25"/>
      <w:r>
        <w:rPr>
          <w:rStyle w:val="CharStyle22"/>
          <w:b/>
          <w:bCs/>
        </w:rPr>
        <w:t>Úvodní ustanovení</w:t>
      </w:r>
      <w:bookmarkEnd w:id="25"/>
    </w:p>
    <w:p>
      <w:pPr>
        <w:pStyle w:val="Style9"/>
        <w:keepNext w:val="0"/>
        <w:keepLines w:val="0"/>
        <w:widowControl w:val="0"/>
        <w:numPr>
          <w:ilvl w:val="0"/>
          <w:numId w:val="11"/>
        </w:numPr>
        <w:shd w:val="clear" w:color="auto" w:fill="auto"/>
        <w:tabs>
          <w:tab w:pos="340" w:val="left"/>
        </w:tabs>
        <w:bidi w:val="0"/>
        <w:spacing w:before="0" w:line="240" w:lineRule="auto"/>
        <w:ind w:left="380" w:right="0" w:hanging="380"/>
        <w:jc w:val="both"/>
      </w:pPr>
      <w:r>
        <w:rPr>
          <w:rStyle w:val="CharStyle10"/>
        </w:rPr>
        <w:t xml:space="preserve">Tyto obchodní podmínky Smlouvy o operativním leasingu (dále jen </w:t>
      </w:r>
      <w:r>
        <w:rPr>
          <w:rStyle w:val="CharStyle10"/>
          <w:b/>
          <w:bCs/>
        </w:rPr>
        <w:t xml:space="preserve">„OP“ </w:t>
      </w:r>
      <w:r>
        <w:rPr>
          <w:rStyle w:val="CharStyle10"/>
        </w:rPr>
        <w:t xml:space="preserve">nebo </w:t>
      </w:r>
      <w:r>
        <w:rPr>
          <w:rStyle w:val="CharStyle10"/>
          <w:b/>
          <w:bCs/>
        </w:rPr>
        <w:t xml:space="preserve">„obchodní podmínky“) </w:t>
      </w:r>
      <w:r>
        <w:rPr>
          <w:rStyle w:val="CharStyle10"/>
        </w:rPr>
        <w:t xml:space="preserve">společnosti CAR4WAY a.s,, IČ: 25131401, se sídlem: č.p. 166, 290 01 Choťánky, zapsané v oddílu B., vložce 4741, obchodního rejstříku vedeného Městským soudem v Praze (dále jen </w:t>
      </w:r>
      <w:r>
        <w:rPr>
          <w:rStyle w:val="CharStyle10"/>
          <w:b/>
          <w:bCs/>
        </w:rPr>
        <w:t xml:space="preserve">„CAR4WAY“ </w:t>
      </w:r>
      <w:r>
        <w:rPr>
          <w:rStyle w:val="CharStyle10"/>
        </w:rPr>
        <w:t xml:space="preserve">nebo </w:t>
      </w:r>
      <w:r>
        <w:rPr>
          <w:rStyle w:val="CharStyle10"/>
          <w:b/>
          <w:bCs/>
        </w:rPr>
        <w:t xml:space="preserve">„pronajímatel“) </w:t>
      </w:r>
      <w:r>
        <w:rPr>
          <w:rStyle w:val="CharStyle10"/>
        </w:rPr>
        <w:t xml:space="preserve">upravuji vzájemná práva povinnosti pří poskytování operativního leasingu pronajímatelem, společností CAR4WAY a.s. klientovi jakožto leasingovému nájemci a jsou nedílnou součástí Smlouvy o operativním leasingu (dále jen </w:t>
      </w:r>
      <w:r>
        <w:rPr>
          <w:rStyle w:val="CharStyle10"/>
          <w:b/>
          <w:bCs/>
        </w:rPr>
        <w:t xml:space="preserve">„Smlouva“) </w:t>
      </w:r>
      <w:r>
        <w:rPr>
          <w:rStyle w:val="CharStyle10"/>
        </w:rPr>
        <w:t>uzavírané mezi společností CAR4WAY a.s. jako pronajímatelem a klientem jako nájemcem. Operativním leasingem se rozumí poskytnutí vozidla do užívání (nájmu) klientovi jako nájemci na dobu určitou za sjednané nájemné a současně závazek poskytnout nájemci další služby uvedené ve Smlouvě a podrobně specifikované v těchto obchodních podmínkách.</w:t>
      </w:r>
    </w:p>
    <w:p>
      <w:pPr>
        <w:pStyle w:val="Style9"/>
        <w:keepNext w:val="0"/>
        <w:keepLines w:val="0"/>
        <w:widowControl w:val="0"/>
        <w:numPr>
          <w:ilvl w:val="0"/>
          <w:numId w:val="11"/>
        </w:numPr>
        <w:shd w:val="clear" w:color="auto" w:fill="auto"/>
        <w:tabs>
          <w:tab w:pos="340" w:val="left"/>
        </w:tabs>
        <w:bidi w:val="0"/>
        <w:spacing w:before="0" w:line="252" w:lineRule="auto"/>
        <w:ind w:left="380" w:right="0" w:hanging="380"/>
        <w:jc w:val="both"/>
      </w:pPr>
      <w:r>
        <w:rPr>
          <w:rStyle w:val="CharStyle10"/>
        </w:rPr>
        <w:t xml:space="preserve">Smlouvou se pronajímatel zavazuje za podmínek ve Smlouvě sjednaných přenechat nájemci k užívání předmět leasingu, kterým je vozidlo uvedené ve Smlouvě (dále jen </w:t>
      </w:r>
      <w:r>
        <w:rPr>
          <w:rStyle w:val="CharStyle10"/>
          <w:b/>
          <w:bCs/>
        </w:rPr>
        <w:t>„předmět leasingu“),</w:t>
      </w:r>
    </w:p>
    <w:p>
      <w:pPr>
        <w:pStyle w:val="Style9"/>
        <w:keepNext w:val="0"/>
        <w:keepLines w:val="0"/>
        <w:widowControl w:val="0"/>
        <w:numPr>
          <w:ilvl w:val="0"/>
          <w:numId w:val="11"/>
        </w:numPr>
        <w:shd w:val="clear" w:color="auto" w:fill="auto"/>
        <w:tabs>
          <w:tab w:pos="340" w:val="left"/>
        </w:tabs>
        <w:bidi w:val="0"/>
        <w:spacing w:before="0" w:line="240" w:lineRule="auto"/>
        <w:ind w:left="0" w:right="0" w:firstLine="0"/>
        <w:jc w:val="both"/>
      </w:pPr>
      <w:r>
        <w:rPr>
          <w:rStyle w:val="CharStyle10"/>
        </w:rPr>
        <w:t>Smlouva o operativním leasingu je platná dnem podpisu obou smluvních stran a účinná dnem převzetí předmětu leasingu</w:t>
      </w:r>
    </w:p>
    <w:p>
      <w:pPr>
        <w:pStyle w:val="Style9"/>
        <w:keepNext w:val="0"/>
        <w:keepLines w:val="0"/>
        <w:widowControl w:val="0"/>
        <w:numPr>
          <w:ilvl w:val="0"/>
          <w:numId w:val="11"/>
        </w:numPr>
        <w:shd w:val="clear" w:color="auto" w:fill="auto"/>
        <w:tabs>
          <w:tab w:pos="340" w:val="left"/>
        </w:tabs>
        <w:bidi w:val="0"/>
        <w:spacing w:before="0" w:after="0" w:line="240" w:lineRule="auto"/>
        <w:ind w:left="0" w:right="0" w:firstLine="0"/>
        <w:jc w:val="both"/>
      </w:pPr>
      <w:r>
        <w:rPr>
          <w:rStyle w:val="CharStyle10"/>
        </w:rPr>
        <w:t>Nájemce se zavazuje předmět leasingu převzít a užívat ho v souladu se Smlouvou a s těmito obchodními podmínkami a</w:t>
      </w:r>
    </w:p>
    <w:p>
      <w:pPr>
        <w:pStyle w:val="Style9"/>
        <w:keepNext w:val="0"/>
        <w:keepLines w:val="0"/>
        <w:widowControl w:val="0"/>
        <w:shd w:val="clear" w:color="auto" w:fill="auto"/>
        <w:bidi w:val="0"/>
        <w:spacing w:before="0" w:line="240" w:lineRule="auto"/>
        <w:ind w:left="0" w:right="0" w:firstLine="380"/>
        <w:jc w:val="both"/>
      </w:pPr>
      <w:r>
        <w:rPr>
          <w:rStyle w:val="CharStyle10"/>
        </w:rPr>
        <w:t>hradit pronajímateli sjednané nájemné.</w:t>
      </w:r>
    </w:p>
    <w:p>
      <w:pPr>
        <w:pStyle w:val="Style9"/>
        <w:keepNext w:val="0"/>
        <w:keepLines w:val="0"/>
        <w:widowControl w:val="0"/>
        <w:numPr>
          <w:ilvl w:val="0"/>
          <w:numId w:val="11"/>
        </w:numPr>
        <w:shd w:val="clear" w:color="auto" w:fill="auto"/>
        <w:tabs>
          <w:tab w:pos="340" w:val="left"/>
        </w:tabs>
        <w:bidi w:val="0"/>
        <w:spacing w:before="0" w:line="240" w:lineRule="auto"/>
        <w:ind w:left="380" w:right="0" w:hanging="380"/>
        <w:jc w:val="both"/>
      </w:pPr>
      <w:r>
        <w:rPr>
          <w:rStyle w:val="CharStyle10"/>
        </w:rPr>
        <w:t>Po dobu trvání nájmu zůstává pronajímatel výlučným vlastníkem předmětu leasingu. Nájemce není oprávněn předmět leasingu zcizit, ani s ním jinak disponovat, např, zastavit, darovat, pronajmout či zapůjčit třetí osobě, není-li dále uvedeno jinak a je povinen zdržet se veškerého jednání, které by vedlo ke vzniku práv třetích osob k předmětu leasingu. Nájemce nese plnou odpovědnost za případné škody na vozidle způsobenými třetími osobami.</w:t>
      </w:r>
    </w:p>
    <w:p>
      <w:pPr>
        <w:pStyle w:val="Style9"/>
        <w:keepNext w:val="0"/>
        <w:keepLines w:val="0"/>
        <w:widowControl w:val="0"/>
        <w:numPr>
          <w:ilvl w:val="0"/>
          <w:numId w:val="11"/>
        </w:numPr>
        <w:shd w:val="clear" w:color="auto" w:fill="auto"/>
        <w:tabs>
          <w:tab w:pos="340" w:val="left"/>
        </w:tabs>
        <w:bidi w:val="0"/>
        <w:spacing w:before="0" w:after="340" w:line="252" w:lineRule="auto"/>
        <w:ind w:left="380" w:right="0" w:hanging="380"/>
        <w:jc w:val="both"/>
      </w:pPr>
      <w:r>
        <w:rPr>
          <w:rStyle w:val="CharStyle10"/>
        </w:rPr>
        <w:t>Ustanovení těchto obchodních podmínek se přiměřeně použije i na poskytování služeb správy vozového parku (tzv. fleet management). Ustanovení o nájemném v těchto obchodních podmínkách a dalších nákladech se použije přiměřeně na sjednanou odměnu za správu vozového parku.</w:t>
      </w:r>
    </w:p>
    <w:p>
      <w:pPr>
        <w:pStyle w:val="Style21"/>
        <w:keepNext/>
        <w:keepLines/>
        <w:widowControl w:val="0"/>
        <w:numPr>
          <w:ilvl w:val="0"/>
          <w:numId w:val="9"/>
        </w:numPr>
        <w:shd w:val="clear" w:color="auto" w:fill="auto"/>
        <w:tabs>
          <w:tab w:pos="340" w:val="left"/>
        </w:tabs>
        <w:bidi w:val="0"/>
        <w:spacing w:before="0" w:line="240" w:lineRule="auto"/>
        <w:ind w:left="0" w:right="0" w:firstLine="0"/>
        <w:jc w:val="center"/>
      </w:pPr>
      <w:bookmarkStart w:id="27" w:name="bookmark27"/>
      <w:r>
        <w:rPr>
          <w:rStyle w:val="CharStyle22"/>
          <w:b/>
          <w:bCs/>
        </w:rPr>
        <w:t>Převzetí vozidla</w:t>
      </w:r>
      <w:bookmarkEnd w:id="27"/>
    </w:p>
    <w:p>
      <w:pPr>
        <w:pStyle w:val="Style9"/>
        <w:keepNext w:val="0"/>
        <w:keepLines w:val="0"/>
        <w:widowControl w:val="0"/>
        <w:numPr>
          <w:ilvl w:val="0"/>
          <w:numId w:val="13"/>
        </w:numPr>
        <w:shd w:val="clear" w:color="auto" w:fill="auto"/>
        <w:tabs>
          <w:tab w:pos="340" w:val="left"/>
        </w:tabs>
        <w:bidi w:val="0"/>
        <w:spacing w:before="0" w:line="240" w:lineRule="auto"/>
        <w:ind w:left="380" w:right="0" w:hanging="380"/>
        <w:jc w:val="both"/>
      </w:pPr>
      <w:r>
        <w:rPr>
          <w:rStyle w:val="CharStyle10"/>
        </w:rPr>
        <w:t>Nájemce je oprávněn a povinen převzít předmět leasingu v době sjednané Smlouvou. V případě, že nájemce předmět leasingu nepřevezme do deseti pracovních dnů od výzvy ze strany pronajímatele, je pronajímatel oprávněn od Smlouvy odstoupit a nájemce je povinen zaplatit pronajímateli smluvní pokutu ve výši 20% z pořizovací ceny předmětu leasingu.</w:t>
      </w:r>
    </w:p>
    <w:p>
      <w:pPr>
        <w:pStyle w:val="Style9"/>
        <w:keepNext w:val="0"/>
        <w:keepLines w:val="0"/>
        <w:widowControl w:val="0"/>
        <w:numPr>
          <w:ilvl w:val="0"/>
          <w:numId w:val="13"/>
        </w:numPr>
        <w:shd w:val="clear" w:color="auto" w:fill="auto"/>
        <w:tabs>
          <w:tab w:pos="340" w:val="left"/>
        </w:tabs>
        <w:bidi w:val="0"/>
        <w:spacing w:before="0" w:line="240" w:lineRule="auto"/>
        <w:ind w:left="380" w:right="0" w:hanging="380"/>
        <w:jc w:val="both"/>
      </w:pPr>
      <w:r>
        <w:rPr>
          <w:rStyle w:val="CharStyle10"/>
        </w:rPr>
        <w:t>Pronajímatel je oprávněn odstoupit od Smlouvy před převzetím předmětu leasingu nájemcem též v případě, že se majetkové poměry nájemce výrazně zhorší, nebo vyjdou najevo takové skutečností týkající se nájemce, které v době uzavírání Smlouvy nebyly známy a za kterých by pronajímatel Smlouvu neuzavřel. Za takovou situací se považuje, nikoli však výlučně, podání insolvenčního návrhu na nájemce, rozhodnutí o likvidaci nebo zrušení nájemce, nařízeni exekuce nebo výkonu rozhodnutí na majetek nájemce, nebo taková změna společenské nebo kapitálové struktury ve společnosti (převod podílů, akcií), která představuje významné zhoršení případného zajištění pohledávek nebo jiná situace naplňující důvody pro výpověď Smlouvy uvedené v čl. 14.2. těchto OP. V tomto případě má pronajímatel právo uplatnit vůči nájemci smluvní pokutu ve výši 10.000,- Kč za každý obchodní případ (uzavřenou smlouvu)</w:t>
      </w:r>
    </w:p>
    <w:p>
      <w:pPr>
        <w:pStyle w:val="Style9"/>
        <w:keepNext w:val="0"/>
        <w:keepLines w:val="0"/>
        <w:widowControl w:val="0"/>
        <w:numPr>
          <w:ilvl w:val="0"/>
          <w:numId w:val="13"/>
        </w:numPr>
        <w:shd w:val="clear" w:color="auto" w:fill="auto"/>
        <w:tabs>
          <w:tab w:pos="340" w:val="left"/>
        </w:tabs>
        <w:bidi w:val="0"/>
        <w:spacing w:before="0" w:line="240" w:lineRule="auto"/>
        <w:ind w:left="0" w:right="0" w:firstLine="0"/>
        <w:jc w:val="both"/>
      </w:pPr>
      <w:r>
        <w:rPr>
          <w:rStyle w:val="CharStyle10"/>
        </w:rPr>
        <w:t>Uplatněním nároku na zaplacení smluvní pokuty není dotčeno právo pronajímatele na náhradu způsobené škody.</w:t>
      </w:r>
    </w:p>
    <w:p>
      <w:pPr>
        <w:pStyle w:val="Style9"/>
        <w:keepNext w:val="0"/>
        <w:keepLines w:val="0"/>
        <w:widowControl w:val="0"/>
        <w:numPr>
          <w:ilvl w:val="0"/>
          <w:numId w:val="13"/>
        </w:numPr>
        <w:shd w:val="clear" w:color="auto" w:fill="auto"/>
        <w:tabs>
          <w:tab w:pos="340" w:val="left"/>
        </w:tabs>
        <w:bidi w:val="0"/>
        <w:spacing w:before="0" w:line="240" w:lineRule="auto"/>
        <w:ind w:left="380" w:right="0" w:hanging="380"/>
        <w:jc w:val="both"/>
      </w:pPr>
      <w:r>
        <w:rPr>
          <w:rStyle w:val="CharStyle10"/>
        </w:rPr>
        <w:t>Při převzetí předmětu nájmu je nájemce povinen prohlédnout vozidlo a zjistit, zda nemá vozidlo vady či nedostatky a v případě jejich zjištění není oprávněn předmět leasingu převzít. V případě zjištění závad je nájemce povinen bezodkladně o závadách informovat pronajímatele a řídit se jeho pokyny.</w:t>
      </w:r>
    </w:p>
    <w:p>
      <w:pPr>
        <w:pStyle w:val="Style9"/>
        <w:keepNext w:val="0"/>
        <w:keepLines w:val="0"/>
        <w:widowControl w:val="0"/>
        <w:numPr>
          <w:ilvl w:val="0"/>
          <w:numId w:val="13"/>
        </w:numPr>
        <w:shd w:val="clear" w:color="auto" w:fill="auto"/>
        <w:tabs>
          <w:tab w:pos="340" w:val="left"/>
        </w:tabs>
        <w:bidi w:val="0"/>
        <w:spacing w:before="0" w:line="252" w:lineRule="auto"/>
        <w:ind w:left="380" w:right="0" w:hanging="380"/>
        <w:jc w:val="both"/>
      </w:pPr>
      <w:r>
        <w:rPr>
          <w:rStyle w:val="CharStyle10"/>
        </w:rPr>
        <w:t>Převzetí předmětu leasingu se uskuteční v místě provozovny nebo sídla dodavatele předmětu leasingu, pokud není dohodou nebo ve výzvě k převzetí vozidla stanoveno pronajímatelem jinak.</w:t>
      </w:r>
    </w:p>
    <w:p>
      <w:pPr>
        <w:pStyle w:val="Style9"/>
        <w:keepNext w:val="0"/>
        <w:keepLines w:val="0"/>
        <w:widowControl w:val="0"/>
        <w:numPr>
          <w:ilvl w:val="0"/>
          <w:numId w:val="13"/>
        </w:numPr>
        <w:shd w:val="clear" w:color="auto" w:fill="auto"/>
        <w:tabs>
          <w:tab w:pos="340" w:val="left"/>
        </w:tabs>
        <w:bidi w:val="0"/>
        <w:spacing w:before="0" w:line="257" w:lineRule="auto"/>
        <w:ind w:left="380" w:right="0" w:hanging="380"/>
        <w:jc w:val="both"/>
      </w:pPr>
      <w:r>
        <w:rPr>
          <w:rStyle w:val="CharStyle10"/>
        </w:rPr>
        <w:t>Pronajímatel neodpovídá za prodlení s předáním vozidla nájemci, bylo-li způsobeno důvody na straně výrobce nebo dodavatele vozidla.</w:t>
      </w:r>
    </w:p>
    <w:p>
      <w:pPr>
        <w:pStyle w:val="Style9"/>
        <w:keepNext w:val="0"/>
        <w:keepLines w:val="0"/>
        <w:widowControl w:val="0"/>
        <w:numPr>
          <w:ilvl w:val="0"/>
          <w:numId w:val="13"/>
        </w:numPr>
        <w:shd w:val="clear" w:color="auto" w:fill="auto"/>
        <w:tabs>
          <w:tab w:pos="340" w:val="left"/>
        </w:tabs>
        <w:bidi w:val="0"/>
        <w:spacing w:before="0" w:after="340" w:line="240" w:lineRule="auto"/>
        <w:ind w:left="380" w:right="0" w:hanging="380"/>
        <w:jc w:val="both"/>
      </w:pPr>
      <w:r>
        <w:rPr>
          <w:rStyle w:val="CharStyle10"/>
        </w:rPr>
        <w:t xml:space="preserve">O převzetí předmětu leasingu bude sepsán předávací protokol. Při předání předmětu leasingu obdrží nájemce instrukce a dokumentaci k předmětu leasingu pro nájemce (dále jen </w:t>
      </w:r>
      <w:r>
        <w:rPr>
          <w:rStyle w:val="CharStyle10"/>
          <w:b/>
          <w:bCs/>
        </w:rPr>
        <w:t xml:space="preserve">„Driver set“), </w:t>
      </w:r>
      <w:r>
        <w:rPr>
          <w:rStyle w:val="CharStyle10"/>
        </w:rPr>
        <w:t>obsahující veškeré informace, týkající se užívání předmětu leasingu, se kterými je nájemce povinen se seznámit a dodržovat je. Dále nájemce obdrží osvědčení o registraci vozidla a doklad o pojištění vozidla „ zelená karta“.</w:t>
      </w:r>
    </w:p>
    <w:p>
      <w:pPr>
        <w:pStyle w:val="Style21"/>
        <w:keepNext/>
        <w:keepLines/>
        <w:widowControl w:val="0"/>
        <w:numPr>
          <w:ilvl w:val="0"/>
          <w:numId w:val="9"/>
        </w:numPr>
        <w:shd w:val="clear" w:color="auto" w:fill="auto"/>
        <w:tabs>
          <w:tab w:pos="340" w:val="left"/>
        </w:tabs>
        <w:bidi w:val="0"/>
        <w:spacing w:before="0" w:line="240" w:lineRule="auto"/>
        <w:ind w:left="0" w:right="0" w:firstLine="0"/>
        <w:jc w:val="center"/>
      </w:pPr>
      <w:bookmarkStart w:id="29" w:name="bookmark29"/>
      <w:r>
        <w:rPr>
          <w:rStyle w:val="CharStyle22"/>
          <w:b/>
          <w:bCs/>
        </w:rPr>
        <w:t>Sjednané nájemné a finanční podmínky</w:t>
      </w:r>
      <w:bookmarkEnd w:id="29"/>
    </w:p>
    <w:p>
      <w:pPr>
        <w:pStyle w:val="Style9"/>
        <w:keepNext w:val="0"/>
        <w:keepLines w:val="0"/>
        <w:widowControl w:val="0"/>
        <w:numPr>
          <w:ilvl w:val="0"/>
          <w:numId w:val="15"/>
        </w:numPr>
        <w:shd w:val="clear" w:color="auto" w:fill="auto"/>
        <w:tabs>
          <w:tab w:pos="340" w:val="left"/>
        </w:tabs>
        <w:bidi w:val="0"/>
        <w:spacing w:before="0" w:line="252" w:lineRule="auto"/>
        <w:ind w:left="380" w:right="0" w:hanging="380"/>
        <w:jc w:val="both"/>
      </w:pPr>
      <w:r>
        <w:rPr>
          <w:rStyle w:val="CharStyle10"/>
        </w:rPr>
        <w:t>Nájemce je povinen hradit pronajímateli sjednané nájemné na základě smlouvy a daňového dokladu zasílaného pronajímatele nájemci.</w:t>
      </w:r>
    </w:p>
    <w:p>
      <w:pPr>
        <w:pStyle w:val="Style9"/>
        <w:keepNext w:val="0"/>
        <w:keepLines w:val="0"/>
        <w:widowControl w:val="0"/>
        <w:numPr>
          <w:ilvl w:val="0"/>
          <w:numId w:val="15"/>
        </w:numPr>
        <w:shd w:val="clear" w:color="auto" w:fill="auto"/>
        <w:tabs>
          <w:tab w:pos="340" w:val="left"/>
        </w:tabs>
        <w:bidi w:val="0"/>
        <w:spacing w:before="0" w:line="257" w:lineRule="auto"/>
        <w:ind w:left="380" w:right="0" w:hanging="380"/>
        <w:jc w:val="both"/>
      </w:pPr>
      <w:r>
        <w:rPr>
          <w:rStyle w:val="CharStyle10"/>
        </w:rPr>
        <w:t>Jednotlivé splátky jsou splatné dle Smlouvy na účet uvedený ve Smlouvě nebo na splátkovém kalendáři. Variabilní symbol je číslo Smlouvy.</w:t>
      </w:r>
    </w:p>
    <w:p>
      <w:pPr>
        <w:pStyle w:val="Style9"/>
        <w:keepNext w:val="0"/>
        <w:keepLines w:val="0"/>
        <w:widowControl w:val="0"/>
        <w:numPr>
          <w:ilvl w:val="0"/>
          <w:numId w:val="15"/>
        </w:numPr>
        <w:shd w:val="clear" w:color="auto" w:fill="auto"/>
        <w:tabs>
          <w:tab w:pos="340" w:val="left"/>
        </w:tabs>
        <w:bidi w:val="0"/>
        <w:spacing w:before="0" w:line="254" w:lineRule="auto"/>
        <w:ind w:left="380" w:right="0" w:hanging="380"/>
        <w:jc w:val="both"/>
      </w:pPr>
      <w:r>
        <w:rPr>
          <w:rStyle w:val="CharStyle10"/>
        </w:rPr>
        <w:t>Pro případ prodlení nájemce s úhradou sjednaného nájemného sjednávají strany smluvní pokutu ve výši 0,1% z dlužné částky za každý započatý kalendářní den prodlení. Uplatněním smluvní pokuty není dotčeno právo pronajímatele na náhradu škody.</w:t>
      </w:r>
    </w:p>
    <w:p>
      <w:pPr>
        <w:pStyle w:val="Style28"/>
        <w:keepNext w:val="0"/>
        <w:keepLines w:val="0"/>
        <w:widowControl w:val="0"/>
        <w:shd w:val="clear" w:color="auto" w:fill="auto"/>
        <w:tabs>
          <w:tab w:pos="6603" w:val="left"/>
        </w:tabs>
        <w:bidi w:val="0"/>
        <w:spacing w:before="0" w:line="240" w:lineRule="auto"/>
        <w:ind w:right="0" w:firstLine="0"/>
        <w:jc w:val="left"/>
        <w:rPr>
          <w:sz w:val="8"/>
          <w:szCs w:val="8"/>
        </w:rPr>
      </w:pPr>
      <w:r>
        <w:rPr>
          <w:rStyle w:val="CharStyle29"/>
        </w:rPr>
        <w:t>í&amp;ííífi.w .£'</w:t>
        <w:tab/>
        <w:t xml:space="preserve">&lt;&lt; ř </w:t>
      </w:r>
      <w:r>
        <w:rPr>
          <w:rStyle w:val="CharStyle29"/>
          <w:b/>
          <w:bCs/>
          <w:i/>
          <w:iCs/>
          <w:sz w:val="8"/>
          <w:szCs w:val="8"/>
        </w:rPr>
        <w:t xml:space="preserve">tém&amp;gwp Mnutfr </w:t>
      </w:r>
      <w:r>
        <w:rPr>
          <w:rStyle w:val="CharStyle29"/>
          <w:i/>
          <w:iCs/>
          <w:smallCaps/>
          <w:sz w:val="8"/>
          <w:szCs w:val="8"/>
        </w:rPr>
        <w:t>íís^ít^ %</w:t>
      </w:r>
    </w:p>
    <w:p>
      <w:pPr>
        <w:pStyle w:val="Style9"/>
        <w:keepNext w:val="0"/>
        <w:keepLines w:val="0"/>
        <w:widowControl w:val="0"/>
        <w:numPr>
          <w:ilvl w:val="0"/>
          <w:numId w:val="15"/>
        </w:numPr>
        <w:shd w:val="clear" w:color="auto" w:fill="auto"/>
        <w:tabs>
          <w:tab w:pos="329" w:val="left"/>
        </w:tabs>
        <w:bidi w:val="0"/>
        <w:spacing w:before="0" w:line="240" w:lineRule="auto"/>
        <w:ind w:left="400" w:right="0" w:hanging="400"/>
        <w:jc w:val="both"/>
      </w:pPr>
      <w:r>
        <w:rPr>
          <w:rStyle w:val="CharStyle10"/>
        </w:rPr>
        <w:t>Sjednané nájemné je nájemce povinen hradit i v době, kdy předmět leasingu z jakýchkoliv důvodů nemůže užívat, a to í tehdy pokud došlo k jeho poškození či zničení a pojišťovna (znalec) dosud nekonstatovala totální Škodu předmětu leasingu, popř. k odcizení a policie dosud nekonstatovala odcizení, neukončila, či neodložila pátrání po odcizeném předmětu leasingu. Již uhrazené splátky budou zohledněny v závěrečném vyúčtování. Pronajímatel neodpovídá za škodu či ušlý zisk nájemce, nebo jiné osoby v souvislosti s případnou nemožností dočasně či trvale užívat předmět leasingu.</w:t>
      </w:r>
    </w:p>
    <w:p>
      <w:pPr>
        <w:pStyle w:val="Style9"/>
        <w:keepNext w:val="0"/>
        <w:keepLines w:val="0"/>
        <w:widowControl w:val="0"/>
        <w:numPr>
          <w:ilvl w:val="0"/>
          <w:numId w:val="15"/>
        </w:numPr>
        <w:shd w:val="clear" w:color="auto" w:fill="auto"/>
        <w:tabs>
          <w:tab w:pos="329" w:val="left"/>
        </w:tabs>
        <w:bidi w:val="0"/>
        <w:spacing w:before="0" w:after="0" w:line="240" w:lineRule="auto"/>
        <w:ind w:left="0" w:right="0" w:firstLine="0"/>
        <w:jc w:val="both"/>
      </w:pPr>
      <w:r>
        <w:rPr>
          <w:rStyle w:val="CharStyle10"/>
        </w:rPr>
        <w:t>Pronajímatel je oprávněn jednostranně změnit výši sjednaného nájemného v těchto případech:</w:t>
      </w:r>
    </w:p>
    <w:p>
      <w:pPr>
        <w:pStyle w:val="Style9"/>
        <w:keepNext w:val="0"/>
        <w:keepLines w:val="0"/>
        <w:widowControl w:val="0"/>
        <w:numPr>
          <w:ilvl w:val="0"/>
          <w:numId w:val="17"/>
        </w:numPr>
        <w:shd w:val="clear" w:color="auto" w:fill="auto"/>
        <w:tabs>
          <w:tab w:pos="1233" w:val="left"/>
        </w:tabs>
        <w:bidi w:val="0"/>
        <w:spacing w:before="0" w:after="0" w:line="240" w:lineRule="auto"/>
        <w:ind w:left="0" w:right="0" w:firstLine="880"/>
        <w:jc w:val="both"/>
      </w:pPr>
      <w:r>
        <w:rPr>
          <w:rStyle w:val="CharStyle10"/>
        </w:rPr>
        <w:t>při jakémkoliv navýšení, nebo snížení pojistného v době trvání Smlouvy;</w:t>
      </w:r>
    </w:p>
    <w:p>
      <w:pPr>
        <w:pStyle w:val="Style9"/>
        <w:keepNext w:val="0"/>
        <w:keepLines w:val="0"/>
        <w:widowControl w:val="0"/>
        <w:numPr>
          <w:ilvl w:val="0"/>
          <w:numId w:val="17"/>
        </w:numPr>
        <w:shd w:val="clear" w:color="auto" w:fill="auto"/>
        <w:tabs>
          <w:tab w:pos="1233" w:val="left"/>
        </w:tabs>
        <w:bidi w:val="0"/>
        <w:spacing w:before="0" w:after="0" w:line="240" w:lineRule="auto"/>
        <w:ind w:left="0" w:right="0" w:firstLine="880"/>
        <w:jc w:val="both"/>
      </w:pPr>
      <w:r>
        <w:rPr>
          <w:rStyle w:val="CharStyle10"/>
        </w:rPr>
        <w:t>v případě změny doby leasingu sjednané Smlouvou;</w:t>
      </w:r>
    </w:p>
    <w:p>
      <w:pPr>
        <w:pStyle w:val="Style9"/>
        <w:keepNext w:val="0"/>
        <w:keepLines w:val="0"/>
        <w:widowControl w:val="0"/>
        <w:numPr>
          <w:ilvl w:val="0"/>
          <w:numId w:val="17"/>
        </w:numPr>
        <w:shd w:val="clear" w:color="auto" w:fill="auto"/>
        <w:tabs>
          <w:tab w:pos="1233" w:val="left"/>
        </w:tabs>
        <w:bidi w:val="0"/>
        <w:spacing w:before="0" w:after="0" w:line="240" w:lineRule="auto"/>
        <w:ind w:left="1240" w:right="0" w:hanging="360"/>
        <w:jc w:val="both"/>
      </w:pPr>
      <w:r>
        <w:rPr>
          <w:rStyle w:val="CharStyle10"/>
        </w:rPr>
        <w:t>v případě zákonné změny výše daní, daně silniční, nebo poplatků, jako např, změna ceny dálniční známky, nebo jiných odvodů;</w:t>
      </w:r>
    </w:p>
    <w:p>
      <w:pPr>
        <w:pStyle w:val="Style9"/>
        <w:keepNext w:val="0"/>
        <w:keepLines w:val="0"/>
        <w:widowControl w:val="0"/>
        <w:numPr>
          <w:ilvl w:val="0"/>
          <w:numId w:val="17"/>
        </w:numPr>
        <w:shd w:val="clear" w:color="auto" w:fill="auto"/>
        <w:tabs>
          <w:tab w:pos="1233" w:val="left"/>
        </w:tabs>
        <w:bidi w:val="0"/>
        <w:spacing w:before="0" w:after="280" w:line="240" w:lineRule="auto"/>
        <w:ind w:left="0" w:right="0" w:firstLine="880"/>
        <w:jc w:val="both"/>
      </w:pPr>
      <w:r>
        <w:rPr>
          <w:rStyle w:val="CharStyle10"/>
        </w:rPr>
        <w:t>na základě dohody mezi pronajímatelem a nájemcem.</w:t>
      </w:r>
    </w:p>
    <w:p>
      <w:pPr>
        <w:pStyle w:val="Style9"/>
        <w:keepNext w:val="0"/>
        <w:keepLines w:val="0"/>
        <w:widowControl w:val="0"/>
        <w:shd w:val="clear" w:color="auto" w:fill="auto"/>
        <w:bidi w:val="0"/>
        <w:spacing w:before="0" w:line="240" w:lineRule="auto"/>
        <w:ind w:left="400" w:right="0" w:firstLine="20"/>
        <w:jc w:val="both"/>
      </w:pPr>
      <w:r>
        <w:rPr>
          <w:rStyle w:val="CharStyle10"/>
        </w:rPr>
        <w:t>Změnu výše nájemného oznámí pronajímatel nájemci písemné a zašle mu nový splátkový kalendář s tím, že změna výše sjednaného nájemného dle písm. a)-c) je účinná kalendářním měsícem, následujícím po měsíci, kdy bylo nájemci oznámení o změně odesláno.</w:t>
      </w:r>
    </w:p>
    <w:p>
      <w:pPr>
        <w:pStyle w:val="Style9"/>
        <w:keepNext w:val="0"/>
        <w:keepLines w:val="0"/>
        <w:widowControl w:val="0"/>
        <w:numPr>
          <w:ilvl w:val="0"/>
          <w:numId w:val="15"/>
        </w:numPr>
        <w:shd w:val="clear" w:color="auto" w:fill="auto"/>
        <w:tabs>
          <w:tab w:pos="329" w:val="left"/>
        </w:tabs>
        <w:bidi w:val="0"/>
        <w:spacing w:before="0" w:line="240" w:lineRule="auto"/>
        <w:ind w:left="400" w:right="0" w:hanging="400"/>
        <w:jc w:val="both"/>
      </w:pPr>
      <w:r>
        <w:rPr>
          <w:rStyle w:val="CharStyle10"/>
        </w:rPr>
        <w:t>Ve Smlouvě pronajímatel a nájemce sjednávají počet kilometrů, který je nájemce s předmětem leasingu oprávněn najet za dobu leasingu, V případě, že tento počet bude překročen o více, než činí sjednaná Volná hranice, je nájemce povinen uhradit pronajimateli sjednanou částku za každý kilometr, o který byl limit překročen. V případě, že celkový počet najetých kilometrů bude nižší, než je sjednaný limit, a to o více, než činí sjednaná Volná hranice, bude nájemci dobropisována sjednaná Částka za každý neujetý kilometr, maximálně pak 10.000,- Kč.</w:t>
      </w:r>
    </w:p>
    <w:p>
      <w:pPr>
        <w:pStyle w:val="Style9"/>
        <w:keepNext w:val="0"/>
        <w:keepLines w:val="0"/>
        <w:widowControl w:val="0"/>
        <w:numPr>
          <w:ilvl w:val="0"/>
          <w:numId w:val="15"/>
        </w:numPr>
        <w:shd w:val="clear" w:color="auto" w:fill="auto"/>
        <w:tabs>
          <w:tab w:pos="329" w:val="left"/>
        </w:tabs>
        <w:bidi w:val="0"/>
        <w:spacing w:before="0" w:line="240" w:lineRule="auto"/>
        <w:ind w:left="400" w:right="0" w:hanging="400"/>
        <w:jc w:val="both"/>
      </w:pPr>
      <w:r>
        <w:rPr>
          <w:rStyle w:val="CharStyle10"/>
        </w:rPr>
        <w:t>' Nájemce není oprávněn bez předchozího písemného souhlasu pronajímatele započíst jednostranně jakékoliv své případné pohledávky za pronajímatelem nebo zadržet předmět leasingu po ukončení leasingu za účelem zajištění své případné pohledávky za pronajímatelem.</w:t>
      </w:r>
    </w:p>
    <w:p>
      <w:pPr>
        <w:pStyle w:val="Style9"/>
        <w:keepNext w:val="0"/>
        <w:keepLines w:val="0"/>
        <w:widowControl w:val="0"/>
        <w:numPr>
          <w:ilvl w:val="0"/>
          <w:numId w:val="15"/>
        </w:numPr>
        <w:shd w:val="clear" w:color="auto" w:fill="auto"/>
        <w:tabs>
          <w:tab w:pos="329" w:val="left"/>
        </w:tabs>
        <w:bidi w:val="0"/>
        <w:spacing w:before="0" w:after="160" w:line="240" w:lineRule="auto"/>
        <w:ind w:left="400" w:right="0" w:hanging="400"/>
        <w:jc w:val="both"/>
      </w:pPr>
      <w:r>
        <w:rPr>
          <w:rStyle w:val="CharStyle10"/>
        </w:rPr>
        <w:t>Pronajímatel je oprávněn požadovat po nájemci úhradu účelně vynaložených nákladů na vymáhání splatných a neuhrazených pohledávek prostřednictvím třetí osoby.</w:t>
      </w:r>
    </w:p>
    <w:p>
      <w:pPr>
        <w:pStyle w:val="Style21"/>
        <w:keepNext/>
        <w:keepLines/>
        <w:widowControl w:val="0"/>
        <w:numPr>
          <w:ilvl w:val="0"/>
          <w:numId w:val="9"/>
        </w:numPr>
        <w:shd w:val="clear" w:color="auto" w:fill="auto"/>
        <w:tabs>
          <w:tab w:pos="3395" w:val="left"/>
        </w:tabs>
        <w:bidi w:val="0"/>
        <w:spacing w:before="0" w:line="240" w:lineRule="auto"/>
        <w:ind w:left="3140" w:right="0" w:firstLine="0"/>
        <w:jc w:val="both"/>
      </w:pPr>
      <w:bookmarkStart w:id="31" w:name="bookmark31"/>
      <w:r>
        <w:rPr>
          <w:rStyle w:val="CharStyle22"/>
          <w:b/>
          <w:bCs/>
        </w:rPr>
        <w:t>Práva a povinnosti pronajímatele</w:t>
      </w:r>
      <w:bookmarkEnd w:id="31"/>
    </w:p>
    <w:p>
      <w:pPr>
        <w:pStyle w:val="Style9"/>
        <w:keepNext w:val="0"/>
        <w:keepLines w:val="0"/>
        <w:widowControl w:val="0"/>
        <w:numPr>
          <w:ilvl w:val="0"/>
          <w:numId w:val="19"/>
        </w:numPr>
        <w:shd w:val="clear" w:color="auto" w:fill="auto"/>
        <w:tabs>
          <w:tab w:pos="329" w:val="left"/>
        </w:tabs>
        <w:bidi w:val="0"/>
        <w:spacing w:before="0" w:after="0" w:line="240" w:lineRule="auto"/>
        <w:ind w:left="0" w:right="0" w:firstLine="0"/>
        <w:jc w:val="both"/>
      </w:pPr>
      <w:r>
        <w:rPr>
          <w:rStyle w:val="CharStyle10"/>
        </w:rPr>
        <w:t>Pronajímatel je povinen po celou dobu trvání Smlouvy</w:t>
      </w:r>
    </w:p>
    <w:p>
      <w:pPr>
        <w:pStyle w:val="Style9"/>
        <w:keepNext w:val="0"/>
        <w:keepLines w:val="0"/>
        <w:widowControl w:val="0"/>
        <w:numPr>
          <w:ilvl w:val="0"/>
          <w:numId w:val="21"/>
        </w:numPr>
        <w:shd w:val="clear" w:color="auto" w:fill="auto"/>
        <w:tabs>
          <w:tab w:pos="694" w:val="left"/>
        </w:tabs>
        <w:bidi w:val="0"/>
        <w:spacing w:before="0" w:after="0" w:line="240" w:lineRule="auto"/>
        <w:ind w:left="680" w:right="0" w:hanging="260"/>
        <w:jc w:val="both"/>
      </w:pPr>
      <w:r>
        <w:rPr>
          <w:rStyle w:val="CharStyle10"/>
        </w:rPr>
        <w:t>hradit zákonné pojištění odpovědnosti za škodu způsobenou provozem motorových vozidel za předmět leasingu a doklad o pojištění (zelenou kartu) předat nájemci;</w:t>
      </w:r>
    </w:p>
    <w:p>
      <w:pPr>
        <w:pStyle w:val="Style9"/>
        <w:keepNext w:val="0"/>
        <w:keepLines w:val="0"/>
        <w:widowControl w:val="0"/>
        <w:numPr>
          <w:ilvl w:val="0"/>
          <w:numId w:val="21"/>
        </w:numPr>
        <w:shd w:val="clear" w:color="auto" w:fill="auto"/>
        <w:tabs>
          <w:tab w:pos="674" w:val="left"/>
        </w:tabs>
        <w:bidi w:val="0"/>
        <w:spacing w:before="0" w:after="0" w:line="240" w:lineRule="auto"/>
        <w:ind w:left="0" w:right="0" w:firstLine="400"/>
        <w:jc w:val="both"/>
      </w:pPr>
      <w:r>
        <w:rPr>
          <w:rStyle w:val="CharStyle10"/>
        </w:rPr>
        <w:t>hradit havarijní pojištění se spoluúčastí, kterou stanovuje Smlouva;</w:t>
      </w:r>
    </w:p>
    <w:p>
      <w:pPr>
        <w:pStyle w:val="Style9"/>
        <w:keepNext w:val="0"/>
        <w:keepLines w:val="0"/>
        <w:widowControl w:val="0"/>
        <w:numPr>
          <w:ilvl w:val="0"/>
          <w:numId w:val="21"/>
        </w:numPr>
        <w:shd w:val="clear" w:color="auto" w:fill="auto"/>
        <w:tabs>
          <w:tab w:pos="674" w:val="left"/>
        </w:tabs>
        <w:bidi w:val="0"/>
        <w:spacing w:before="0" w:after="0" w:line="240" w:lineRule="auto"/>
        <w:ind w:left="0" w:right="0" w:firstLine="400"/>
        <w:jc w:val="both"/>
      </w:pPr>
      <w:r>
        <w:rPr>
          <w:rStyle w:val="CharStyle10"/>
        </w:rPr>
        <w:t>hradit doplňková pojištění sjednaná Smlouvou;</w:t>
      </w:r>
    </w:p>
    <w:p>
      <w:pPr>
        <w:pStyle w:val="Style9"/>
        <w:keepNext w:val="0"/>
        <w:keepLines w:val="0"/>
        <w:widowControl w:val="0"/>
        <w:numPr>
          <w:ilvl w:val="0"/>
          <w:numId w:val="21"/>
        </w:numPr>
        <w:shd w:val="clear" w:color="auto" w:fill="auto"/>
        <w:tabs>
          <w:tab w:pos="674" w:val="left"/>
        </w:tabs>
        <w:bidi w:val="0"/>
        <w:spacing w:before="0" w:after="0" w:line="240" w:lineRule="auto"/>
        <w:ind w:left="0" w:right="0" w:firstLine="400"/>
        <w:jc w:val="both"/>
      </w:pPr>
      <w:r>
        <w:rPr>
          <w:rStyle w:val="CharStyle10"/>
        </w:rPr>
        <w:t>hradit silniční daň, poplatek za rádio a dálniční známku, pokud je tak sjednáno Smlouvou;</w:t>
      </w:r>
    </w:p>
    <w:p>
      <w:pPr>
        <w:pStyle w:val="Style9"/>
        <w:keepNext w:val="0"/>
        <w:keepLines w:val="0"/>
        <w:widowControl w:val="0"/>
        <w:numPr>
          <w:ilvl w:val="0"/>
          <w:numId w:val="21"/>
        </w:numPr>
        <w:shd w:val="clear" w:color="auto" w:fill="auto"/>
        <w:tabs>
          <w:tab w:pos="674" w:val="left"/>
        </w:tabs>
        <w:bidi w:val="0"/>
        <w:spacing w:before="0" w:line="240" w:lineRule="auto"/>
        <w:ind w:left="0" w:right="0" w:firstLine="400"/>
        <w:jc w:val="both"/>
      </w:pPr>
      <w:r>
        <w:rPr>
          <w:rStyle w:val="CharStyle10"/>
        </w:rPr>
        <w:t>vyřizovat pojistné události, týkající se předmětu leasingu, v součinnosti s nájemcem (dodání dokumentace apod.)</w:t>
      </w:r>
    </w:p>
    <w:p>
      <w:pPr>
        <w:pStyle w:val="Style9"/>
        <w:keepNext w:val="0"/>
        <w:keepLines w:val="0"/>
        <w:widowControl w:val="0"/>
        <w:numPr>
          <w:ilvl w:val="0"/>
          <w:numId w:val="19"/>
        </w:numPr>
        <w:shd w:val="clear" w:color="auto" w:fill="auto"/>
        <w:tabs>
          <w:tab w:pos="329" w:val="left"/>
        </w:tabs>
        <w:bidi w:val="0"/>
        <w:spacing w:before="0" w:after="280" w:line="240" w:lineRule="auto"/>
        <w:ind w:left="400" w:right="0" w:hanging="400"/>
        <w:jc w:val="both"/>
      </w:pPr>
      <w:r>
        <w:rPr>
          <w:rStyle w:val="CharStyle10"/>
        </w:rPr>
        <w:t>Pronajímatel je oprávněn kdykoliv za trvání Smlouvy zkontrolovat stav, umístění a způsob užívání předmětu leasingu, a to bez předchozího oznámení nájemci. Při této kontrole je oprávněn pořídit technickou dokumentaci, foto- nebo videodokumentaci předmětu nájmu a jeho užíváni. K tomu mu nájemce podpisem Smlouvy uděluje souhlas.</w:t>
      </w:r>
    </w:p>
    <w:p>
      <w:pPr>
        <w:pStyle w:val="Style21"/>
        <w:keepNext/>
        <w:keepLines/>
        <w:widowControl w:val="0"/>
        <w:numPr>
          <w:ilvl w:val="0"/>
          <w:numId w:val="9"/>
        </w:numPr>
        <w:shd w:val="clear" w:color="auto" w:fill="auto"/>
        <w:tabs>
          <w:tab w:pos="329" w:val="left"/>
        </w:tabs>
        <w:bidi w:val="0"/>
        <w:spacing w:before="0" w:line="240" w:lineRule="auto"/>
        <w:ind w:left="0" w:right="0" w:firstLine="0"/>
        <w:jc w:val="center"/>
      </w:pPr>
      <w:bookmarkStart w:id="33" w:name="bookmark33"/>
      <w:r>
        <w:rPr>
          <w:rStyle w:val="CharStyle22"/>
          <w:b/>
          <w:bCs/>
        </w:rPr>
        <w:t>Práva a povinností Nájemce</w:t>
      </w:r>
      <w:bookmarkEnd w:id="33"/>
    </w:p>
    <w:p>
      <w:pPr>
        <w:pStyle w:val="Style9"/>
        <w:keepNext w:val="0"/>
        <w:keepLines w:val="0"/>
        <w:widowControl w:val="0"/>
        <w:numPr>
          <w:ilvl w:val="0"/>
          <w:numId w:val="23"/>
        </w:numPr>
        <w:shd w:val="clear" w:color="auto" w:fill="auto"/>
        <w:tabs>
          <w:tab w:pos="329" w:val="left"/>
        </w:tabs>
        <w:bidi w:val="0"/>
        <w:spacing w:before="0" w:after="0" w:line="240" w:lineRule="auto"/>
        <w:ind w:left="0" w:right="0" w:firstLine="0"/>
        <w:jc w:val="both"/>
      </w:pPr>
      <w:r>
        <w:rPr>
          <w:rStyle w:val="CharStyle10"/>
        </w:rPr>
        <w:t>Nájemce je povinen po celou dobu trvání Smlouvy</w:t>
      </w:r>
    </w:p>
    <w:p>
      <w:pPr>
        <w:pStyle w:val="Style9"/>
        <w:keepNext w:val="0"/>
        <w:keepLines w:val="0"/>
        <w:widowControl w:val="0"/>
        <w:numPr>
          <w:ilvl w:val="0"/>
          <w:numId w:val="25"/>
        </w:numPr>
        <w:shd w:val="clear" w:color="auto" w:fill="auto"/>
        <w:tabs>
          <w:tab w:pos="694" w:val="left"/>
        </w:tabs>
        <w:bidi w:val="0"/>
        <w:spacing w:before="0" w:after="0" w:line="240" w:lineRule="auto"/>
        <w:ind w:left="680" w:right="0" w:hanging="260"/>
        <w:jc w:val="both"/>
      </w:pPr>
      <w:r>
        <w:rPr>
          <w:rStyle w:val="CharStyle10"/>
        </w:rPr>
        <w:t>řádně a včas hradit sjednané nájemné za podmínek, sjednaných Smlouvou. Veškeré platby pronajímateli se považují za uhrazené připsáním na účet pronajímatele;</w:t>
      </w:r>
    </w:p>
    <w:p>
      <w:pPr>
        <w:pStyle w:val="Style9"/>
        <w:keepNext w:val="0"/>
        <w:keepLines w:val="0"/>
        <w:widowControl w:val="0"/>
        <w:numPr>
          <w:ilvl w:val="0"/>
          <w:numId w:val="25"/>
        </w:numPr>
        <w:shd w:val="clear" w:color="auto" w:fill="auto"/>
        <w:tabs>
          <w:tab w:pos="674" w:val="left"/>
        </w:tabs>
        <w:bidi w:val="0"/>
        <w:spacing w:before="0" w:after="0" w:line="240" w:lineRule="auto"/>
        <w:ind w:left="0" w:right="0" w:firstLine="400"/>
        <w:jc w:val="both"/>
      </w:pPr>
      <w:r>
        <w:rPr>
          <w:rStyle w:val="CharStyle10"/>
        </w:rPr>
        <w:t>převzít předmět leasingu za sjednaných podmínek a o převzetí podepsat předávací protokol;</w:t>
      </w:r>
    </w:p>
    <w:p>
      <w:pPr>
        <w:pStyle w:val="Style9"/>
        <w:keepNext w:val="0"/>
        <w:keepLines w:val="0"/>
        <w:widowControl w:val="0"/>
        <w:numPr>
          <w:ilvl w:val="0"/>
          <w:numId w:val="25"/>
        </w:numPr>
        <w:shd w:val="clear" w:color="auto" w:fill="auto"/>
        <w:tabs>
          <w:tab w:pos="674" w:val="left"/>
        </w:tabs>
        <w:bidi w:val="0"/>
        <w:spacing w:before="0" w:after="0" w:line="240" w:lineRule="auto"/>
        <w:ind w:left="0" w:right="0" w:firstLine="400"/>
        <w:jc w:val="both"/>
      </w:pPr>
      <w:r>
        <w:rPr>
          <w:rStyle w:val="CharStyle10"/>
        </w:rPr>
        <w:t>užívat předmět leasingu způsobem a k účelu, sjednaným Smlouvou;</w:t>
      </w:r>
    </w:p>
    <w:p>
      <w:pPr>
        <w:pStyle w:val="Style9"/>
        <w:keepNext w:val="0"/>
        <w:keepLines w:val="0"/>
        <w:widowControl w:val="0"/>
        <w:numPr>
          <w:ilvl w:val="0"/>
          <w:numId w:val="25"/>
        </w:numPr>
        <w:shd w:val="clear" w:color="auto" w:fill="auto"/>
        <w:tabs>
          <w:tab w:pos="694" w:val="left"/>
        </w:tabs>
        <w:bidi w:val="0"/>
        <w:spacing w:before="0" w:after="0" w:line="240" w:lineRule="auto"/>
        <w:ind w:left="680" w:right="0" w:hanging="260"/>
        <w:jc w:val="both"/>
      </w:pPr>
      <w:r>
        <w:rPr>
          <w:rStyle w:val="CharStyle10"/>
        </w:rPr>
        <w:t xml:space="preserve">dostavovat se na pravidelné servisní prohlídky s předmětem leasingu do servisu, a to výlučně u smluvního servisního partnera uvedeného v Driver setu, nebo na </w:t>
      </w:r>
      <w:r>
        <w:rPr>
          <w:rStyle w:val="CharStyle10"/>
          <w:i/>
          <w:iCs/>
        </w:rPr>
        <w:t>www</w:t>
      </w:r>
      <w:r>
        <w:rPr>
          <w:rStyle w:val="CharStyle10"/>
        </w:rPr>
        <w:t xml:space="preserve"> stránkách pronajímatele, dodržovat plán údržby, předepsaný výrobcem, který je součástí návodu k obsluze vozidla. V případě nedodržení plánu údržby, promeškání servisního intervalu apod. nese nájemce plnou odpovědnost za vzniklé Škody;</w:t>
      </w:r>
    </w:p>
    <w:p>
      <w:pPr>
        <w:pStyle w:val="Style9"/>
        <w:keepNext w:val="0"/>
        <w:keepLines w:val="0"/>
        <w:widowControl w:val="0"/>
        <w:numPr>
          <w:ilvl w:val="0"/>
          <w:numId w:val="25"/>
        </w:numPr>
        <w:shd w:val="clear" w:color="auto" w:fill="auto"/>
        <w:tabs>
          <w:tab w:pos="694" w:val="left"/>
        </w:tabs>
        <w:bidi w:val="0"/>
        <w:spacing w:before="0" w:after="0" w:line="240" w:lineRule="auto"/>
        <w:ind w:left="680" w:right="0" w:hanging="260"/>
        <w:jc w:val="both"/>
      </w:pPr>
      <w:r>
        <w:rPr>
          <w:rStyle w:val="CharStyle10"/>
        </w:rPr>
        <w:t>v případě vzniku jakékoli pojistné události poskytnout veškerou součinnost, zejména je povinen jakoukoli pojistnou událost, pří které vznikla škoda na cizím majetku nebo osobě, nebo škoda na předmětu leasingu, přesahující 100.000,- Kč, nahlásit Polici ČR, zajistit veškeré prvotní potřebné dokumenty, vztahující se k vzniklé škodě s tím, že o pojistné události je povinen neprodleně informovat pronajímatele. Dále se nájemce zavazuje v případě pojistné události zajistit předmět leasingu proti jeho dalšímu poškození nebo zcizení. Dále je povinen uhradit pronajímateli vzniklou škodu v rozsahu spoluúčasti, sjednané pojistnou smlouvou, či v rozsahu neuhrazeném pojišťovnou.</w:t>
      </w:r>
    </w:p>
    <w:p>
      <w:pPr>
        <w:pStyle w:val="Style9"/>
        <w:keepNext w:val="0"/>
        <w:keepLines w:val="0"/>
        <w:widowControl w:val="0"/>
        <w:numPr>
          <w:ilvl w:val="0"/>
          <w:numId w:val="25"/>
        </w:numPr>
        <w:shd w:val="clear" w:color="auto" w:fill="auto"/>
        <w:tabs>
          <w:tab w:pos="694" w:val="left"/>
        </w:tabs>
        <w:bidi w:val="0"/>
        <w:spacing w:before="0" w:after="0" w:line="240" w:lineRule="auto"/>
        <w:ind w:left="680" w:right="0" w:hanging="260"/>
        <w:jc w:val="both"/>
      </w:pPr>
      <w:r>
        <w:rPr>
          <w:rStyle w:val="CharStyle10"/>
        </w:rPr>
        <w:t>v případě odcizení předmětu leasingu uhradit pronajímateli škodu do výše spoluúčasti, sjednané pro tento případ pojistnou smlouvou, čí pro případ neplnění pojišťovnou ve výši, rovnající se účetní zůstatkové hodnotě předmětu leasingu ke dni odcizení předmětu leasingu;</w:t>
      </w:r>
    </w:p>
    <w:p>
      <w:pPr>
        <w:pStyle w:val="Style9"/>
        <w:keepNext w:val="0"/>
        <w:keepLines w:val="0"/>
        <w:widowControl w:val="0"/>
        <w:numPr>
          <w:ilvl w:val="0"/>
          <w:numId w:val="25"/>
        </w:numPr>
        <w:shd w:val="clear" w:color="auto" w:fill="auto"/>
        <w:tabs>
          <w:tab w:pos="694" w:val="left"/>
        </w:tabs>
        <w:bidi w:val="0"/>
        <w:spacing w:before="0" w:line="240" w:lineRule="auto"/>
        <w:ind w:left="680" w:right="0" w:hanging="260"/>
        <w:jc w:val="both"/>
      </w:pPr>
      <w:r>
        <w:rPr>
          <w:rStyle w:val="CharStyle10"/>
        </w:rPr>
        <w:t>udržovat a pečovat o předmět leasingu s odbornou péčí tak, aby technický a celkový stav předmětu leasingu odpovídal jeho stáří s přihlédnutím k běžnému opotřebení a počtu ujetých kilometrů. Škody, způsobené nájemcem, nebo třetími osobami nad rámec běžného opotřebení se nájemce zavazuje na svůj náklad odstranit uvedením do původního stavu, nebo uhradit v plné výši tuto škodu pronajímateli</w:t>
      </w:r>
    </w:p>
    <w:p>
      <w:pPr>
        <w:pStyle w:val="Style9"/>
        <w:keepNext w:val="0"/>
        <w:keepLines w:val="0"/>
        <w:widowControl w:val="0"/>
        <w:numPr>
          <w:ilvl w:val="0"/>
          <w:numId w:val="23"/>
        </w:numPr>
        <w:shd w:val="clear" w:color="auto" w:fill="auto"/>
        <w:tabs>
          <w:tab w:pos="329" w:val="left"/>
        </w:tabs>
        <w:bidi w:val="0"/>
        <w:spacing w:before="0" w:line="240" w:lineRule="auto"/>
        <w:ind w:left="400" w:right="0" w:hanging="400"/>
        <w:jc w:val="both"/>
      </w:pPr>
      <w:r>
        <w:rPr>
          <w:rStyle w:val="CharStyle10"/>
        </w:rPr>
        <w:t>Nájemce není oprávněn bez předchozího písemného souhlasu pronajímatele použít předmět leasingu pro účely taxislužby nebo jiné obdobné služby (tzv. Uber spod.), autopůjčovny, carsharingu nebo autoškoly, popřípadě předat předmět leasingu do užívání třetím osobám. Za třetí osoby se pro účely tohoto ustanovení nepovažují osoby blízké, zaměstnanci, členové statutárních orgánů právnické osoby.</w:t>
      </w:r>
    </w:p>
    <w:p>
      <w:pPr>
        <w:pStyle w:val="Style9"/>
        <w:keepNext w:val="0"/>
        <w:keepLines w:val="0"/>
        <w:widowControl w:val="0"/>
        <w:numPr>
          <w:ilvl w:val="0"/>
          <w:numId w:val="23"/>
        </w:numPr>
        <w:shd w:val="clear" w:color="auto" w:fill="auto"/>
        <w:tabs>
          <w:tab w:pos="329" w:val="left"/>
        </w:tabs>
        <w:bidi w:val="0"/>
        <w:spacing w:before="0" w:line="240" w:lineRule="auto"/>
        <w:ind w:left="400" w:right="0" w:hanging="400"/>
        <w:jc w:val="both"/>
      </w:pPr>
      <w:r>
        <w:rPr>
          <w:rStyle w:val="CharStyle10"/>
        </w:rPr>
        <w:t>Veškeré dodatečné úpravy, vestavby, nástavby a případné další změny na předmětu leasingu je nájemce oprávněn provést jen na základě předchozího písemného souhlasu pronajímatele. V případě nesplnění této povinnosti je nájemce povinen uhradit pronajímateli způsobenou škodu. Úpravy, vestavby, nástavby a další změny, které lze považovat za součást</w:t>
      </w:r>
    </w:p>
    <w:p>
      <w:pPr>
        <w:widowControl w:val="0"/>
        <w:jc w:val="right"/>
        <w:rPr>
          <w:sz w:val="2"/>
          <w:szCs w:val="2"/>
        </w:rPr>
      </w:pPr>
      <w:r>
        <w:drawing>
          <wp:inline>
            <wp:extent cx="1847215" cy="35369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ext cx="1847215" cy="353695"/>
                    </a:xfrm>
                    <a:prstGeom prst="rect"/>
                  </pic:spPr>
                </pic:pic>
              </a:graphicData>
            </a:graphic>
          </wp:inline>
        </w:drawing>
      </w:r>
    </w:p>
    <w:p>
      <w:pPr>
        <w:widowControl w:val="0"/>
        <w:spacing w:after="219" w:line="1" w:lineRule="exact"/>
      </w:pPr>
    </w:p>
    <w:p>
      <w:pPr>
        <w:pStyle w:val="Style9"/>
        <w:keepNext w:val="0"/>
        <w:keepLines w:val="0"/>
        <w:widowControl w:val="0"/>
        <w:shd w:val="clear" w:color="auto" w:fill="auto"/>
        <w:bidi w:val="0"/>
        <w:spacing w:before="0" w:line="240" w:lineRule="auto"/>
        <w:ind w:left="400" w:right="0" w:firstLine="20"/>
        <w:jc w:val="both"/>
      </w:pPr>
      <w:r>
        <w:rPr>
          <w:rStyle w:val="CharStyle10"/>
        </w:rPr>
        <w:t>předmětu leasingu (jejích odstranění či oddělení není možné bez znehodnocení předmětu leasingu), jsou majetkem pronajímatele a nájemce nemá po skončení nájmu nárok na jejich úhradu. Pokud by provedením těchto změn došlo ke snížení ceny předmětu leasingu, nájemce je povinen uhradit pronajímateli takto vzniklou škodu.</w:t>
      </w:r>
    </w:p>
    <w:p>
      <w:pPr>
        <w:pStyle w:val="Style9"/>
        <w:keepNext w:val="0"/>
        <w:keepLines w:val="0"/>
        <w:widowControl w:val="0"/>
        <w:numPr>
          <w:ilvl w:val="0"/>
          <w:numId w:val="23"/>
        </w:numPr>
        <w:shd w:val="clear" w:color="auto" w:fill="auto"/>
        <w:tabs>
          <w:tab w:pos="327" w:val="left"/>
        </w:tabs>
        <w:bidi w:val="0"/>
        <w:spacing w:before="0" w:line="240" w:lineRule="auto"/>
        <w:ind w:left="400" w:right="0" w:hanging="400"/>
        <w:jc w:val="both"/>
      </w:pPr>
      <w:r>
        <w:rPr>
          <w:rStyle w:val="CharStyle10"/>
        </w:rPr>
        <w:t>Po skončení smluvního vztahu dle Smlouvy je nájemce povinen vrátit pronajímateli předmět leasingu ve stavu, v jakém jej převzal, s přihlédnutím k běžnému opotřebení a počtu najetých kilometrů, a to včetně veškerých dokladů, klíčů a dalšího příslušenství, v provozovně pronajímatele nebo na jím určeném místě.</w:t>
      </w:r>
    </w:p>
    <w:p>
      <w:pPr>
        <w:pStyle w:val="Style9"/>
        <w:keepNext w:val="0"/>
        <w:keepLines w:val="0"/>
        <w:widowControl w:val="0"/>
        <w:numPr>
          <w:ilvl w:val="0"/>
          <w:numId w:val="23"/>
        </w:numPr>
        <w:shd w:val="clear" w:color="auto" w:fill="auto"/>
        <w:tabs>
          <w:tab w:pos="327" w:val="left"/>
        </w:tabs>
        <w:bidi w:val="0"/>
        <w:spacing w:before="0" w:line="240" w:lineRule="auto"/>
        <w:ind w:left="400" w:right="0" w:hanging="400"/>
        <w:jc w:val="both"/>
      </w:pPr>
      <w:r>
        <w:rPr>
          <w:rStyle w:val="CharStyle10"/>
        </w:rPr>
        <w:t>Nájemce hradí veškeré pokuty a jiné sankce, udělené příslušnými orgány policie, čí státní správy nebo orgány místní samosprávy v souvislosti s užíváním předmětu leasingu v rozporu s příslušnými právními předpisy. Pokud je v takovém případě sankcionován pronajímatel z titulu provozovatele či vlastníka vozidla, je pronajímatel oprávněn pokutu přeúčtovat nájemci, s tím, že nájemce dále zaplatí pronajímateli administrativní poplatek za vyřízení úhrady pokuty ve výši 300,-Kč. Nájemce je povinen vést evidenci o tom, kdo a kdy předmět leasingu používal. Pokud je pronajímatel vyzván orgánem policie či státní správy k identifikaci řidiče v okamžiku spáchání dopravního přestupku a podobně, je nájemce povinen pronajímateli na jeho výzvu obratem identitu řidiče sdělit a poskytovat pronajímateli veškerou součinnost.</w:t>
      </w:r>
    </w:p>
    <w:p>
      <w:pPr>
        <w:pStyle w:val="Style9"/>
        <w:keepNext w:val="0"/>
        <w:keepLines w:val="0"/>
        <w:widowControl w:val="0"/>
        <w:numPr>
          <w:ilvl w:val="0"/>
          <w:numId w:val="23"/>
        </w:numPr>
        <w:shd w:val="clear" w:color="auto" w:fill="auto"/>
        <w:tabs>
          <w:tab w:pos="327" w:val="left"/>
        </w:tabs>
        <w:bidi w:val="0"/>
        <w:spacing w:before="0" w:after="360" w:line="240" w:lineRule="auto"/>
        <w:ind w:left="400" w:right="0" w:hanging="400"/>
        <w:jc w:val="both"/>
      </w:pPr>
      <w:r>
        <w:rPr>
          <w:rStyle w:val="CharStyle10"/>
        </w:rPr>
        <w:t>Za případné vady na předmětu leasingu pronajímatel neodpovídá. Na nájemce přechází uzavřením Smlouvy právo jakožto kupujícího uplatňovat nároky ze záruky podle záručních podmínek výrobce nebo dovozce u autorizovaného zástupce, jakož i práva kupujícího vyplývající z obecné odpovědnosti prodejce za vady prodávané věci. Náklady spojené s případným neopodstatněným uplatňováním nároků z vad předmětu leasingu včetně nákladů případného soudního řízení neúspěšného pro nájemce nese v plné výši nájemce.</w:t>
      </w:r>
    </w:p>
    <w:p>
      <w:pPr>
        <w:pStyle w:val="Style21"/>
        <w:keepNext/>
        <w:keepLines/>
        <w:widowControl w:val="0"/>
        <w:numPr>
          <w:ilvl w:val="0"/>
          <w:numId w:val="9"/>
        </w:numPr>
        <w:shd w:val="clear" w:color="auto" w:fill="auto"/>
        <w:tabs>
          <w:tab w:pos="2048" w:val="left"/>
        </w:tabs>
        <w:bidi w:val="0"/>
        <w:spacing w:before="0" w:line="240" w:lineRule="auto"/>
        <w:ind w:left="1800" w:right="0" w:firstLine="0"/>
        <w:jc w:val="both"/>
      </w:pPr>
      <w:bookmarkStart w:id="35" w:name="bookmark35"/>
      <w:r>
        <w:rPr>
          <w:rStyle w:val="CharStyle22"/>
          <w:b/>
          <w:bCs/>
        </w:rPr>
        <w:t>Trvalé vyřazení předmětu leasingu z provozu v případě jeho zničení nebo odcizení</w:t>
      </w:r>
      <w:bookmarkEnd w:id="35"/>
    </w:p>
    <w:p>
      <w:pPr>
        <w:pStyle w:val="Style9"/>
        <w:keepNext w:val="0"/>
        <w:keepLines w:val="0"/>
        <w:widowControl w:val="0"/>
        <w:numPr>
          <w:ilvl w:val="0"/>
          <w:numId w:val="27"/>
        </w:numPr>
        <w:shd w:val="clear" w:color="auto" w:fill="auto"/>
        <w:tabs>
          <w:tab w:pos="327" w:val="left"/>
        </w:tabs>
        <w:bidi w:val="0"/>
        <w:spacing w:before="0" w:line="240" w:lineRule="auto"/>
        <w:ind w:left="400" w:right="0" w:hanging="400"/>
        <w:jc w:val="both"/>
      </w:pPr>
      <w:r>
        <w:rPr>
          <w:rStyle w:val="CharStyle10"/>
        </w:rPr>
        <w:t>Smluvní vztah založený Smlouvou skonči uplynutím posledního dne kalendářního měsíce, v němž rozhodnutí orgánu činného v trestním řízení obsahující zjištění, že předmět leasingu byl zničen nebo odcizen, nabude právní moci. Pokud smluvní vztah skončí z tohoto důvodu, je nájemce povinen uhradit pronajímateli všechny do té doby vzniklé a neuhrazené peněžité závazky včetně příslušenství.</w:t>
      </w:r>
    </w:p>
    <w:p>
      <w:pPr>
        <w:pStyle w:val="Style9"/>
        <w:keepNext w:val="0"/>
        <w:keepLines w:val="0"/>
        <w:widowControl w:val="0"/>
        <w:numPr>
          <w:ilvl w:val="0"/>
          <w:numId w:val="27"/>
        </w:numPr>
        <w:shd w:val="clear" w:color="auto" w:fill="auto"/>
        <w:tabs>
          <w:tab w:pos="327" w:val="left"/>
        </w:tabs>
        <w:bidi w:val="0"/>
        <w:spacing w:before="0" w:after="180" w:line="240" w:lineRule="auto"/>
        <w:ind w:left="400" w:right="0" w:hanging="400"/>
        <w:jc w:val="both"/>
      </w:pPr>
      <w:r>
        <w:rPr>
          <w:rStyle w:val="CharStyle10"/>
        </w:rPr>
        <w:t>V případě ukončení smluvního vztahu dle předchozího odstavce použije pronajímatel případné pojistné plnění k úhradě škody, která mu vznikla jako vlastníku předmětu leasingu, a to ve výši účetní zůstatkové hodnoty předmětu leasingu ke dni předčasného ukončení Smlouvy, případně snížené o prodejní cenu zbytků předmětu leasingu. Pojistné plnění bude dále použito na úhradu závazků nájemce vůči pronajímateli, když nájemce je povinen pronajímateli zaplatit:</w:t>
      </w:r>
    </w:p>
    <w:p>
      <w:pPr>
        <w:pStyle w:val="Style9"/>
        <w:keepNext w:val="0"/>
        <w:keepLines w:val="0"/>
        <w:widowControl w:val="0"/>
        <w:numPr>
          <w:ilvl w:val="0"/>
          <w:numId w:val="29"/>
        </w:numPr>
        <w:shd w:val="clear" w:color="auto" w:fill="auto"/>
        <w:tabs>
          <w:tab w:pos="810" w:val="left"/>
        </w:tabs>
        <w:bidi w:val="0"/>
        <w:spacing w:before="0" w:after="0" w:line="240" w:lineRule="auto"/>
        <w:ind w:left="0" w:right="0" w:firstLine="400"/>
        <w:jc w:val="both"/>
      </w:pPr>
      <w:r>
        <w:rPr>
          <w:rStyle w:val="CharStyle10"/>
        </w:rPr>
        <w:t>všechny do té doby splatné a neuhrazené peněžité závazky včetně jejich příslušenství</w:t>
      </w:r>
    </w:p>
    <w:p>
      <w:pPr>
        <w:pStyle w:val="Style9"/>
        <w:keepNext w:val="0"/>
        <w:keepLines w:val="0"/>
        <w:widowControl w:val="0"/>
        <w:numPr>
          <w:ilvl w:val="0"/>
          <w:numId w:val="29"/>
        </w:numPr>
        <w:shd w:val="clear" w:color="auto" w:fill="auto"/>
        <w:tabs>
          <w:tab w:pos="830" w:val="left"/>
        </w:tabs>
        <w:bidi w:val="0"/>
        <w:spacing w:before="0" w:after="0" w:line="240" w:lineRule="auto"/>
        <w:ind w:left="820" w:right="0" w:hanging="400"/>
        <w:jc w:val="both"/>
      </w:pPr>
      <w:r>
        <w:rPr>
          <w:rStyle w:val="CharStyle10"/>
        </w:rPr>
        <w:t>náklady, spojené s přepravou, skladováním a případným následným oceněním a prodejem zbytků předmětu leasingu, pokud nejsou kryty sjednaným pojištěním</w:t>
      </w:r>
    </w:p>
    <w:p>
      <w:pPr>
        <w:pStyle w:val="Style9"/>
        <w:keepNext w:val="0"/>
        <w:keepLines w:val="0"/>
        <w:widowControl w:val="0"/>
        <w:numPr>
          <w:ilvl w:val="0"/>
          <w:numId w:val="29"/>
        </w:numPr>
        <w:shd w:val="clear" w:color="auto" w:fill="auto"/>
        <w:tabs>
          <w:tab w:pos="810" w:val="left"/>
        </w:tabs>
        <w:bidi w:val="0"/>
        <w:spacing w:before="0" w:after="180" w:line="240" w:lineRule="auto"/>
        <w:ind w:left="0" w:right="0" w:firstLine="400"/>
        <w:jc w:val="both"/>
      </w:pPr>
      <w:r>
        <w:rPr>
          <w:rStyle w:val="CharStyle10"/>
        </w:rPr>
        <w:t>dohodnuté smluvní pokuty a příslušenství všech pohledávek.</w:t>
      </w:r>
    </w:p>
    <w:p>
      <w:pPr>
        <w:pStyle w:val="Style21"/>
        <w:keepNext/>
        <w:keepLines/>
        <w:widowControl w:val="0"/>
        <w:numPr>
          <w:ilvl w:val="0"/>
          <w:numId w:val="9"/>
        </w:numPr>
        <w:shd w:val="clear" w:color="auto" w:fill="auto"/>
        <w:tabs>
          <w:tab w:pos="327" w:val="left"/>
        </w:tabs>
        <w:bidi w:val="0"/>
        <w:spacing w:before="0" w:line="240" w:lineRule="auto"/>
        <w:ind w:left="0" w:right="0" w:firstLine="0"/>
        <w:jc w:val="center"/>
      </w:pPr>
      <w:bookmarkStart w:id="37" w:name="bookmark37"/>
      <w:r>
        <w:rPr>
          <w:rStyle w:val="CharStyle22"/>
          <w:b/>
          <w:bCs/>
        </w:rPr>
        <w:t>Servis a údržba</w:t>
      </w:r>
      <w:bookmarkEnd w:id="37"/>
    </w:p>
    <w:p>
      <w:pPr>
        <w:pStyle w:val="Style9"/>
        <w:keepNext w:val="0"/>
        <w:keepLines w:val="0"/>
        <w:widowControl w:val="0"/>
        <w:numPr>
          <w:ilvl w:val="0"/>
          <w:numId w:val="31"/>
        </w:numPr>
        <w:shd w:val="clear" w:color="auto" w:fill="auto"/>
        <w:tabs>
          <w:tab w:pos="327" w:val="left"/>
        </w:tabs>
        <w:bidi w:val="0"/>
        <w:spacing w:before="0" w:line="240" w:lineRule="auto"/>
        <w:ind w:left="400" w:right="0" w:hanging="400"/>
        <w:jc w:val="both"/>
      </w:pPr>
      <w:r>
        <w:rPr>
          <w:rStyle w:val="CharStyle10"/>
        </w:rPr>
        <w:t>Pokud je ve Smlouvě sjednána služba Servis a údržba nájemce je po dobu trvání smluvního vztahu povinen zajistit servis a údržbu předmětu leasingu v závislosti na plánu údržby, předepsaném výrobcem, ujetých kilometrech, staří vozidla a běžného opotřebení, to vše na náklady pronajímatele, a to výlučně u smluvního servisního partnera uvedeného v Driver setu. Nájemce prohlašuje, že s plánem údržby a servisu dle výše uvedených požadavků byl seznámen, a to zejména formou servisní knížky, návodu k obsluze vozidla a příručky pro řidiče. Nákupy zboží a služeb za servis nad rámec služby, sjednané ve Smlouvě budou nájemci účtovány měsíčně, na základě daňového dokladu. Faktury za provedené servisní a údržbové práce nechá nájemce vystavit na pronajímatele.</w:t>
      </w:r>
    </w:p>
    <w:p>
      <w:pPr>
        <w:pStyle w:val="Style9"/>
        <w:keepNext w:val="0"/>
        <w:keepLines w:val="0"/>
        <w:widowControl w:val="0"/>
        <w:numPr>
          <w:ilvl w:val="0"/>
          <w:numId w:val="31"/>
        </w:numPr>
        <w:shd w:val="clear" w:color="auto" w:fill="auto"/>
        <w:tabs>
          <w:tab w:pos="327" w:val="left"/>
        </w:tabs>
        <w:bidi w:val="0"/>
        <w:spacing w:before="0" w:line="240" w:lineRule="auto"/>
        <w:ind w:left="400" w:right="0" w:hanging="400"/>
        <w:jc w:val="both"/>
      </w:pPr>
      <w:r>
        <w:rPr>
          <w:rStyle w:val="CharStyle10"/>
        </w:rPr>
        <w:t>Nájemce je povinen dodržovat plán údržby a servisu, se kterým byl seznámen, a který je součástí dokumentace k předmětu leasingu. V případě, že nájemce nedodrží tento plán údržby a servisu, promešká záruku a podobně, nese plnou odpovědnost za vzniklé škody.</w:t>
      </w:r>
    </w:p>
    <w:p>
      <w:pPr>
        <w:pStyle w:val="Style9"/>
        <w:keepNext w:val="0"/>
        <w:keepLines w:val="0"/>
        <w:widowControl w:val="0"/>
        <w:numPr>
          <w:ilvl w:val="0"/>
          <w:numId w:val="31"/>
        </w:numPr>
        <w:shd w:val="clear" w:color="auto" w:fill="auto"/>
        <w:tabs>
          <w:tab w:pos="327" w:val="left"/>
        </w:tabs>
        <w:bidi w:val="0"/>
        <w:spacing w:before="0" w:line="240" w:lineRule="auto"/>
        <w:ind w:left="400" w:right="0" w:hanging="400"/>
        <w:jc w:val="both"/>
      </w:pPr>
      <w:r>
        <w:rPr>
          <w:rStyle w:val="CharStyle10"/>
        </w:rPr>
        <w:t>Do výše sjednané služby Servis a údržba se nezapočítávají zejména následující položky, které si nájemce hradí sám, nebo které mu budou pronajímatelem přeúčtovány:</w:t>
      </w:r>
    </w:p>
    <w:p>
      <w:pPr>
        <w:pStyle w:val="Style9"/>
        <w:keepNext w:val="0"/>
        <w:keepLines w:val="0"/>
        <w:widowControl w:val="0"/>
        <w:numPr>
          <w:ilvl w:val="0"/>
          <w:numId w:val="33"/>
        </w:numPr>
        <w:shd w:val="clear" w:color="auto" w:fill="auto"/>
        <w:tabs>
          <w:tab w:pos="686" w:val="left"/>
        </w:tabs>
        <w:bidi w:val="0"/>
        <w:spacing w:before="0" w:after="0" w:line="240" w:lineRule="auto"/>
        <w:ind w:left="680" w:right="0" w:hanging="260"/>
        <w:jc w:val="both"/>
      </w:pPr>
      <w:r>
        <w:rPr>
          <w:rStyle w:val="CharStyle10"/>
        </w:rPr>
        <w:t>oprava a výměna náhradních dílů poškozených při dopravní nehodě, v důsledku nedbalosti, neoprávněného užívání nebo nedodržení návodů a doporučení výrobce (např. nedodržení plánu údržby a servisu, použití nevhodných pohonných hmot nebo nemrznoucí směsi, nedoplňování předepsané hladiny oleje a nemrznoucí směsi, syntetického roztoku močoviny (AdBlue), promeškání záruky a podobně); pokud jsou tyto položky kryty pojistkou, pronajímatel odečte nájemci od nákladů za opravu pojistné plnění, vyplacené pojišťovnou;</w:t>
      </w:r>
    </w:p>
    <w:p>
      <w:pPr>
        <w:pStyle w:val="Style9"/>
        <w:keepNext w:val="0"/>
        <w:keepLines w:val="0"/>
        <w:widowControl w:val="0"/>
        <w:numPr>
          <w:ilvl w:val="0"/>
          <w:numId w:val="33"/>
        </w:numPr>
        <w:shd w:val="clear" w:color="auto" w:fill="auto"/>
        <w:tabs>
          <w:tab w:pos="666" w:val="left"/>
        </w:tabs>
        <w:bidi w:val="0"/>
        <w:spacing w:before="0" w:after="0" w:line="240" w:lineRule="auto"/>
        <w:ind w:left="0" w:right="0" w:firstLine="400"/>
        <w:jc w:val="both"/>
      </w:pPr>
      <w:r>
        <w:rPr>
          <w:rStyle w:val="CharStyle10"/>
        </w:rPr>
        <w:t>při důvodném odmítnutí záruční opravy ze strany výrobce nebo dovozce pro porušení povinností nájemce;</w:t>
      </w:r>
    </w:p>
    <w:p>
      <w:pPr>
        <w:pStyle w:val="Style9"/>
        <w:keepNext w:val="0"/>
        <w:keepLines w:val="0"/>
        <w:widowControl w:val="0"/>
        <w:numPr>
          <w:ilvl w:val="0"/>
          <w:numId w:val="33"/>
        </w:numPr>
        <w:shd w:val="clear" w:color="auto" w:fill="auto"/>
        <w:tabs>
          <w:tab w:pos="666" w:val="left"/>
        </w:tabs>
        <w:bidi w:val="0"/>
        <w:spacing w:before="0" w:after="0" w:line="240" w:lineRule="auto"/>
        <w:ind w:left="0" w:right="0" w:firstLine="400"/>
        <w:jc w:val="both"/>
      </w:pPr>
      <w:r>
        <w:rPr>
          <w:rStyle w:val="CharStyle10"/>
        </w:rPr>
        <w:t>náklady na opravy dílů, které byly do předmětu leasingu namontovány dodatečně bez souhlasu pronajímatele;</w:t>
      </w:r>
    </w:p>
    <w:p>
      <w:pPr>
        <w:pStyle w:val="Style9"/>
        <w:keepNext w:val="0"/>
        <w:keepLines w:val="0"/>
        <w:widowControl w:val="0"/>
        <w:numPr>
          <w:ilvl w:val="0"/>
          <w:numId w:val="33"/>
        </w:numPr>
        <w:shd w:val="clear" w:color="auto" w:fill="auto"/>
        <w:tabs>
          <w:tab w:pos="670" w:val="left"/>
        </w:tabs>
        <w:bidi w:val="0"/>
        <w:spacing w:before="0" w:after="0" w:line="240" w:lineRule="auto"/>
        <w:ind w:left="0" w:right="0" w:firstLine="400"/>
        <w:jc w:val="both"/>
      </w:pPr>
      <w:r>
        <w:rPr>
          <w:rStyle w:val="CharStyle10"/>
        </w:rPr>
        <w:t>náklady, spojené se speciálními nátěry, nebo nalepením reklamních, firemních a rozpoznávacích označení;</w:t>
      </w:r>
    </w:p>
    <w:p>
      <w:pPr>
        <w:pStyle w:val="Style9"/>
        <w:keepNext w:val="0"/>
        <w:keepLines w:val="0"/>
        <w:widowControl w:val="0"/>
        <w:numPr>
          <w:ilvl w:val="0"/>
          <w:numId w:val="33"/>
        </w:numPr>
        <w:shd w:val="clear" w:color="auto" w:fill="auto"/>
        <w:tabs>
          <w:tab w:pos="670" w:val="left"/>
        </w:tabs>
        <w:bidi w:val="0"/>
        <w:spacing w:before="0" w:after="0" w:line="240" w:lineRule="auto"/>
        <w:ind w:left="0" w:right="0" w:firstLine="400"/>
        <w:jc w:val="both"/>
      </w:pPr>
      <w:r>
        <w:rPr>
          <w:rStyle w:val="CharStyle10"/>
        </w:rPr>
        <w:t>náklady, vzniklé nepřiměřeným nebo nadměrným užíváním předmětu leasingu;</w:t>
      </w:r>
    </w:p>
    <w:p>
      <w:pPr>
        <w:pStyle w:val="Style9"/>
        <w:keepNext w:val="0"/>
        <w:keepLines w:val="0"/>
        <w:widowControl w:val="0"/>
        <w:shd w:val="clear" w:color="auto" w:fill="auto"/>
        <w:bidi w:val="0"/>
        <w:spacing w:before="0" w:after="0" w:line="240" w:lineRule="auto"/>
        <w:ind w:left="0" w:right="0" w:firstLine="400"/>
        <w:jc w:val="both"/>
      </w:pPr>
      <w:r>
        <w:rPr>
          <w:rStyle w:val="CharStyle10"/>
        </w:rPr>
        <w:t>fj náklady, spojené se ztrátou klíčů nebo dálkového ovládání;</w:t>
      </w:r>
    </w:p>
    <w:p>
      <w:pPr>
        <w:pStyle w:val="Style9"/>
        <w:keepNext w:val="0"/>
        <w:keepLines w:val="0"/>
        <w:widowControl w:val="0"/>
        <w:numPr>
          <w:ilvl w:val="0"/>
          <w:numId w:val="35"/>
        </w:numPr>
        <w:shd w:val="clear" w:color="auto" w:fill="auto"/>
        <w:tabs>
          <w:tab w:pos="670" w:val="left"/>
        </w:tabs>
        <w:bidi w:val="0"/>
        <w:spacing w:before="0" w:after="0" w:line="240" w:lineRule="auto"/>
        <w:ind w:left="0" w:right="0" w:firstLine="400"/>
        <w:jc w:val="both"/>
      </w:pPr>
      <w:r>
        <w:rPr>
          <w:rStyle w:val="CharStyle10"/>
        </w:rPr>
        <w:t>náklady na výměnu světlometů nebo skel, pokud tyto nehradí pojišťovna;</w:t>
      </w:r>
    </w:p>
    <w:p>
      <w:pPr>
        <w:pStyle w:val="Style9"/>
        <w:keepNext w:val="0"/>
        <w:keepLines w:val="0"/>
        <w:widowControl w:val="0"/>
        <w:numPr>
          <w:ilvl w:val="0"/>
          <w:numId w:val="35"/>
        </w:numPr>
        <w:shd w:val="clear" w:color="auto" w:fill="auto"/>
        <w:tabs>
          <w:tab w:pos="666" w:val="left"/>
        </w:tabs>
        <w:bidi w:val="0"/>
        <w:spacing w:before="0" w:after="0" w:line="240" w:lineRule="auto"/>
        <w:ind w:left="0" w:right="0" w:firstLine="400"/>
        <w:jc w:val="both"/>
      </w:pPr>
      <w:r>
        <w:rPr>
          <w:rStyle w:val="CharStyle10"/>
        </w:rPr>
        <w:t>náklady na opravy, prováděné za speciální tarify nebo mimo běžnou pracovní dobu na žádost nájemce;</w:t>
      </w:r>
    </w:p>
    <w:p>
      <w:pPr>
        <w:pStyle w:val="Style9"/>
        <w:keepNext w:val="0"/>
        <w:keepLines w:val="0"/>
        <w:widowControl w:val="0"/>
        <w:numPr>
          <w:ilvl w:val="0"/>
          <w:numId w:val="35"/>
        </w:numPr>
        <w:shd w:val="clear" w:color="auto" w:fill="auto"/>
        <w:tabs>
          <w:tab w:pos="686" w:val="left"/>
        </w:tabs>
        <w:bidi w:val="0"/>
        <w:spacing w:before="0" w:after="0" w:line="240" w:lineRule="auto"/>
        <w:ind w:left="680" w:right="0" w:hanging="260"/>
        <w:jc w:val="both"/>
      </w:pPr>
      <w:r>
        <w:rPr>
          <w:rStyle w:val="CharStyle10"/>
        </w:rPr>
        <w:t>náklady na odtahovou službu, vzniklé v důsledku havárie, nedbalosti nebo neoprávněného užívání předmětu leasingu, pokud tyto nejsou kryty asistenční službou nebo pojišťovnou;</w:t>
      </w:r>
    </w:p>
    <w:p>
      <w:pPr>
        <w:pStyle w:val="Style9"/>
        <w:keepNext w:val="0"/>
        <w:keepLines w:val="0"/>
        <w:widowControl w:val="0"/>
        <w:numPr>
          <w:ilvl w:val="0"/>
          <w:numId w:val="35"/>
        </w:numPr>
        <w:shd w:val="clear" w:color="auto" w:fill="auto"/>
        <w:tabs>
          <w:tab w:pos="666" w:val="left"/>
        </w:tabs>
        <w:bidi w:val="0"/>
        <w:spacing w:before="0" w:after="0" w:line="240" w:lineRule="auto"/>
        <w:ind w:left="0" w:right="0" w:firstLine="400"/>
        <w:jc w:val="both"/>
      </w:pPr>
      <w:r>
        <w:rPr>
          <w:rStyle w:val="CharStyle10"/>
        </w:rPr>
        <w:t>mytí, voskování a úklid interiéru;</w:t>
      </w:r>
    </w:p>
    <w:p>
      <w:pPr>
        <w:pStyle w:val="Style9"/>
        <w:keepNext w:val="0"/>
        <w:keepLines w:val="0"/>
        <w:widowControl w:val="0"/>
        <w:numPr>
          <w:ilvl w:val="0"/>
          <w:numId w:val="35"/>
        </w:numPr>
        <w:shd w:val="clear" w:color="auto" w:fill="auto"/>
        <w:tabs>
          <w:tab w:pos="686" w:val="left"/>
        </w:tabs>
        <w:bidi w:val="0"/>
        <w:spacing w:before="0" w:line="240" w:lineRule="auto"/>
        <w:ind w:left="680" w:right="0" w:hanging="260"/>
        <w:jc w:val="both"/>
      </w:pPr>
      <w:r>
        <w:rPr>
          <w:rStyle w:val="CharStyle10"/>
        </w:rPr>
        <w:t>náklady, spojené se servisem, opravou a výměnou speciálních zařízení vestaveb a nástaveb, instalovaných se souhlasem pronajímatele.</w:t>
      </w:r>
    </w:p>
    <w:p>
      <w:pPr>
        <w:pStyle w:val="Style9"/>
        <w:keepNext w:val="0"/>
        <w:keepLines w:val="0"/>
        <w:widowControl w:val="0"/>
        <w:numPr>
          <w:ilvl w:val="0"/>
          <w:numId w:val="31"/>
        </w:numPr>
        <w:shd w:val="clear" w:color="auto" w:fill="auto"/>
        <w:tabs>
          <w:tab w:pos="327" w:val="left"/>
        </w:tabs>
        <w:bidi w:val="0"/>
        <w:spacing w:before="0" w:line="240" w:lineRule="auto"/>
        <w:ind w:left="400" w:right="0" w:hanging="400"/>
        <w:jc w:val="both"/>
        <w:sectPr>
          <w:footerReference w:type="default" r:id="rId13"/>
          <w:footerReference w:type="even" r:id="rId14"/>
          <w:footnotePr>
            <w:pos w:val="pageBottom"/>
            <w:numFmt w:val="decimal"/>
            <w:numRestart w:val="continuous"/>
          </w:footnotePr>
          <w:pgSz w:w="11900" w:h="16840"/>
          <w:pgMar w:top="1069" w:right="677" w:bottom="1697" w:left="1777" w:header="0" w:footer="3" w:gutter="0"/>
          <w:pgNumType w:start="1"/>
          <w:cols w:space="720"/>
          <w:noEndnote/>
          <w:rtlGutter w:val="0"/>
          <w:docGrid w:linePitch="360"/>
        </w:sectPr>
      </w:pPr>
      <w:r>
        <w:rPr>
          <w:rStyle w:val="CharStyle10"/>
        </w:rPr>
        <w:t>Pronajímatel je oprávněn po konzultaci s nájemcem odmítnout neekonomické opravy předmětu leasingu. V takovém případě je pronajímatel oprávněn Smlouvu vypovědět.</w:t>
      </w:r>
    </w:p>
    <w:p>
      <w:pPr>
        <w:pStyle w:val="Style9"/>
        <w:keepNext w:val="0"/>
        <w:keepLines w:val="0"/>
        <w:widowControl w:val="0"/>
        <w:numPr>
          <w:ilvl w:val="0"/>
          <w:numId w:val="31"/>
        </w:numPr>
        <w:shd w:val="clear" w:color="auto" w:fill="auto"/>
        <w:tabs>
          <w:tab w:pos="337" w:val="left"/>
        </w:tabs>
        <w:bidi w:val="0"/>
        <w:spacing w:before="0" w:line="240" w:lineRule="auto"/>
        <w:ind w:left="400" w:right="0" w:hanging="400"/>
        <w:jc w:val="both"/>
      </w:pPr>
      <w:r>
        <w:rPr>
          <w:rStyle w:val="CharStyle10"/>
        </w:rPr>
        <w:t>V případě, že služba Servis a údržba není Smlouvou sjednána, je nájemce po dobu trvání smluvního vztahu povinen zajistit servis a údržbu předmětu leasingu v závislosti na plánu údržby, předepsaném výrobcem, ujetých kilometrech, staří vozidla a jeho opotřebení, to vše na vlastní náklady, a to výlučně u smluvního servisního partnera uvedeného v Driver setu. Nájemce prohlašuje, že s plánem údržby a servisu dle výše uvedených požadavků byl seznámen, a to zejména formou servisní knížky a příručky pro řidiče.</w:t>
      </w:r>
    </w:p>
    <w:p>
      <w:pPr>
        <w:pStyle w:val="Style9"/>
        <w:keepNext w:val="0"/>
        <w:keepLines w:val="0"/>
        <w:widowControl w:val="0"/>
        <w:numPr>
          <w:ilvl w:val="0"/>
          <w:numId w:val="31"/>
        </w:numPr>
        <w:shd w:val="clear" w:color="auto" w:fill="auto"/>
        <w:tabs>
          <w:tab w:pos="337" w:val="left"/>
        </w:tabs>
        <w:bidi w:val="0"/>
        <w:spacing w:before="0" w:after="360" w:line="240" w:lineRule="auto"/>
        <w:ind w:left="400" w:right="0" w:hanging="400"/>
        <w:jc w:val="both"/>
      </w:pPr>
      <w:r>
        <w:rPr>
          <w:rStyle w:val="CharStyle10"/>
        </w:rPr>
        <w:t>V zahraničí se provádějí pouze neodkladné opravy závad znemožňujících řidiči pokračovat v jízdě nebo závad, u kterých hrozí zvětšeni rozsahu škody v případě, že nebudou okamžitě odstraněny. Pokud je ve Smlouvě sjednána asistenční služba s platností v zahraničí, postupuje nájemce dle instrukcí pronajímatele. V opačném případě je však nájemce také povinen neprodleně kontaktovat pronajímatele. Ten, pokud je to možné, zajistí bezhotovostní úhradu opravy prostřednictvím partnerské zahraniční společnosti. V zemích, kde úhrada prostřednictvím takovéto společnosti není možná, uhradí nájemce náklady sám a zajistí, aby faktury za opravy byly vystaveny na pronajímatele.</w:t>
      </w:r>
    </w:p>
    <w:p>
      <w:pPr>
        <w:pStyle w:val="Style21"/>
        <w:keepNext/>
        <w:keepLines/>
        <w:widowControl w:val="0"/>
        <w:numPr>
          <w:ilvl w:val="0"/>
          <w:numId w:val="9"/>
        </w:numPr>
        <w:shd w:val="clear" w:color="auto" w:fill="auto"/>
        <w:tabs>
          <w:tab w:pos="337" w:val="left"/>
        </w:tabs>
        <w:bidi w:val="0"/>
        <w:spacing w:before="0" w:line="240" w:lineRule="auto"/>
        <w:ind w:left="0" w:right="0" w:firstLine="0"/>
        <w:jc w:val="center"/>
      </w:pPr>
      <w:bookmarkStart w:id="39" w:name="bookmark39"/>
      <w:r>
        <w:rPr>
          <w:rStyle w:val="CharStyle22"/>
          <w:b/>
          <w:bCs/>
        </w:rPr>
        <w:t>Pneuservis</w:t>
      </w:r>
      <w:bookmarkEnd w:id="39"/>
    </w:p>
    <w:p>
      <w:pPr>
        <w:pStyle w:val="Style9"/>
        <w:keepNext w:val="0"/>
        <w:keepLines w:val="0"/>
        <w:widowControl w:val="0"/>
        <w:numPr>
          <w:ilvl w:val="0"/>
          <w:numId w:val="37"/>
        </w:numPr>
        <w:shd w:val="clear" w:color="auto" w:fill="auto"/>
        <w:tabs>
          <w:tab w:pos="337" w:val="left"/>
        </w:tabs>
        <w:bidi w:val="0"/>
        <w:spacing w:before="0" w:line="252" w:lineRule="auto"/>
        <w:ind w:left="400" w:right="0" w:hanging="400"/>
        <w:jc w:val="both"/>
      </w:pPr>
      <w:r>
        <w:rPr>
          <w:rStyle w:val="CharStyle10"/>
        </w:rPr>
        <w:t>Pokud je ve Smlouvě sjednána služba Pneuservis, je Nájemce oprávněn si zajistit pneumatiky a ráfky v počtu a za podmínek sjednaných ve Smlouvě, na náklady pronajímatele a to výlučně u smluvního servisního partnera uvedeného v Driver setu</w:t>
      </w:r>
    </w:p>
    <w:p>
      <w:pPr>
        <w:pStyle w:val="Style9"/>
        <w:keepNext w:val="0"/>
        <w:keepLines w:val="0"/>
        <w:widowControl w:val="0"/>
        <w:numPr>
          <w:ilvl w:val="0"/>
          <w:numId w:val="37"/>
        </w:numPr>
        <w:shd w:val="clear" w:color="auto" w:fill="auto"/>
        <w:tabs>
          <w:tab w:pos="337" w:val="left"/>
        </w:tabs>
        <w:bidi w:val="0"/>
        <w:spacing w:before="0" w:line="240" w:lineRule="auto"/>
        <w:ind w:left="400" w:right="0" w:hanging="400"/>
        <w:jc w:val="both"/>
      </w:pPr>
      <w:r>
        <w:rPr>
          <w:rStyle w:val="CharStyle10"/>
        </w:rPr>
        <w:t>Součástí služby Pneuservis jsou dvě kompletní výměny kol ročně po dobu trvání smluvního vztahu a dále jedno přezutí a vyvážení ke každé nové sadě pneumatik.</w:t>
      </w:r>
    </w:p>
    <w:p>
      <w:pPr>
        <w:pStyle w:val="Style9"/>
        <w:keepNext w:val="0"/>
        <w:keepLines w:val="0"/>
        <w:widowControl w:val="0"/>
        <w:numPr>
          <w:ilvl w:val="0"/>
          <w:numId w:val="37"/>
        </w:numPr>
        <w:shd w:val="clear" w:color="auto" w:fill="auto"/>
        <w:tabs>
          <w:tab w:pos="337" w:val="left"/>
        </w:tabs>
        <w:bidi w:val="0"/>
        <w:spacing w:before="0" w:line="252" w:lineRule="auto"/>
        <w:ind w:left="400" w:right="0" w:hanging="400"/>
        <w:jc w:val="both"/>
      </w:pPr>
      <w:r>
        <w:rPr>
          <w:rStyle w:val="CharStyle10"/>
        </w:rPr>
        <w:t>Veškeré práce, související s výměnou, přezutím, vyvážením atd. je nájemce povinen nechat provést u smluvního servisního partnera uvedeného v Driver setu.</w:t>
      </w:r>
    </w:p>
    <w:p>
      <w:pPr>
        <w:pStyle w:val="Style9"/>
        <w:keepNext w:val="0"/>
        <w:keepLines w:val="0"/>
        <w:widowControl w:val="0"/>
        <w:numPr>
          <w:ilvl w:val="0"/>
          <w:numId w:val="37"/>
        </w:numPr>
        <w:shd w:val="clear" w:color="auto" w:fill="auto"/>
        <w:tabs>
          <w:tab w:pos="337" w:val="left"/>
        </w:tabs>
        <w:bidi w:val="0"/>
        <w:spacing w:before="0" w:line="240" w:lineRule="auto"/>
        <w:ind w:left="0" w:right="0" w:firstLine="0"/>
        <w:jc w:val="both"/>
      </w:pPr>
      <w:r>
        <w:rPr>
          <w:rStyle w:val="CharStyle10"/>
        </w:rPr>
        <w:t>Smlouvou může být sjednána možnost uskladnění pneumatik v prostorách pronajímatele, nebo jeho servisního partnera.</w:t>
      </w:r>
    </w:p>
    <w:p>
      <w:pPr>
        <w:pStyle w:val="Style9"/>
        <w:keepNext w:val="0"/>
        <w:keepLines w:val="0"/>
        <w:widowControl w:val="0"/>
        <w:numPr>
          <w:ilvl w:val="0"/>
          <w:numId w:val="37"/>
        </w:numPr>
        <w:shd w:val="clear" w:color="auto" w:fill="auto"/>
        <w:tabs>
          <w:tab w:pos="337" w:val="left"/>
        </w:tabs>
        <w:bidi w:val="0"/>
        <w:spacing w:before="0" w:line="240" w:lineRule="auto"/>
        <w:ind w:left="400" w:right="0" w:hanging="400"/>
        <w:jc w:val="both"/>
      </w:pPr>
      <w:r>
        <w:rPr>
          <w:rStyle w:val="CharStyle10"/>
        </w:rPr>
        <w:t>■ Pronajímatel nenese odpovědnost za vady pneumatik a ráfků. Nájemce je povinen uplatnit práva ze záruky u toho, kdo mu vadné pneumatiky nebo ráfky prodal.</w:t>
      </w:r>
    </w:p>
    <w:p>
      <w:pPr>
        <w:pStyle w:val="Style9"/>
        <w:keepNext w:val="0"/>
        <w:keepLines w:val="0"/>
        <w:widowControl w:val="0"/>
        <w:numPr>
          <w:ilvl w:val="0"/>
          <w:numId w:val="37"/>
        </w:numPr>
        <w:shd w:val="clear" w:color="auto" w:fill="auto"/>
        <w:tabs>
          <w:tab w:pos="337" w:val="left"/>
        </w:tabs>
        <w:bidi w:val="0"/>
        <w:spacing w:before="0" w:after="180" w:line="240" w:lineRule="auto"/>
        <w:ind w:left="400" w:right="0" w:hanging="400"/>
        <w:jc w:val="both"/>
      </w:pPr>
      <w:r>
        <w:rPr>
          <w:rStyle w:val="CharStyle10"/>
        </w:rPr>
        <w:t>Pokud ve Smlouvě není sjednána služba Pneuservis, je nájemce povinen používat ráfky a pneumatiky odpovídající technickým parametrům uvedeným v Technickém průkazu vozidla.</w:t>
      </w:r>
    </w:p>
    <w:p>
      <w:pPr>
        <w:pStyle w:val="Style21"/>
        <w:keepNext/>
        <w:keepLines/>
        <w:widowControl w:val="0"/>
        <w:numPr>
          <w:ilvl w:val="0"/>
          <w:numId w:val="9"/>
        </w:numPr>
        <w:shd w:val="clear" w:color="auto" w:fill="auto"/>
        <w:tabs>
          <w:tab w:pos="337" w:val="left"/>
        </w:tabs>
        <w:bidi w:val="0"/>
        <w:spacing w:before="0" w:line="240" w:lineRule="auto"/>
        <w:ind w:left="0" w:right="0" w:firstLine="0"/>
        <w:jc w:val="center"/>
      </w:pPr>
      <w:bookmarkStart w:id="41" w:name="bookmark41"/>
      <w:r>
        <w:rPr>
          <w:rStyle w:val="CharStyle22"/>
          <w:b/>
          <w:bCs/>
        </w:rPr>
        <w:t>Pick-up</w:t>
      </w:r>
      <w:bookmarkEnd w:id="41"/>
    </w:p>
    <w:p>
      <w:pPr>
        <w:pStyle w:val="Style9"/>
        <w:keepNext w:val="0"/>
        <w:keepLines w:val="0"/>
        <w:widowControl w:val="0"/>
        <w:numPr>
          <w:ilvl w:val="0"/>
          <w:numId w:val="39"/>
        </w:numPr>
        <w:shd w:val="clear" w:color="auto" w:fill="auto"/>
        <w:tabs>
          <w:tab w:pos="337" w:val="left"/>
        </w:tabs>
        <w:bidi w:val="0"/>
        <w:spacing w:before="0" w:line="240" w:lineRule="auto"/>
        <w:ind w:left="400" w:right="0" w:hanging="400"/>
        <w:jc w:val="both"/>
      </w:pPr>
      <w:r>
        <w:rPr>
          <w:rStyle w:val="CharStyle10"/>
        </w:rPr>
        <w:t>Pokud je ve Smlouvě sjednána služba Pick-up, Je pronajímatel povinen zajistit vyzvednutí předmětu leasingu na adrese nájemce za účelem provedení pravidelného servisu a údržby v závislosti na plánu údržby, předepsaném výrobcem, ujetých kilometrech, staří vozidla a jeho opotřebení, a jeho následné přistavení na adresu nájemce.</w:t>
      </w:r>
    </w:p>
    <w:p>
      <w:pPr>
        <w:pStyle w:val="Style9"/>
        <w:keepNext w:val="0"/>
        <w:keepLines w:val="0"/>
        <w:widowControl w:val="0"/>
        <w:numPr>
          <w:ilvl w:val="0"/>
          <w:numId w:val="39"/>
        </w:numPr>
        <w:shd w:val="clear" w:color="auto" w:fill="auto"/>
        <w:tabs>
          <w:tab w:pos="337" w:val="left"/>
        </w:tabs>
        <w:bidi w:val="0"/>
        <w:spacing w:before="0" w:after="360" w:line="240" w:lineRule="auto"/>
        <w:ind w:left="0" w:right="0" w:firstLine="0"/>
        <w:jc w:val="both"/>
      </w:pPr>
      <w:r>
        <w:rPr>
          <w:rStyle w:val="CharStyle10"/>
        </w:rPr>
        <w:t>Rozsah služby Pick-up může být ve Smlouvě upraven.</w:t>
      </w:r>
    </w:p>
    <w:p>
      <w:pPr>
        <w:pStyle w:val="Style21"/>
        <w:keepNext/>
        <w:keepLines/>
        <w:widowControl w:val="0"/>
        <w:numPr>
          <w:ilvl w:val="0"/>
          <w:numId w:val="9"/>
        </w:numPr>
        <w:shd w:val="clear" w:color="auto" w:fill="auto"/>
        <w:tabs>
          <w:tab w:pos="337" w:val="left"/>
        </w:tabs>
        <w:bidi w:val="0"/>
        <w:spacing w:before="0" w:after="220" w:line="240" w:lineRule="auto"/>
        <w:ind w:left="0" w:right="0" w:firstLine="0"/>
        <w:jc w:val="center"/>
      </w:pPr>
      <w:bookmarkStart w:id="43" w:name="bookmark43"/>
      <w:r>
        <w:rPr>
          <w:rStyle w:val="CharStyle22"/>
          <w:b/>
          <w:bCs/>
        </w:rPr>
        <w:t>Náhradní vozidlo</w:t>
      </w:r>
      <w:bookmarkEnd w:id="43"/>
    </w:p>
    <w:p>
      <w:pPr>
        <w:pStyle w:val="Style9"/>
        <w:keepNext w:val="0"/>
        <w:keepLines w:val="0"/>
        <w:widowControl w:val="0"/>
        <w:numPr>
          <w:ilvl w:val="0"/>
          <w:numId w:val="41"/>
        </w:numPr>
        <w:shd w:val="clear" w:color="auto" w:fill="auto"/>
        <w:tabs>
          <w:tab w:pos="337" w:val="left"/>
        </w:tabs>
        <w:bidi w:val="0"/>
        <w:spacing w:before="0" w:after="40" w:line="240" w:lineRule="auto"/>
        <w:ind w:left="400" w:right="0" w:hanging="400"/>
        <w:jc w:val="both"/>
      </w:pPr>
      <w:r>
        <w:rPr>
          <w:rStyle w:val="CharStyle10"/>
        </w:rPr>
        <w:t>Pokud je ve Smlouvě sjednána služba Náhradní vozidlo, je nájemce oprávněn požadovat a pronajímatel povinen zajistit náhradní vozidlo, a to v případě poruchy, opravy nebo údržby. Náhradní vozidlo bude nájemci poskytnuto za podmínek sjednaných ve Smlouvě, pokud jde o kategorii náhradního vozu a dobu jeho užívání.</w:t>
      </w:r>
    </w:p>
    <w:p>
      <w:pPr>
        <w:pStyle w:val="Style9"/>
        <w:keepNext w:val="0"/>
        <w:keepLines w:val="0"/>
        <w:widowControl w:val="0"/>
        <w:numPr>
          <w:ilvl w:val="0"/>
          <w:numId w:val="41"/>
        </w:numPr>
        <w:shd w:val="clear" w:color="auto" w:fill="auto"/>
        <w:tabs>
          <w:tab w:pos="337" w:val="left"/>
        </w:tabs>
        <w:bidi w:val="0"/>
        <w:spacing w:before="0" w:line="240" w:lineRule="auto"/>
        <w:ind w:left="400" w:right="0" w:hanging="400"/>
        <w:jc w:val="both"/>
      </w:pPr>
      <w:r>
        <w:rPr>
          <w:rStyle w:val="CharStyle10"/>
        </w:rPr>
        <w:t>Služba Náhradní vozidlo se nevztahuje na případy, kdy došlo k poškození či zničení předmětu leasingu a nájemce nedodal veškeré podklady potřebné pro likvidaci případné pojistné událostí (pojistné hlášení, protokol od policie) nebo pokud došlo k odcizení předmětu leasingu. V případě, že byla konstatována totální škoda a vůz byl vyřazen z evidence, nárok na náhradní vozidlo zaniká.</w:t>
      </w:r>
    </w:p>
    <w:p>
      <w:pPr>
        <w:pStyle w:val="Style9"/>
        <w:keepNext w:val="0"/>
        <w:keepLines w:val="0"/>
        <w:widowControl w:val="0"/>
        <w:numPr>
          <w:ilvl w:val="0"/>
          <w:numId w:val="41"/>
        </w:numPr>
        <w:shd w:val="clear" w:color="auto" w:fill="auto"/>
        <w:tabs>
          <w:tab w:pos="337" w:val="left"/>
        </w:tabs>
        <w:bidi w:val="0"/>
        <w:spacing w:before="0" w:after="280" w:line="240" w:lineRule="auto"/>
        <w:ind w:left="400" w:right="0" w:hanging="400"/>
        <w:jc w:val="both"/>
      </w:pPr>
      <w:r>
        <w:rPr>
          <w:rStyle w:val="CharStyle10"/>
        </w:rPr>
        <w:t>Nájemce je povinen vrátit náhradní vozidlo v místě a čase určeném pronajimatelem, příp. uvedeném v nájemní smlouvě, a to v čistém stavu a se stavem paliva shodným se stavem v době zapůjčení. Případné náklady spojené s vrácením náhradního vozidla a jeho uvedením do požadovaného stavu, budou nájemci přefakturovány. Pokud důvod k užívání náhradního vozidla přetrvává, kontaktuje nájemce pronajímatele, který zajistí prodloužení doby užívání vozidla.</w:t>
      </w:r>
    </w:p>
    <w:p>
      <w:pPr>
        <w:pStyle w:val="Style21"/>
        <w:keepNext/>
        <w:keepLines/>
        <w:widowControl w:val="0"/>
        <w:numPr>
          <w:ilvl w:val="0"/>
          <w:numId w:val="9"/>
        </w:numPr>
        <w:shd w:val="clear" w:color="auto" w:fill="auto"/>
        <w:tabs>
          <w:tab w:pos="342" w:val="left"/>
        </w:tabs>
        <w:bidi w:val="0"/>
        <w:spacing w:before="0" w:line="240" w:lineRule="auto"/>
        <w:ind w:left="0" w:right="0" w:firstLine="0"/>
        <w:jc w:val="center"/>
      </w:pPr>
      <w:bookmarkStart w:id="45" w:name="bookmark45"/>
      <w:r>
        <w:rPr>
          <w:rStyle w:val="CharStyle22"/>
          <w:b/>
          <w:bCs/>
        </w:rPr>
        <w:t>Pohonné hmoty</w:t>
      </w:r>
      <w:bookmarkEnd w:id="45"/>
    </w:p>
    <w:p>
      <w:pPr>
        <w:pStyle w:val="Style9"/>
        <w:keepNext w:val="0"/>
        <w:keepLines w:val="0"/>
        <w:widowControl w:val="0"/>
        <w:numPr>
          <w:ilvl w:val="0"/>
          <w:numId w:val="43"/>
        </w:numPr>
        <w:shd w:val="clear" w:color="auto" w:fill="auto"/>
        <w:tabs>
          <w:tab w:pos="337" w:val="left"/>
        </w:tabs>
        <w:bidi w:val="0"/>
        <w:spacing w:before="0" w:line="240" w:lineRule="auto"/>
        <w:ind w:left="400" w:right="0" w:hanging="400"/>
        <w:jc w:val="both"/>
      </w:pPr>
      <w:r>
        <w:rPr>
          <w:rStyle w:val="CharStyle10"/>
        </w:rPr>
        <w:t>Pokud je ve Smlouvě sjednána služba „Pohonné hmoty" a pronajímatel vlastním jménem na účet nájemce obstarává pro nájemce nákup pohonných hmot prostřednictvím příslušných smluv, které pronajímatel uzavře s vydavateli tankovacích karet, je nájemce oprávněn požadovat a pronajímatel povinen zajistit za nájemce hrazení nákladů na pohonné hmoty čerpané za účelem provozu předmětu leasingu příslušnému vydavateli tankovací karty.</w:t>
      </w:r>
    </w:p>
    <w:p>
      <w:pPr>
        <w:pStyle w:val="Style9"/>
        <w:keepNext w:val="0"/>
        <w:keepLines w:val="0"/>
        <w:widowControl w:val="0"/>
        <w:numPr>
          <w:ilvl w:val="0"/>
          <w:numId w:val="43"/>
        </w:numPr>
        <w:shd w:val="clear" w:color="auto" w:fill="auto"/>
        <w:tabs>
          <w:tab w:pos="337" w:val="left"/>
        </w:tabs>
        <w:bidi w:val="0"/>
        <w:spacing w:before="0" w:line="240" w:lineRule="auto"/>
        <w:ind w:left="400" w:right="0" w:hanging="400"/>
        <w:jc w:val="both"/>
      </w:pPr>
      <w:r>
        <w:rPr>
          <w:rStyle w:val="CharStyle10"/>
        </w:rPr>
        <w:t>Nájemce se zavazuje, že informaci o bezpečnostním kódu PIN sdělí jen tomu, kdo je oprávněn kartu používat. Nájemce je odpovědný za jakékoliv zneužití kódu PIN. Karta je majetkem vydavatele karty a v okamžiku, kdy již nesmí být použita, především po ukončení Smlouvy nebo po skončení platnosti karty, musí být vrácena pronajímateli. Dále se nájemce zavazuje zajistit, aby se karta nedostala do rukou neoprávněné osoby, např. neponechat kartu v nestřeženém vozidle. Nájemce odpovídá za všechny pohledávky (škody), které vzniknou používáním karty, a za případné škody vzniklé v důsledku zneužití, ztráty či zfalšování karty.</w:t>
      </w:r>
    </w:p>
    <w:p>
      <w:pPr>
        <w:pStyle w:val="Style9"/>
        <w:keepNext w:val="0"/>
        <w:keepLines w:val="0"/>
        <w:widowControl w:val="0"/>
        <w:numPr>
          <w:ilvl w:val="0"/>
          <w:numId w:val="43"/>
        </w:numPr>
        <w:shd w:val="clear" w:color="auto" w:fill="auto"/>
        <w:tabs>
          <w:tab w:pos="337" w:val="left"/>
        </w:tabs>
        <w:bidi w:val="0"/>
        <w:spacing w:before="0" w:line="240" w:lineRule="auto"/>
        <w:ind w:left="400" w:right="0" w:hanging="400"/>
        <w:jc w:val="both"/>
      </w:pPr>
      <w:r>
        <w:rPr>
          <w:rStyle w:val="CharStyle10"/>
        </w:rPr>
        <w:t>V případě ztráty či odcizení karty nebo vyzrazení kódu PIN je nájemce povinen neprodleně tuto skutečnost oznámit společnosti, která kartu vydala, a pronajímateli. Společnost, která kartu vydala, ji zablokuje pro další použití a v rámci technických možností neprodleně vydá kartu novou. Náklady spojené s blokací, ztrátou PIN kódu a vydáním nové karty hradí nájemce.</w:t>
      </w:r>
    </w:p>
    <w:p>
      <w:pPr>
        <w:pStyle w:val="Style9"/>
        <w:keepNext w:val="0"/>
        <w:keepLines w:val="0"/>
        <w:widowControl w:val="0"/>
        <w:numPr>
          <w:ilvl w:val="0"/>
          <w:numId w:val="43"/>
        </w:numPr>
        <w:shd w:val="clear" w:color="auto" w:fill="auto"/>
        <w:tabs>
          <w:tab w:pos="337" w:val="left"/>
        </w:tabs>
        <w:bidi w:val="0"/>
        <w:spacing w:before="0" w:line="240" w:lineRule="auto"/>
        <w:ind w:left="0" w:right="0" w:firstLine="0"/>
        <w:jc w:val="both"/>
      </w:pPr>
      <w:r>
        <w:rPr>
          <w:rStyle w:val="CharStyle10"/>
        </w:rPr>
        <w:t>Z důvodu kontroly stavu najetých kilometrů je nájemce povinen zaznamenávat při odběru skutečný stav tachometru</w:t>
      </w:r>
    </w:p>
    <w:p>
      <w:pPr>
        <w:pStyle w:val="Style21"/>
        <w:keepNext/>
        <w:keepLines/>
        <w:widowControl w:val="0"/>
        <w:numPr>
          <w:ilvl w:val="0"/>
          <w:numId w:val="9"/>
        </w:numPr>
        <w:shd w:val="clear" w:color="auto" w:fill="auto"/>
        <w:tabs>
          <w:tab w:pos="342" w:val="left"/>
        </w:tabs>
        <w:bidi w:val="0"/>
        <w:spacing w:before="0" w:after="220" w:line="240" w:lineRule="auto"/>
        <w:ind w:left="0" w:right="0" w:firstLine="0"/>
        <w:jc w:val="center"/>
      </w:pPr>
      <w:bookmarkStart w:id="47" w:name="bookmark47"/>
      <w:r>
        <w:rPr>
          <w:rStyle w:val="CharStyle22"/>
          <w:b/>
          <w:bCs/>
        </w:rPr>
        <w:t>Pojištění</w:t>
      </w:r>
      <w:bookmarkEnd w:id="47"/>
    </w:p>
    <w:p>
      <w:pPr>
        <w:pStyle w:val="Style9"/>
        <w:keepNext w:val="0"/>
        <w:keepLines w:val="0"/>
        <w:widowControl w:val="0"/>
        <w:numPr>
          <w:ilvl w:val="0"/>
          <w:numId w:val="45"/>
        </w:numPr>
        <w:shd w:val="clear" w:color="auto" w:fill="auto"/>
        <w:tabs>
          <w:tab w:pos="365" w:val="left"/>
        </w:tabs>
        <w:bidi w:val="0"/>
        <w:spacing w:before="0" w:line="257" w:lineRule="auto"/>
        <w:ind w:left="420" w:right="0" w:hanging="420"/>
        <w:jc w:val="both"/>
      </w:pPr>
      <w:r>
        <w:rPr>
          <w:rStyle w:val="CharStyle10"/>
        </w:rPr>
        <w:t>Havarijní pojištění a pojištění odpovědnosti za škodu způsobenou provozem vozidla (tzv. povinné ručení) vztahující se k předmětu leasingu sjednává vždy pronajímatel.</w:t>
      </w:r>
    </w:p>
    <w:p>
      <w:pPr>
        <w:pStyle w:val="Style9"/>
        <w:keepNext w:val="0"/>
        <w:keepLines w:val="0"/>
        <w:widowControl w:val="0"/>
        <w:numPr>
          <w:ilvl w:val="0"/>
          <w:numId w:val="45"/>
        </w:numPr>
        <w:shd w:val="clear" w:color="auto" w:fill="auto"/>
        <w:tabs>
          <w:tab w:pos="365" w:val="left"/>
        </w:tabs>
        <w:bidi w:val="0"/>
        <w:spacing w:before="0" w:line="283" w:lineRule="auto"/>
        <w:ind w:left="420" w:right="0" w:hanging="420"/>
        <w:jc w:val="both"/>
      </w:pPr>
      <w:r>
        <w:rPr>
          <w:rStyle w:val="CharStyle10"/>
        </w:rPr>
        <w:t>V případě vzniku škody na předmětu leasingu nebo vzniku škody na straně třetí osoby způsobené provozem předmětu leasingu je nájemce povinen okamžitě informovat pronajímatele, sdělit mu předpokládaný rozsah škody a řídit se pojistnými podmínkami a informacemi pojišťovny a pronajímatele o postupu při likvidací škody, příp. dalšími pokyny pronajímatele. V případě dopravní nehody je nájemce povinen vždy současně zajistit její vyšetření Policií ČR či příslušnou státní policií, došlo-li k dopravní nehodě v zahraničí, vyplnit formulář Hlášení škodní události a poskytnout orgánům vyšetřujícím dopravní nehodu veškerou nezbytnou součinnost. V případě nedostatečné součinnosti policie nebo jiných nejasností je nájemce povinen kontaktovat pronajimatele (jeho technicko-servisní službu). Dojde-li k odcizení předmětu leasingu, postupuje nájemce vůči policii obdobně. Řádně vyplněný formulář Hlášení škodní události je nájemce povinen nejpozději do 3 pracovních dnů od vzniku pojistné události zaslat pronajímateli. Vedení škodního řízení s pojišťovnou a protistranou při pojistné události je povinností pronajímatele, není-li ve Smlouvě stanoveno jinak. Pokud je škoda hrazena z havarijního pojištění, platí nájemce vždy spoluúčast ve výši uvedené ve Smlouvě, přičemž v případě totální škody předmětu leasingu se výše spoluúčasti vypočte z pojistného plnění vyplaceného pojišťovnou vč. hodnoty vraku. Pokud pojišťovna odmítne uhradit škodu či její jakoukoliv část vzniklou pronajímateli, a/nebo pokud pojistné plnění vyplacené pojišťovnou nepokryje v plné výši škodu vzniklou pronajímateli, uhradí tuto škodu nájemce.</w:t>
      </w:r>
    </w:p>
    <w:p>
      <w:pPr>
        <w:pStyle w:val="Style9"/>
        <w:keepNext w:val="0"/>
        <w:keepLines w:val="0"/>
        <w:widowControl w:val="0"/>
        <w:numPr>
          <w:ilvl w:val="0"/>
          <w:numId w:val="45"/>
        </w:numPr>
        <w:shd w:val="clear" w:color="auto" w:fill="auto"/>
        <w:tabs>
          <w:tab w:pos="365" w:val="left"/>
        </w:tabs>
        <w:bidi w:val="0"/>
        <w:spacing w:before="0" w:after="340" w:line="240" w:lineRule="auto"/>
        <w:ind w:left="0" w:right="0" w:firstLine="0"/>
        <w:jc w:val="both"/>
      </w:pPr>
      <w:r>
        <w:rPr>
          <w:rStyle w:val="CharStyle10"/>
        </w:rPr>
        <w:t>Pojistné podmínky jsou dostupné na internetových stránkách pronajímatele.</w:t>
      </w:r>
    </w:p>
    <w:p>
      <w:pPr>
        <w:pStyle w:val="Style21"/>
        <w:keepNext/>
        <w:keepLines/>
        <w:widowControl w:val="0"/>
        <w:numPr>
          <w:ilvl w:val="0"/>
          <w:numId w:val="9"/>
        </w:numPr>
        <w:shd w:val="clear" w:color="auto" w:fill="auto"/>
        <w:tabs>
          <w:tab w:pos="334" w:val="left"/>
        </w:tabs>
        <w:bidi w:val="0"/>
        <w:spacing w:before="0" w:after="280" w:line="240" w:lineRule="auto"/>
        <w:ind w:left="0" w:right="0" w:firstLine="0"/>
        <w:jc w:val="center"/>
      </w:pPr>
      <w:bookmarkStart w:id="49" w:name="bookmark49"/>
      <w:r>
        <w:rPr>
          <w:rStyle w:val="CharStyle22"/>
          <w:b/>
          <w:bCs/>
        </w:rPr>
        <w:t>Asistenční služba</w:t>
      </w:r>
      <w:bookmarkEnd w:id="49"/>
    </w:p>
    <w:p>
      <w:pPr>
        <w:pStyle w:val="Style9"/>
        <w:keepNext w:val="0"/>
        <w:keepLines w:val="0"/>
        <w:widowControl w:val="0"/>
        <w:numPr>
          <w:ilvl w:val="0"/>
          <w:numId w:val="47"/>
        </w:numPr>
        <w:shd w:val="clear" w:color="auto" w:fill="auto"/>
        <w:tabs>
          <w:tab w:pos="365" w:val="left"/>
        </w:tabs>
        <w:bidi w:val="0"/>
        <w:spacing w:before="0" w:line="240" w:lineRule="auto"/>
        <w:ind w:left="420" w:right="0" w:hanging="420"/>
        <w:jc w:val="both"/>
      </w:pPr>
      <w:r>
        <w:rPr>
          <w:rStyle w:val="CharStyle10"/>
        </w:rPr>
        <w:t>Pokud je ve Smlouvě sjednána „Asistenční služba“, je nájemce oprávněn požadovat a pronajímatel povinen zajistit tuto službu v ČR, příp. ve všech zemích Evropy, je-li tak sjednáno ve Smlouvě.</w:t>
      </w:r>
    </w:p>
    <w:p>
      <w:pPr>
        <w:pStyle w:val="Style9"/>
        <w:keepNext w:val="0"/>
        <w:keepLines w:val="0"/>
        <w:widowControl w:val="0"/>
        <w:numPr>
          <w:ilvl w:val="0"/>
          <w:numId w:val="47"/>
        </w:numPr>
        <w:shd w:val="clear" w:color="auto" w:fill="auto"/>
        <w:tabs>
          <w:tab w:pos="365" w:val="left"/>
        </w:tabs>
        <w:bidi w:val="0"/>
        <w:spacing w:before="0" w:line="240" w:lineRule="auto"/>
        <w:ind w:left="420" w:right="0" w:hanging="420"/>
        <w:jc w:val="both"/>
      </w:pPr>
      <w:r>
        <w:rPr>
          <w:rStyle w:val="CharStyle10"/>
        </w:rPr>
        <w:t>V případě použiti této služby je nájemce povinen postupovat dle instrukcí uvedených v informačních materiálech k této službě, příp. dle instrukcí pronajímatele</w:t>
      </w:r>
    </w:p>
    <w:p>
      <w:pPr>
        <w:pStyle w:val="Style9"/>
        <w:keepNext w:val="0"/>
        <w:keepLines w:val="0"/>
        <w:widowControl w:val="0"/>
        <w:numPr>
          <w:ilvl w:val="0"/>
          <w:numId w:val="47"/>
        </w:numPr>
        <w:shd w:val="clear" w:color="auto" w:fill="auto"/>
        <w:tabs>
          <w:tab w:pos="365" w:val="left"/>
        </w:tabs>
        <w:bidi w:val="0"/>
        <w:spacing w:before="0" w:line="240" w:lineRule="auto"/>
        <w:ind w:left="420" w:right="0" w:hanging="420"/>
        <w:jc w:val="both"/>
      </w:pPr>
      <w:r>
        <w:rPr>
          <w:rStyle w:val="CharStyle10"/>
        </w:rPr>
        <w:t>V případě nesplnění povinností dle odst. 12.2. těchto obchodních podmínek (tj. v případě porušení postupu při použití této služby nebo nepředložení příslušných dokladů) je nájemce povinen uhradit náklady spojené s asistenční službou sám.</w:t>
      </w:r>
    </w:p>
    <w:p>
      <w:pPr>
        <w:pStyle w:val="Style9"/>
        <w:keepNext w:val="0"/>
        <w:keepLines w:val="0"/>
        <w:widowControl w:val="0"/>
        <w:numPr>
          <w:ilvl w:val="0"/>
          <w:numId w:val="47"/>
        </w:numPr>
        <w:shd w:val="clear" w:color="auto" w:fill="auto"/>
        <w:tabs>
          <w:tab w:pos="365" w:val="left"/>
        </w:tabs>
        <w:bidi w:val="0"/>
        <w:spacing w:before="0" w:after="340" w:line="240" w:lineRule="auto"/>
        <w:ind w:left="420" w:right="0" w:hanging="420"/>
        <w:jc w:val="both"/>
      </w:pPr>
      <w:r>
        <w:rPr>
          <w:rStyle w:val="CharStyle10"/>
        </w:rPr>
        <w:t>Pokud je ve Smlouvě sjednána služba „Náhradní vozidlo pří zásahu asistence“, je nájemce oprávněn využít tuto službu pouze při zásahu smluvní asistenční služby pronajímatele (tzn. pokud je předmět leasingu nepojízdný a je přivolán odtah). Náhradní vozidlo je k dispozici zdarma po dobu uvedenou ve Smlouvě pro předmět leasingu. Tuto službu je možné využívat i opakovaně (přičemž mezi jednotlivými poskytnutími náhradního vozidla musí být minimálně jednodenní pauza). Dodané náhradní vozidlo je garantováno v kategorií maximálně o jednu kategorii nižší, než je předmět leasingu, za který je dodané náhradní vozidlo poskytováno.</w:t>
      </w:r>
    </w:p>
    <w:p>
      <w:pPr>
        <w:pStyle w:val="Style21"/>
        <w:keepNext/>
        <w:keepLines/>
        <w:widowControl w:val="0"/>
        <w:numPr>
          <w:ilvl w:val="0"/>
          <w:numId w:val="9"/>
        </w:numPr>
        <w:shd w:val="clear" w:color="auto" w:fill="auto"/>
        <w:tabs>
          <w:tab w:pos="334" w:val="left"/>
        </w:tabs>
        <w:bidi w:val="0"/>
        <w:spacing w:before="0" w:line="240" w:lineRule="auto"/>
        <w:ind w:left="0" w:right="0" w:firstLine="0"/>
        <w:jc w:val="center"/>
      </w:pPr>
      <w:bookmarkStart w:id="51" w:name="bookmark51"/>
      <w:r>
        <w:rPr>
          <w:rStyle w:val="CharStyle22"/>
          <w:b/>
          <w:bCs/>
        </w:rPr>
        <w:t>Mimořádné ukončení Smlouvy</w:t>
      </w:r>
      <w:bookmarkEnd w:id="51"/>
    </w:p>
    <w:p>
      <w:pPr>
        <w:pStyle w:val="Style9"/>
        <w:keepNext w:val="0"/>
        <w:keepLines w:val="0"/>
        <w:widowControl w:val="0"/>
        <w:numPr>
          <w:ilvl w:val="0"/>
          <w:numId w:val="49"/>
        </w:numPr>
        <w:shd w:val="clear" w:color="auto" w:fill="auto"/>
        <w:tabs>
          <w:tab w:pos="365" w:val="left"/>
        </w:tabs>
        <w:bidi w:val="0"/>
        <w:spacing w:before="0" w:line="240" w:lineRule="auto"/>
        <w:ind w:left="420" w:right="0" w:hanging="420"/>
        <w:jc w:val="both"/>
      </w:pPr>
      <w:r>
        <w:rPr>
          <w:rStyle w:val="CharStyle10"/>
        </w:rPr>
        <w:t>Smlouva může být předčasně ukončena výhradně výpovědí ze strany pronajímatele, prokázaného odcizení předmětu leasingu, prokázaného úplného zničení předmětu leasingu, v případě úmrtí nájemce, nebo dohodou smluvních stran na žádost Nájemce. Nájemce není oprávněn Smlouvu vypovědět.</w:t>
      </w:r>
    </w:p>
    <w:p>
      <w:pPr>
        <w:pStyle w:val="Style9"/>
        <w:keepNext w:val="0"/>
        <w:keepLines w:val="0"/>
        <w:widowControl w:val="0"/>
        <w:numPr>
          <w:ilvl w:val="0"/>
          <w:numId w:val="49"/>
        </w:numPr>
        <w:shd w:val="clear" w:color="auto" w:fill="auto"/>
        <w:tabs>
          <w:tab w:pos="365" w:val="left"/>
        </w:tabs>
        <w:bidi w:val="0"/>
        <w:spacing w:before="0" w:after="0" w:line="240" w:lineRule="auto"/>
        <w:ind w:left="0" w:right="0" w:firstLine="0"/>
        <w:jc w:val="both"/>
      </w:pPr>
      <w:r>
        <w:rPr>
          <w:rStyle w:val="CharStyle10"/>
        </w:rPr>
        <w:t>Pronajímatel je oprávněn Smlouvu vypovědět v těchto případech:</w:t>
      </w:r>
    </w:p>
    <w:p>
      <w:pPr>
        <w:pStyle w:val="Style9"/>
        <w:keepNext w:val="0"/>
        <w:keepLines w:val="0"/>
        <w:widowControl w:val="0"/>
        <w:numPr>
          <w:ilvl w:val="0"/>
          <w:numId w:val="51"/>
        </w:numPr>
        <w:shd w:val="clear" w:color="auto" w:fill="auto"/>
        <w:tabs>
          <w:tab w:pos="692" w:val="left"/>
        </w:tabs>
        <w:bidi w:val="0"/>
        <w:spacing w:before="0" w:after="0" w:line="240" w:lineRule="auto"/>
        <w:ind w:left="700" w:right="0" w:hanging="280"/>
        <w:jc w:val="both"/>
      </w:pPr>
      <w:r>
        <w:rPr>
          <w:rStyle w:val="CharStyle10"/>
        </w:rPr>
        <w:t>nájemce závažným způsobem nebo opakovaně porušil, nebo porušuje povinností uvedené ve Smlouvě a/nebo v těchto obchodních podmínkách,</w:t>
      </w:r>
    </w:p>
    <w:p>
      <w:pPr>
        <w:pStyle w:val="Style9"/>
        <w:keepNext w:val="0"/>
        <w:keepLines w:val="0"/>
        <w:widowControl w:val="0"/>
        <w:numPr>
          <w:ilvl w:val="0"/>
          <w:numId w:val="51"/>
        </w:numPr>
        <w:shd w:val="clear" w:color="auto" w:fill="auto"/>
        <w:tabs>
          <w:tab w:pos="690" w:val="left"/>
        </w:tabs>
        <w:bidi w:val="0"/>
        <w:spacing w:before="0" w:after="0" w:line="240" w:lineRule="auto"/>
        <w:ind w:left="0" w:right="0" w:firstLine="420"/>
        <w:jc w:val="both"/>
      </w:pPr>
      <w:r>
        <w:rPr>
          <w:rStyle w:val="CharStyle10"/>
        </w:rPr>
        <w:t>nájemce je v prodlení s kteroukoliv platbou (nájemným, smluvní pokutou atp);</w:t>
      </w:r>
    </w:p>
    <w:p>
      <w:pPr>
        <w:pStyle w:val="Style9"/>
        <w:keepNext w:val="0"/>
        <w:keepLines w:val="0"/>
        <w:widowControl w:val="0"/>
        <w:numPr>
          <w:ilvl w:val="0"/>
          <w:numId w:val="51"/>
        </w:numPr>
        <w:shd w:val="clear" w:color="auto" w:fill="auto"/>
        <w:tabs>
          <w:tab w:pos="690" w:val="left"/>
        </w:tabs>
        <w:bidi w:val="0"/>
        <w:spacing w:before="0" w:after="0" w:line="240" w:lineRule="auto"/>
        <w:ind w:left="0" w:right="0" w:firstLine="420"/>
        <w:jc w:val="both"/>
      </w:pPr>
      <w:r>
        <w:rPr>
          <w:rStyle w:val="CharStyle10"/>
        </w:rPr>
        <w:t>užívání předmětu leasingu v rozporu se sjednaným účelem čí právními předpisy a podobně;</w:t>
      </w:r>
    </w:p>
    <w:p>
      <w:pPr>
        <w:pStyle w:val="Style9"/>
        <w:keepNext w:val="0"/>
        <w:keepLines w:val="0"/>
        <w:widowControl w:val="0"/>
        <w:numPr>
          <w:ilvl w:val="0"/>
          <w:numId w:val="51"/>
        </w:numPr>
        <w:shd w:val="clear" w:color="auto" w:fill="auto"/>
        <w:tabs>
          <w:tab w:pos="692" w:val="left"/>
        </w:tabs>
        <w:bidi w:val="0"/>
        <w:spacing w:before="0" w:after="0" w:line="240" w:lineRule="auto"/>
        <w:ind w:left="700" w:right="0" w:hanging="280"/>
        <w:jc w:val="both"/>
      </w:pPr>
      <w:r>
        <w:rPr>
          <w:rStyle w:val="CharStyle10"/>
        </w:rPr>
        <w:t>došlo k takové korporátní změně (změna společníků, akcionářské struktury), přeměně právnické osoby, prodeje závodu nebo jiné podstatné změně v majetkové struktuře nájemce, kterou lze považovat za snížení či ohrožení schopnosti nájemce hradit závazky ze Smlouvy, nebo dojde k jiné zhoršení hospodářské situace nájemce a do jednoho měsíce na výzvu pronajímatele nedojde k zajištění závazků ze Smlouvy;</w:t>
      </w:r>
    </w:p>
    <w:p>
      <w:pPr>
        <w:pStyle w:val="Style9"/>
        <w:keepNext w:val="0"/>
        <w:keepLines w:val="0"/>
        <w:widowControl w:val="0"/>
        <w:numPr>
          <w:ilvl w:val="0"/>
          <w:numId w:val="51"/>
        </w:numPr>
        <w:shd w:val="clear" w:color="auto" w:fill="auto"/>
        <w:tabs>
          <w:tab w:pos="690" w:val="left"/>
        </w:tabs>
        <w:bidi w:val="0"/>
        <w:spacing w:before="0" w:after="0" w:line="240" w:lineRule="auto"/>
        <w:ind w:left="0" w:right="0" w:firstLine="420"/>
        <w:jc w:val="both"/>
      </w:pPr>
      <w:r>
        <w:rPr>
          <w:rStyle w:val="CharStyle10"/>
        </w:rPr>
        <w:t>došlo k přemístění sídla nájemce do zahraničí;</w:t>
      </w:r>
    </w:p>
    <w:p>
      <w:pPr>
        <w:pStyle w:val="Style9"/>
        <w:keepNext w:val="0"/>
        <w:keepLines w:val="0"/>
        <w:widowControl w:val="0"/>
        <w:numPr>
          <w:ilvl w:val="0"/>
          <w:numId w:val="51"/>
        </w:numPr>
        <w:shd w:val="clear" w:color="auto" w:fill="auto"/>
        <w:tabs>
          <w:tab w:pos="692" w:val="left"/>
        </w:tabs>
        <w:bidi w:val="0"/>
        <w:spacing w:before="0" w:after="0" w:line="240" w:lineRule="auto"/>
        <w:ind w:left="700" w:right="0" w:hanging="280"/>
        <w:jc w:val="both"/>
      </w:pPr>
      <w:r>
        <w:rPr>
          <w:rStyle w:val="CharStyle10"/>
        </w:rPr>
        <w:t>zanikne nebo dojde ke snížení hodnoty zajištění závazků ze Smlouvy, pokud je ve Smlouvě sjednáno a pokud nebude do jednoho měsíce od výzvy pronajímatele doplněno;</w:t>
      </w:r>
    </w:p>
    <w:p>
      <w:pPr>
        <w:pStyle w:val="Style9"/>
        <w:keepNext w:val="0"/>
        <w:keepLines w:val="0"/>
        <w:widowControl w:val="0"/>
        <w:numPr>
          <w:ilvl w:val="0"/>
          <w:numId w:val="51"/>
        </w:numPr>
        <w:shd w:val="clear" w:color="auto" w:fill="auto"/>
        <w:tabs>
          <w:tab w:pos="692" w:val="left"/>
        </w:tabs>
        <w:bidi w:val="0"/>
        <w:spacing w:before="0" w:line="240" w:lineRule="auto"/>
        <w:ind w:left="700" w:right="0" w:hanging="280"/>
        <w:jc w:val="both"/>
      </w:pPr>
      <w:r>
        <w:rPr>
          <w:rStyle w:val="CharStyle10"/>
        </w:rPr>
        <w:t>vůči nájemci je zahájeno insolvenční řízení, je nařízen výkon rozhodnutí nebo exekuce, nájemce vstoupí do likvidace.</w:t>
      </w:r>
    </w:p>
    <w:p>
      <w:pPr>
        <w:pStyle w:val="Style9"/>
        <w:keepNext w:val="0"/>
        <w:keepLines w:val="0"/>
        <w:widowControl w:val="0"/>
        <w:numPr>
          <w:ilvl w:val="0"/>
          <w:numId w:val="49"/>
        </w:numPr>
        <w:shd w:val="clear" w:color="auto" w:fill="auto"/>
        <w:tabs>
          <w:tab w:pos="365" w:val="left"/>
        </w:tabs>
        <w:bidi w:val="0"/>
        <w:spacing w:before="0" w:line="252" w:lineRule="auto"/>
        <w:ind w:left="420" w:right="0" w:hanging="420"/>
        <w:jc w:val="both"/>
      </w:pPr>
      <w:r>
        <w:rPr>
          <w:rStyle w:val="CharStyle10"/>
        </w:rPr>
        <w:t>Smlouva je ukončena dnem účinnosti výpovědi. Výpověď je účinná předáním, nebo doručením nájemci. Není-li možné nájemci výpověď předat, ani doručit na adresu uvedenou ve Smlouvě nebo na poslední oznámenou adresu, považuje se výpověď za doručenou pátý pracovní den po jejím odeslání na adresu uvedenou ve Smlouvě nebo na poslední oznámenou adresu.</w:t>
      </w:r>
    </w:p>
    <w:p>
      <w:pPr>
        <w:pStyle w:val="Style9"/>
        <w:keepNext w:val="0"/>
        <w:keepLines w:val="0"/>
        <w:widowControl w:val="0"/>
        <w:numPr>
          <w:ilvl w:val="0"/>
          <w:numId w:val="49"/>
        </w:numPr>
        <w:shd w:val="clear" w:color="auto" w:fill="auto"/>
        <w:tabs>
          <w:tab w:pos="365" w:val="left"/>
        </w:tabs>
        <w:bidi w:val="0"/>
        <w:spacing w:before="0" w:line="240" w:lineRule="auto"/>
        <w:ind w:left="0" w:right="0" w:firstLine="0"/>
        <w:jc w:val="both"/>
      </w:pPr>
      <w:r>
        <w:rPr>
          <w:rStyle w:val="CharStyle10"/>
        </w:rPr>
        <w:t>V případě ukončení Smlouvy výpovědí pronajímatele je nájemce povinen pronajímateli zaplatit:</w:t>
      </w:r>
    </w:p>
    <w:p>
      <w:pPr>
        <w:pStyle w:val="Style9"/>
        <w:keepNext w:val="0"/>
        <w:keepLines w:val="0"/>
        <w:widowControl w:val="0"/>
        <w:numPr>
          <w:ilvl w:val="0"/>
          <w:numId w:val="53"/>
        </w:numPr>
        <w:shd w:val="clear" w:color="auto" w:fill="auto"/>
        <w:tabs>
          <w:tab w:pos="690" w:val="left"/>
        </w:tabs>
        <w:bidi w:val="0"/>
        <w:spacing w:before="0" w:after="0" w:line="252" w:lineRule="auto"/>
        <w:ind w:left="0" w:right="0" w:firstLine="420"/>
        <w:jc w:val="both"/>
      </w:pPr>
      <w:r>
        <w:rPr>
          <w:rStyle w:val="CharStyle10"/>
        </w:rPr>
        <w:t>všechny do té doby splatné a neuhrazené peněžité závazky včetně příslušenství;</w:t>
      </w:r>
    </w:p>
    <w:p>
      <w:pPr>
        <w:pStyle w:val="Style9"/>
        <w:keepNext w:val="0"/>
        <w:keepLines w:val="0"/>
        <w:widowControl w:val="0"/>
        <w:numPr>
          <w:ilvl w:val="0"/>
          <w:numId w:val="53"/>
        </w:numPr>
        <w:shd w:val="clear" w:color="auto" w:fill="auto"/>
        <w:tabs>
          <w:tab w:pos="690" w:val="left"/>
        </w:tabs>
        <w:bidi w:val="0"/>
        <w:spacing w:before="0" w:after="0" w:line="252" w:lineRule="auto"/>
        <w:ind w:left="0" w:right="0" w:firstLine="420"/>
        <w:jc w:val="both"/>
      </w:pPr>
      <w:r>
        <w:rPr>
          <w:rStyle w:val="CharStyle10"/>
        </w:rPr>
        <w:t>náklady spojené s odebráním, přepravou, skladováním, oceněním, pojištěním a prodejem předmětu leasingu;</w:t>
      </w:r>
    </w:p>
    <w:p>
      <w:pPr>
        <w:pStyle w:val="Style9"/>
        <w:keepNext w:val="0"/>
        <w:keepLines w:val="0"/>
        <w:widowControl w:val="0"/>
        <w:numPr>
          <w:ilvl w:val="0"/>
          <w:numId w:val="53"/>
        </w:numPr>
        <w:shd w:val="clear" w:color="auto" w:fill="auto"/>
        <w:tabs>
          <w:tab w:pos="690" w:val="left"/>
        </w:tabs>
        <w:bidi w:val="0"/>
        <w:spacing w:before="0" w:after="0" w:line="252" w:lineRule="auto"/>
        <w:ind w:left="0" w:right="0" w:firstLine="420"/>
        <w:jc w:val="both"/>
      </w:pPr>
      <w:r>
        <w:rPr>
          <w:rStyle w:val="CharStyle10"/>
        </w:rPr>
        <w:t>smluvní pokuty a příslušenství všech pohledávek;</w:t>
      </w:r>
    </w:p>
    <w:p>
      <w:pPr>
        <w:pStyle w:val="Style9"/>
        <w:keepNext w:val="0"/>
        <w:keepLines w:val="0"/>
        <w:widowControl w:val="0"/>
        <w:numPr>
          <w:ilvl w:val="0"/>
          <w:numId w:val="53"/>
        </w:numPr>
        <w:shd w:val="clear" w:color="auto" w:fill="auto"/>
        <w:tabs>
          <w:tab w:pos="692" w:val="left"/>
        </w:tabs>
        <w:bidi w:val="0"/>
        <w:spacing w:before="0" w:line="252" w:lineRule="auto"/>
        <w:ind w:left="700" w:right="0" w:hanging="280"/>
        <w:jc w:val="both"/>
        <w:sectPr>
          <w:footerReference w:type="default" r:id="rId15"/>
          <w:footerReference w:type="even" r:id="rId16"/>
          <w:footerReference w:type="first" r:id="rId17"/>
          <w:footnotePr>
            <w:pos w:val="pageBottom"/>
            <w:numFmt w:val="decimal"/>
            <w:numRestart w:val="continuous"/>
          </w:footnotePr>
          <w:pgSz w:w="11900" w:h="16840"/>
          <w:pgMar w:top="1069" w:right="677" w:bottom="1697" w:left="1777" w:header="0" w:footer="3" w:gutter="0"/>
          <w:cols w:space="720"/>
          <w:noEndnote/>
          <w:titlePg/>
          <w:rtlGutter w:val="0"/>
          <w:docGrid w:linePitch="360"/>
        </w:sectPr>
      </w:pPr>
      <w:r>
        <w:rPr>
          <w:rStyle w:val="CharStyle10"/>
        </w:rPr>
        <w:t>součet veškerých budoucích splátek nájemného podle Smlouvy do okamžiku předpokládaného řádného ukončení smlouvy vynásobeného koeficientem pro předčasné ukončení Smlouvy uvedeného ve Smlouvě.</w:t>
      </w:r>
    </w:p>
    <w:p>
      <w:pPr>
        <w:pStyle w:val="Style34"/>
        <w:keepNext w:val="0"/>
        <w:keepLines w:val="0"/>
        <w:widowControl w:val="0"/>
        <w:shd w:val="clear" w:color="auto" w:fill="auto"/>
        <w:tabs>
          <w:tab w:pos="6990" w:val="left"/>
        </w:tabs>
        <w:bidi w:val="0"/>
        <w:spacing w:before="0" w:line="240" w:lineRule="auto"/>
        <w:ind w:left="5860" w:right="0" w:firstLine="0"/>
        <w:jc w:val="left"/>
      </w:pPr>
      <w:r>
        <w:rPr>
          <w:rStyle w:val="CharStyle35"/>
          <w:b/>
          <w:bCs/>
          <w:i/>
          <w:iCs/>
        </w:rPr>
        <w:t>‘tt&amp;F $(ít25# &amp; X</w:t>
        <w:tab/>
        <w:t>Ž&gt; fá&amp;£&amp;£lž&amp;</w:t>
      </w:r>
      <w:r>
        <w:rPr>
          <w:rStyle w:val="CharStyle35"/>
          <w:b/>
          <w:bCs/>
        </w:rPr>
        <w:t xml:space="preserve"> uSítSiíP ííSKSyW^</w:t>
      </w:r>
    </w:p>
    <w:p>
      <w:pPr>
        <w:pStyle w:val="Style9"/>
        <w:keepNext w:val="0"/>
        <w:keepLines w:val="0"/>
        <w:widowControl w:val="0"/>
        <w:numPr>
          <w:ilvl w:val="0"/>
          <w:numId w:val="49"/>
        </w:numPr>
        <w:shd w:val="clear" w:color="auto" w:fill="auto"/>
        <w:tabs>
          <w:tab w:pos="317" w:val="left"/>
        </w:tabs>
        <w:bidi w:val="0"/>
        <w:spacing w:before="0" w:line="240" w:lineRule="auto"/>
        <w:ind w:left="400" w:right="0" w:hanging="400"/>
        <w:jc w:val="both"/>
      </w:pPr>
      <w:r>
        <w:rPr>
          <w:rStyle w:val="CharStyle10"/>
        </w:rPr>
        <w:t>V případě prokázaného odcizení předmětu leasingu končí Smlouva dnem, v němž bylo pronajímateli doručeno usnesení o zahájení trestního stíhání určité osoby, odložení věci, nebo jiné potvrzení vydané orgány činnými v trestním řízení o tom, že nelze vést trestní stíhání proti konkrétní osobě (neznámý pachatel), nedohodnou-li se strany na datu ukončení Smlouvy jinak. Výše uvedené platí vždy pouze v případě, že předmět leasingu nebyl nalezen a vrácen nájemci.</w:t>
      </w:r>
    </w:p>
    <w:p>
      <w:pPr>
        <w:pStyle w:val="Style9"/>
        <w:keepNext w:val="0"/>
        <w:keepLines w:val="0"/>
        <w:widowControl w:val="0"/>
        <w:numPr>
          <w:ilvl w:val="0"/>
          <w:numId w:val="49"/>
        </w:numPr>
        <w:shd w:val="clear" w:color="auto" w:fill="auto"/>
        <w:tabs>
          <w:tab w:pos="317" w:val="left"/>
        </w:tabs>
        <w:bidi w:val="0"/>
        <w:spacing w:before="0" w:line="252" w:lineRule="auto"/>
        <w:ind w:left="400" w:right="0" w:hanging="400"/>
        <w:jc w:val="both"/>
      </w:pPr>
      <w:r>
        <w:rPr>
          <w:rStyle w:val="CharStyle10"/>
        </w:rPr>
        <w:t>V případě úplného zničení předmětu leasingu končí Smlouva dnem, v němž pronajímatel obdrží potvrzení pojišťovny, nebo soudního znalce o úplném zničení předmětu leasingu, nedohodnou-li se strany na datu ukončení Smlouvy jinak.</w:t>
      </w:r>
    </w:p>
    <w:p>
      <w:pPr>
        <w:pStyle w:val="Style9"/>
        <w:keepNext w:val="0"/>
        <w:keepLines w:val="0"/>
        <w:widowControl w:val="0"/>
        <w:numPr>
          <w:ilvl w:val="0"/>
          <w:numId w:val="49"/>
        </w:numPr>
        <w:shd w:val="clear" w:color="auto" w:fill="auto"/>
        <w:tabs>
          <w:tab w:pos="317" w:val="left"/>
        </w:tabs>
        <w:bidi w:val="0"/>
        <w:spacing w:before="0" w:line="240" w:lineRule="auto"/>
        <w:ind w:left="400" w:right="0" w:hanging="400"/>
        <w:jc w:val="both"/>
      </w:pPr>
      <w:r>
        <w:rPr>
          <w:rStyle w:val="CharStyle10"/>
        </w:rPr>
        <w:t>V případě úmrtí nájemce, který je fyzickou osobou, končí Smlouva dnem úmrtí nájemce, pokud se pronajímatel nedohodne s některým z pravděpodobných dědiců na převzetí práv a povinností ze Smlouvy.</w:t>
      </w:r>
    </w:p>
    <w:p>
      <w:pPr>
        <w:pStyle w:val="Style9"/>
        <w:keepNext w:val="0"/>
        <w:keepLines w:val="0"/>
        <w:widowControl w:val="0"/>
        <w:numPr>
          <w:ilvl w:val="0"/>
          <w:numId w:val="49"/>
        </w:numPr>
        <w:shd w:val="clear" w:color="auto" w:fill="auto"/>
        <w:tabs>
          <w:tab w:pos="317" w:val="left"/>
        </w:tabs>
        <w:bidi w:val="0"/>
        <w:spacing w:before="0" w:after="0" w:line="240" w:lineRule="auto"/>
        <w:ind w:left="400" w:right="0" w:hanging="400"/>
        <w:jc w:val="both"/>
      </w:pPr>
      <w:r>
        <w:rPr>
          <w:rStyle w:val="CharStyle10"/>
        </w:rPr>
        <w:t>Nájemce není od Smlouvy oprávněn jednostranně odstoupit ani jí jednostranně vypovědět, je však oprávněn písemně požádat pronajímatele o ukončení Smlouvy dohodou. Pronajímatel na základě této žádosti vypracuje návrh dohody o ukončení Smlouvy obsahující finanční vyrovnání, na základě kterého bude nájemce povinen zaplatí pronajímateli:</w:t>
      </w:r>
    </w:p>
    <w:p>
      <w:pPr>
        <w:pStyle w:val="Style9"/>
        <w:keepNext w:val="0"/>
        <w:keepLines w:val="0"/>
        <w:widowControl w:val="0"/>
        <w:numPr>
          <w:ilvl w:val="0"/>
          <w:numId w:val="55"/>
        </w:numPr>
        <w:shd w:val="clear" w:color="auto" w:fill="auto"/>
        <w:tabs>
          <w:tab w:pos="664" w:val="left"/>
        </w:tabs>
        <w:bidi w:val="0"/>
        <w:spacing w:before="0" w:after="0" w:line="240" w:lineRule="auto"/>
        <w:ind w:left="0" w:right="0" w:firstLine="400"/>
        <w:jc w:val="both"/>
      </w:pPr>
      <w:r>
        <w:rPr>
          <w:rStyle w:val="CharStyle10"/>
        </w:rPr>
        <w:t>všechny do té doby splatné a neuhrazené peněžité závazky včetně příslušenství;</w:t>
      </w:r>
    </w:p>
    <w:p>
      <w:pPr>
        <w:pStyle w:val="Style9"/>
        <w:keepNext w:val="0"/>
        <w:keepLines w:val="0"/>
        <w:widowControl w:val="0"/>
        <w:numPr>
          <w:ilvl w:val="0"/>
          <w:numId w:val="55"/>
        </w:numPr>
        <w:shd w:val="clear" w:color="auto" w:fill="auto"/>
        <w:tabs>
          <w:tab w:pos="664" w:val="left"/>
        </w:tabs>
        <w:bidi w:val="0"/>
        <w:spacing w:before="0" w:after="0" w:line="240" w:lineRule="auto"/>
        <w:ind w:left="0" w:right="0" w:firstLine="400"/>
        <w:jc w:val="both"/>
      </w:pPr>
      <w:r>
        <w:rPr>
          <w:rStyle w:val="CharStyle10"/>
        </w:rPr>
        <w:t>náklady spojené s odebráním, přepravou, skladováním, oceněním, pojištěním a prodejem předmětu leasingu;</w:t>
      </w:r>
    </w:p>
    <w:p>
      <w:pPr>
        <w:pStyle w:val="Style9"/>
        <w:keepNext w:val="0"/>
        <w:keepLines w:val="0"/>
        <w:widowControl w:val="0"/>
        <w:numPr>
          <w:ilvl w:val="0"/>
          <w:numId w:val="55"/>
        </w:numPr>
        <w:shd w:val="clear" w:color="auto" w:fill="auto"/>
        <w:tabs>
          <w:tab w:pos="664" w:val="left"/>
        </w:tabs>
        <w:bidi w:val="0"/>
        <w:spacing w:before="0" w:after="0" w:line="240" w:lineRule="auto"/>
        <w:ind w:left="0" w:right="0" w:firstLine="400"/>
        <w:jc w:val="both"/>
      </w:pPr>
      <w:r>
        <w:rPr>
          <w:rStyle w:val="CharStyle10"/>
        </w:rPr>
        <w:t>smluvní pokuty a příslušenství všech pohledávek;</w:t>
      </w:r>
    </w:p>
    <w:p>
      <w:pPr>
        <w:pStyle w:val="Style9"/>
        <w:keepNext w:val="0"/>
        <w:keepLines w:val="0"/>
        <w:widowControl w:val="0"/>
        <w:numPr>
          <w:ilvl w:val="0"/>
          <w:numId w:val="55"/>
        </w:numPr>
        <w:shd w:val="clear" w:color="auto" w:fill="auto"/>
        <w:tabs>
          <w:tab w:pos="681" w:val="left"/>
        </w:tabs>
        <w:bidi w:val="0"/>
        <w:spacing w:before="0" w:after="0" w:line="240" w:lineRule="auto"/>
        <w:ind w:left="400" w:right="0" w:firstLine="20"/>
        <w:jc w:val="both"/>
      </w:pPr>
      <w:r>
        <w:rPr>
          <w:rStyle w:val="CharStyle10"/>
        </w:rPr>
        <w:t>součet veškerých budoucích splátek nájemného podle Smlouvy do okamžiku předpokládaného řádného ukončení smlouvy vynásobeného koeficientem pro předčasné ukončení Smlouvy uvedeného ve Smlouvě. Ve výjimečných případech může dohoda obsahovat jiné podmínky finančního vyrovnání, dohodne-li se na tom pronajímatel s nájemcem.</w:t>
      </w:r>
    </w:p>
    <w:p>
      <w:pPr>
        <w:pStyle w:val="Style9"/>
        <w:keepNext w:val="0"/>
        <w:keepLines w:val="0"/>
        <w:widowControl w:val="0"/>
        <w:shd w:val="clear" w:color="auto" w:fill="auto"/>
        <w:bidi w:val="0"/>
        <w:spacing w:before="0" w:after="580" w:line="240" w:lineRule="auto"/>
        <w:ind w:left="400" w:right="0" w:firstLine="20"/>
        <w:jc w:val="both"/>
      </w:pPr>
      <w:r>
        <w:rPr>
          <w:rStyle w:val="CharStyle10"/>
        </w:rPr>
        <w:t>Za zpracování návrhu dohody o ukončení Smlouvy je nájemce povinen pronajímateli uhradit administrativní poplatek ve výši 10.000,- Kč, a to i v případě pokud nedojde k uzavření dohody o ukončení smlouvy. Dohoda o ukončení Smlouvy musí být vždy uzavřena písemně.</w:t>
      </w:r>
    </w:p>
    <w:p>
      <w:pPr>
        <w:pStyle w:val="Style21"/>
        <w:keepNext/>
        <w:keepLines/>
        <w:widowControl w:val="0"/>
        <w:numPr>
          <w:ilvl w:val="0"/>
          <w:numId w:val="9"/>
        </w:numPr>
        <w:shd w:val="clear" w:color="auto" w:fill="auto"/>
        <w:tabs>
          <w:tab w:pos="338" w:val="left"/>
        </w:tabs>
        <w:bidi w:val="0"/>
        <w:spacing w:before="0" w:line="240" w:lineRule="auto"/>
        <w:ind w:left="0" w:right="0" w:firstLine="0"/>
        <w:jc w:val="center"/>
      </w:pPr>
      <w:bookmarkStart w:id="53" w:name="bookmark53"/>
      <w:r>
        <w:rPr>
          <w:rStyle w:val="CharStyle22"/>
          <w:b/>
          <w:bCs/>
        </w:rPr>
        <w:t>Řádné ukončení Smlouvy</w:t>
      </w:r>
      <w:bookmarkEnd w:id="53"/>
    </w:p>
    <w:p>
      <w:pPr>
        <w:pStyle w:val="Style9"/>
        <w:keepNext w:val="0"/>
        <w:keepLines w:val="0"/>
        <w:widowControl w:val="0"/>
        <w:numPr>
          <w:ilvl w:val="0"/>
          <w:numId w:val="57"/>
        </w:numPr>
        <w:shd w:val="clear" w:color="auto" w:fill="auto"/>
        <w:tabs>
          <w:tab w:pos="317" w:val="left"/>
        </w:tabs>
        <w:bidi w:val="0"/>
        <w:spacing w:before="0" w:after="640" w:line="240" w:lineRule="auto"/>
        <w:ind w:left="0" w:right="0" w:firstLine="0"/>
        <w:jc w:val="both"/>
      </w:pPr>
      <w:r>
        <w:rPr>
          <w:rStyle w:val="CharStyle10"/>
        </w:rPr>
        <w:t>Smlouva je uzavírána na dobu určitou a končí uplynutím sjednané doby operativního leasingu a úhradou všech plateb.</w:t>
      </w:r>
    </w:p>
    <w:p>
      <w:pPr>
        <w:pStyle w:val="Style21"/>
        <w:keepNext/>
        <w:keepLines/>
        <w:widowControl w:val="0"/>
        <w:numPr>
          <w:ilvl w:val="0"/>
          <w:numId w:val="9"/>
        </w:numPr>
        <w:shd w:val="clear" w:color="auto" w:fill="auto"/>
        <w:tabs>
          <w:tab w:pos="345" w:val="left"/>
        </w:tabs>
        <w:bidi w:val="0"/>
        <w:spacing w:before="0" w:line="240" w:lineRule="auto"/>
        <w:ind w:left="0" w:right="0" w:firstLine="0"/>
        <w:jc w:val="center"/>
      </w:pPr>
      <w:bookmarkStart w:id="55" w:name="bookmark55"/>
      <w:r>
        <w:rPr>
          <w:rStyle w:val="CharStyle22"/>
          <w:b/>
          <w:bCs/>
        </w:rPr>
        <w:t>Vrácení předmětu leasingu</w:t>
      </w:r>
      <w:bookmarkEnd w:id="55"/>
    </w:p>
    <w:p>
      <w:pPr>
        <w:pStyle w:val="Style9"/>
        <w:keepNext w:val="0"/>
        <w:keepLines w:val="0"/>
        <w:widowControl w:val="0"/>
        <w:numPr>
          <w:ilvl w:val="0"/>
          <w:numId w:val="59"/>
        </w:numPr>
        <w:shd w:val="clear" w:color="auto" w:fill="auto"/>
        <w:tabs>
          <w:tab w:pos="317" w:val="left"/>
        </w:tabs>
        <w:bidi w:val="0"/>
        <w:spacing w:before="0" w:line="240" w:lineRule="auto"/>
        <w:ind w:left="400" w:right="0" w:hanging="400"/>
        <w:jc w:val="both"/>
      </w:pPr>
      <w:r>
        <w:rPr>
          <w:rStyle w:val="CharStyle10"/>
        </w:rPr>
        <w:t>Po uplynutí sjednané doby operativního leasingu je nájemce povinen nejpozději do 3 dnů vrátit předmět leasingu pronajímateli, a to v sídle nebo provozovně pronajimatele nebo na jiném, pronajímatelem určeném místě. Spolu s předmětem leasingu je povinen předat veškerou související dokumentaci, příslušenství, klíče od vozidla a zabezpečovacích zařízení a kódy zabezpečení a rádia. V případě, že nedojde k předání všech uvedených věcí, budou náklady, spojené s pořízením chybějících dokumentů, klíčů a podobně účtovány nájemci. Pronajímatel má v tomto případě právo uplatnit na nájemci smluvní pokutu ve výši 10,000,- Kč, Uplatnění smluvní pokuty nemá vliv na případnou náhradu škody.</w:t>
      </w:r>
    </w:p>
    <w:p>
      <w:pPr>
        <w:pStyle w:val="Style9"/>
        <w:keepNext w:val="0"/>
        <w:keepLines w:val="0"/>
        <w:widowControl w:val="0"/>
        <w:numPr>
          <w:ilvl w:val="0"/>
          <w:numId w:val="59"/>
        </w:numPr>
        <w:shd w:val="clear" w:color="auto" w:fill="auto"/>
        <w:tabs>
          <w:tab w:pos="317" w:val="left"/>
        </w:tabs>
        <w:bidi w:val="0"/>
        <w:spacing w:before="0" w:line="240" w:lineRule="auto"/>
        <w:ind w:left="400" w:right="0" w:hanging="400"/>
        <w:jc w:val="both"/>
      </w:pPr>
      <w:r>
        <w:rPr>
          <w:rStyle w:val="CharStyle10"/>
        </w:rPr>
        <w:t>Nájemce je povinen vrátit předmět leasingu pronajímateli ve stavu, odpovídajícím stáří a počtu najetých kilometrů, umytý a s vyčištěným interiérem. Při předání bude zástupcem pronajímatele zkontrolován stav předmětu leasingu, V případě, že předmět leasingu nebude ve stavu, odpovídajícím stáří a počtu najetých kilometrů, je nájemce povinen uhradit veškeré náklady, vynaložené na uvedení předmětu leasingu do takového stavu. O vrácení předmětu leasingu bude sepsán Protokol o zpětném převzetí vozidla, v němž bude zachycen stav kilometrů, technický stav předmětu leasingu při vrácení, zjištěné vady a předběžný odhad nákladů na odstranění těchto vad, V případě skrytých vad, zjištěných po předání vozidla má pronajímatel nárok na úhradu nákladů, spojených s jejich odstraněním. Předmět leasingu se považuje za vrácený pronajímateli podpisem obou smluvních stran nebo jejich zmocněnců na předávacím protokolu.</w:t>
      </w:r>
    </w:p>
    <w:p>
      <w:pPr>
        <w:pStyle w:val="Style9"/>
        <w:keepNext w:val="0"/>
        <w:keepLines w:val="0"/>
        <w:widowControl w:val="0"/>
        <w:numPr>
          <w:ilvl w:val="0"/>
          <w:numId w:val="59"/>
        </w:numPr>
        <w:shd w:val="clear" w:color="auto" w:fill="auto"/>
        <w:tabs>
          <w:tab w:pos="317" w:val="left"/>
        </w:tabs>
        <w:bidi w:val="0"/>
        <w:spacing w:before="0" w:line="240" w:lineRule="auto"/>
        <w:ind w:left="400" w:right="0" w:hanging="400"/>
        <w:jc w:val="both"/>
      </w:pPr>
      <w:r>
        <w:rPr>
          <w:rStyle w:val="CharStyle10"/>
        </w:rPr>
        <w:t>V případě jiného než řádného ukončení Smlouvy, tj. zejména výpovědí nebo odstoupením od Smlouvy je nájemce povinen vrátit předmětné vozidlo do 3 dnů po doručení výpovědi nebo doručení oznámení o odstoupení od Smlouvy, ČI. 16. odst. 2 OP platí obdobně.</w:t>
      </w:r>
    </w:p>
    <w:p>
      <w:pPr>
        <w:pStyle w:val="Style9"/>
        <w:keepNext w:val="0"/>
        <w:keepLines w:val="0"/>
        <w:widowControl w:val="0"/>
        <w:numPr>
          <w:ilvl w:val="0"/>
          <w:numId w:val="59"/>
        </w:numPr>
        <w:shd w:val="clear" w:color="auto" w:fill="auto"/>
        <w:tabs>
          <w:tab w:pos="317" w:val="left"/>
        </w:tabs>
        <w:bidi w:val="0"/>
        <w:spacing w:before="0" w:line="240" w:lineRule="auto"/>
        <w:ind w:left="400" w:right="0" w:hanging="400"/>
        <w:jc w:val="both"/>
      </w:pPr>
      <w:r>
        <w:rPr>
          <w:rStyle w:val="CharStyle10"/>
        </w:rPr>
        <w:t>Při opožděném vrácení předmětu leasingu je nájemce povinen zaplatit pronajímateli smluvní pokutu ve výši 0,5 násobku měsíční leasingové platby, a to za každý započatý měsíc prodlení. Během této doby platí analogicky dále všechny povinnosti nájemce vyplývající ze Smlouvy a OP. Ostatní případné nároky pronajímatele vůči nájemci zůstávají nezměněny, nebude-li mezi stranami sjednáno jinak.</w:t>
      </w:r>
    </w:p>
    <w:p>
      <w:pPr>
        <w:pStyle w:val="Style9"/>
        <w:keepNext w:val="0"/>
        <w:keepLines w:val="0"/>
        <w:widowControl w:val="0"/>
        <w:numPr>
          <w:ilvl w:val="0"/>
          <w:numId w:val="59"/>
        </w:numPr>
        <w:shd w:val="clear" w:color="auto" w:fill="auto"/>
        <w:tabs>
          <w:tab w:pos="317" w:val="left"/>
        </w:tabs>
        <w:bidi w:val="0"/>
        <w:spacing w:before="0" w:line="240" w:lineRule="auto"/>
        <w:ind w:left="400" w:right="0" w:hanging="400"/>
        <w:jc w:val="both"/>
      </w:pPr>
      <w:r>
        <w:rPr>
          <w:rStyle w:val="CharStyle10"/>
        </w:rPr>
        <w:t>V případě, že nájemce nevrátí pronajímateli předmět leasingu ve sjednané době, je pronajímatel, případně jeho zástupce oprávněn předmět leasingu zajistit a odebrat nájemci. Náklady s tím spojené je povinen uhradit nájemce. Pronajímatel má v tomto případě právo uplatnit na nájemci smluvní pokutu ve výši 20% z pořizovací ceny předmětu nájmu. Uplatnění smluvní pokuty nemá vliv na případnou náhradu škody.</w:t>
      </w:r>
    </w:p>
    <w:p>
      <w:pPr>
        <w:pStyle w:val="Style9"/>
        <w:keepNext w:val="0"/>
        <w:keepLines w:val="0"/>
        <w:widowControl w:val="0"/>
        <w:numPr>
          <w:ilvl w:val="0"/>
          <w:numId w:val="59"/>
        </w:numPr>
        <w:shd w:val="clear" w:color="auto" w:fill="auto"/>
        <w:tabs>
          <w:tab w:pos="317" w:val="left"/>
        </w:tabs>
        <w:bidi w:val="0"/>
        <w:spacing w:before="0" w:after="0" w:line="240" w:lineRule="auto"/>
        <w:ind w:left="0" w:right="0" w:firstLine="0"/>
        <w:jc w:val="both"/>
      </w:pPr>
      <w:r>
        <w:rPr>
          <w:rStyle w:val="CharStyle10"/>
        </w:rPr>
        <w:t>V případě, že Nájemce;</w:t>
      </w:r>
    </w:p>
    <w:p>
      <w:pPr>
        <w:pStyle w:val="Style9"/>
        <w:keepNext w:val="0"/>
        <w:keepLines w:val="0"/>
        <w:widowControl w:val="0"/>
        <w:numPr>
          <w:ilvl w:val="0"/>
          <w:numId w:val="61"/>
        </w:numPr>
        <w:shd w:val="clear" w:color="auto" w:fill="auto"/>
        <w:tabs>
          <w:tab w:pos="664" w:val="left"/>
        </w:tabs>
        <w:bidi w:val="0"/>
        <w:spacing w:before="0" w:after="0" w:line="240" w:lineRule="auto"/>
        <w:ind w:left="0" w:right="0" w:firstLine="400"/>
        <w:jc w:val="both"/>
      </w:pPr>
      <w:r>
        <w:rPr>
          <w:rStyle w:val="CharStyle10"/>
        </w:rPr>
        <w:t>nevrátí předmět leasingu do dvou týdnů od ukončení Smlouvy, nebo</w:t>
      </w:r>
    </w:p>
    <w:p>
      <w:pPr>
        <w:pStyle w:val="Style9"/>
        <w:keepNext w:val="0"/>
        <w:keepLines w:val="0"/>
        <w:widowControl w:val="0"/>
        <w:numPr>
          <w:ilvl w:val="0"/>
          <w:numId w:val="61"/>
        </w:numPr>
        <w:shd w:val="clear" w:color="auto" w:fill="auto"/>
        <w:tabs>
          <w:tab w:pos="682" w:val="left"/>
        </w:tabs>
        <w:bidi w:val="0"/>
        <w:spacing w:before="0" w:after="0" w:line="240" w:lineRule="auto"/>
        <w:ind w:left="700" w:right="0" w:hanging="280"/>
        <w:jc w:val="both"/>
      </w:pPr>
      <w:r>
        <w:rPr>
          <w:rStyle w:val="CharStyle10"/>
        </w:rPr>
        <w:t>vrátí předmět nájmu ve stavu zjevně neodpovídajícím stáří a počtu najetých kilometrů s přihlédnutím k běžnému opotřebení (je zřejmé hrubé porušení péče o předmět leasingu), nebo</w:t>
      </w:r>
    </w:p>
    <w:p>
      <w:pPr>
        <w:pStyle w:val="Style9"/>
        <w:keepNext w:val="0"/>
        <w:keepLines w:val="0"/>
        <w:widowControl w:val="0"/>
        <w:numPr>
          <w:ilvl w:val="0"/>
          <w:numId w:val="61"/>
        </w:numPr>
        <w:shd w:val="clear" w:color="auto" w:fill="auto"/>
        <w:tabs>
          <w:tab w:pos="681" w:val="left"/>
        </w:tabs>
        <w:bidi w:val="0"/>
        <w:spacing w:before="0" w:after="0" w:line="240" w:lineRule="auto"/>
        <w:ind w:left="700" w:right="0" w:hanging="280"/>
        <w:jc w:val="both"/>
      </w:pPr>
      <w:r>
        <w:rPr>
          <w:rStyle w:val="CharStyle10"/>
        </w:rPr>
        <w:t>vrátí předmět leasingu zatížený právní vadou bránící neomezené dispozici s předmětem leasingu nezaviněnou pronajímatelem, nebo</w:t>
      </w:r>
    </w:p>
    <w:p>
      <w:pPr>
        <w:pStyle w:val="Style9"/>
        <w:keepNext w:val="0"/>
        <w:keepLines w:val="0"/>
        <w:widowControl w:val="0"/>
        <w:numPr>
          <w:ilvl w:val="0"/>
          <w:numId w:val="61"/>
        </w:numPr>
        <w:shd w:val="clear" w:color="auto" w:fill="auto"/>
        <w:tabs>
          <w:tab w:pos="682" w:val="left"/>
        </w:tabs>
        <w:bidi w:val="0"/>
        <w:spacing w:before="0" w:after="0" w:line="240" w:lineRule="auto"/>
        <w:ind w:left="700" w:right="0" w:hanging="280"/>
        <w:jc w:val="both"/>
      </w:pPr>
      <w:r>
        <w:rPr>
          <w:rStyle w:val="CharStyle10"/>
        </w:rPr>
        <w:t>svým pochybením způsobí, že došlo k vážnému poškození, zničení či odcizení předmětu nájmu, které není kryto pojistným plněním, a které znemožňuje vrácení předmětu leasingu v řádném stavu,</w:t>
      </w:r>
    </w:p>
    <w:p>
      <w:pPr>
        <w:pStyle w:val="Style9"/>
        <w:keepNext w:val="0"/>
        <w:keepLines w:val="0"/>
        <w:widowControl w:val="0"/>
        <w:shd w:val="clear" w:color="auto" w:fill="auto"/>
        <w:bidi w:val="0"/>
        <w:spacing w:before="0" w:line="240" w:lineRule="auto"/>
        <w:ind w:left="400" w:right="0" w:firstLine="20"/>
        <w:jc w:val="both"/>
      </w:pPr>
      <w:r>
        <w:rPr>
          <w:rStyle w:val="CharStyle10"/>
        </w:rPr>
        <w:t>je nájemce povinen zaplatit pronajímateli smluvní pokutu ve výši pořizovací ceny předmětu leasingu. Uplatnění smluvní pokuty nemá vliv na případnou náhradu škody. Pronajímatel je oprávněn výši smluvní pokuty snížit až na výši, odpovídající způsobené škodě.</w:t>
      </w:r>
    </w:p>
    <w:p>
      <w:pPr>
        <w:pStyle w:val="Style34"/>
        <w:keepNext w:val="0"/>
        <w:keepLines w:val="0"/>
        <w:widowControl w:val="0"/>
        <w:shd w:val="clear" w:color="auto" w:fill="auto"/>
        <w:tabs>
          <w:tab w:pos="6007" w:val="left"/>
          <w:tab w:pos="7058" w:val="left"/>
          <w:tab w:pos="7544" w:val="left"/>
          <w:tab w:pos="7709" w:val="left"/>
          <w:tab w:pos="7853" w:val="left"/>
        </w:tabs>
        <w:bidi w:val="0"/>
        <w:spacing w:before="0" w:after="0" w:line="240" w:lineRule="auto"/>
        <w:ind w:left="5780" w:right="0" w:firstLine="0"/>
        <w:jc w:val="left"/>
      </w:pPr>
      <w:r>
        <w:rPr>
          <w:rStyle w:val="CharStyle35"/>
          <w:b/>
          <w:bCs/>
        </w:rPr>
        <w:t>&amp;</w:t>
        <w:tab/>
        <w:t>/</w:t>
        <w:tab/>
        <w:t>s^^'</w:t>
        <w:tab/>
        <w:t>/</w:t>
        <w:tab/>
        <w:t>/</w:t>
        <w:tab/>
        <w:t>/</w:t>
      </w:r>
    </w:p>
    <w:p>
      <w:pPr>
        <w:pStyle w:val="Style34"/>
        <w:keepNext w:val="0"/>
        <w:keepLines w:val="0"/>
        <w:widowControl w:val="0"/>
        <w:shd w:val="clear" w:color="auto" w:fill="auto"/>
        <w:bidi w:val="0"/>
        <w:spacing w:before="0" w:line="206" w:lineRule="auto"/>
        <w:ind w:left="5780" w:right="0" w:firstLine="0"/>
        <w:jc w:val="left"/>
      </w:pPr>
      <w:r>
        <w:rPr>
          <w:rStyle w:val="CharStyle35"/>
          <w:b/>
          <w:bCs/>
        </w:rPr>
        <w:t xml:space="preserve">£ z^Síř? ^■úíííísr V íř' </w:t>
      </w:r>
      <w:r>
        <w:rPr>
          <w:rStyle w:val="CharStyle35"/>
          <w:rFonts w:ascii="Courier New" w:eastAsia="Courier New" w:hAnsi="Courier New" w:cs="Courier New"/>
          <w:smallCaps/>
        </w:rPr>
        <w:t>íF</w:t>
      </w:r>
      <w:r>
        <w:rPr>
          <w:rStyle w:val="CharStyle35"/>
          <w:b/>
          <w:bCs/>
        </w:rPr>
        <w:t xml:space="preserve"> ^J^Wl^' tař? ;?Jt&amp;i4#?</w:t>
      </w:r>
    </w:p>
    <w:p>
      <w:pPr>
        <w:pStyle w:val="Style21"/>
        <w:keepNext/>
        <w:keepLines/>
        <w:widowControl w:val="0"/>
        <w:numPr>
          <w:ilvl w:val="0"/>
          <w:numId w:val="9"/>
        </w:numPr>
        <w:shd w:val="clear" w:color="auto" w:fill="auto"/>
        <w:tabs>
          <w:tab w:pos="342" w:val="left"/>
        </w:tabs>
        <w:bidi w:val="0"/>
        <w:spacing w:before="0" w:after="180" w:line="240" w:lineRule="auto"/>
        <w:ind w:left="0" w:right="0" w:firstLine="0"/>
        <w:jc w:val="center"/>
      </w:pPr>
      <w:bookmarkStart w:id="57" w:name="bookmark57"/>
      <w:r>
        <w:rPr>
          <w:rStyle w:val="CharStyle22"/>
          <w:b/>
          <w:bCs/>
        </w:rPr>
        <w:t>Závěrečná ustanovení</w:t>
      </w:r>
      <w:bookmarkEnd w:id="57"/>
    </w:p>
    <w:p>
      <w:pPr>
        <w:pStyle w:val="Style9"/>
        <w:keepNext w:val="0"/>
        <w:keepLines w:val="0"/>
        <w:widowControl w:val="0"/>
        <w:numPr>
          <w:ilvl w:val="0"/>
          <w:numId w:val="63"/>
        </w:numPr>
        <w:shd w:val="clear" w:color="auto" w:fill="auto"/>
        <w:tabs>
          <w:tab w:pos="618" w:val="left"/>
        </w:tabs>
        <w:bidi w:val="0"/>
        <w:spacing w:before="0" w:line="240" w:lineRule="auto"/>
        <w:ind w:left="620" w:right="400" w:hanging="340"/>
        <w:jc w:val="both"/>
      </w:pPr>
      <w:r>
        <w:rPr>
          <w:rStyle w:val="CharStyle10"/>
        </w:rPr>
        <w:t>Nájemce je povinen informovat pronajímatele nejpozdějí do 7 dnů o všech změnách, které mohou mít vliv na jeho plnění smluvních závazků, a to zejména změnu firmy, sídla, bydliště, změnu doručovací adresy, místa podnikání, přeměny společnosti, změnu umístění předmětu leasingu, zahájení řízení o výkonu rozhodnutí, či exekuce na majetek nájemce, podání návrhu na zahájení insolvenčního řízení s nájemcem, jakož i veškeré další změny majetkových poměrů nájemce, které by mohly ovlivnit smluvní vztah, založený Smlouvou.</w:t>
      </w:r>
    </w:p>
    <w:p>
      <w:pPr>
        <w:pStyle w:val="Style9"/>
        <w:keepNext w:val="0"/>
        <w:keepLines w:val="0"/>
        <w:widowControl w:val="0"/>
        <w:numPr>
          <w:ilvl w:val="0"/>
          <w:numId w:val="63"/>
        </w:numPr>
        <w:shd w:val="clear" w:color="auto" w:fill="auto"/>
        <w:tabs>
          <w:tab w:pos="618" w:val="left"/>
        </w:tabs>
        <w:bidi w:val="0"/>
        <w:spacing w:before="0" w:line="240" w:lineRule="auto"/>
        <w:ind w:left="0" w:right="0" w:firstLine="280"/>
        <w:jc w:val="left"/>
      </w:pPr>
      <w:r>
        <w:rPr>
          <w:rStyle w:val="CharStyle10"/>
        </w:rPr>
        <w:t>Účastníci sjednávají, že písemnosti dle Smlouvy si mohou vzájemně doručovat do datových schránek.</w:t>
      </w:r>
    </w:p>
    <w:p>
      <w:pPr>
        <w:pStyle w:val="Style9"/>
        <w:keepNext w:val="0"/>
        <w:keepLines w:val="0"/>
        <w:widowControl w:val="0"/>
        <w:numPr>
          <w:ilvl w:val="0"/>
          <w:numId w:val="63"/>
        </w:numPr>
        <w:shd w:val="clear" w:color="auto" w:fill="auto"/>
        <w:tabs>
          <w:tab w:pos="618" w:val="left"/>
        </w:tabs>
        <w:bidi w:val="0"/>
        <w:spacing w:before="0" w:line="240" w:lineRule="auto"/>
        <w:ind w:left="620" w:right="0" w:hanging="340"/>
        <w:jc w:val="both"/>
      </w:pPr>
      <w:r>
        <w:rPr>
          <w:rStyle w:val="CharStyle10"/>
        </w:rPr>
        <w:t>Účastníci se zavazují zachovávat mlčenlivost o skutečnostech, které se v souvislostí s touto Smlouvou dozví, a to i po ukončení Smlouvy. Povinnost mlčenlivosti není dotčena jakýmkoliv nakládáním s uvedenými informacemi v případě porušení povinností nájemce. Nájemce v tomto případě zejména souhlasí s informováním Členů České leasingové a finanční asociace, případně jiných třetích osob.</w:t>
      </w:r>
    </w:p>
    <w:p>
      <w:pPr>
        <w:pStyle w:val="Style9"/>
        <w:keepNext w:val="0"/>
        <w:keepLines w:val="0"/>
        <w:widowControl w:val="0"/>
        <w:numPr>
          <w:ilvl w:val="0"/>
          <w:numId w:val="63"/>
        </w:numPr>
        <w:shd w:val="clear" w:color="auto" w:fill="auto"/>
        <w:tabs>
          <w:tab w:pos="618" w:val="left"/>
        </w:tabs>
        <w:bidi w:val="0"/>
        <w:spacing w:before="0" w:line="240" w:lineRule="auto"/>
        <w:ind w:left="620" w:right="0" w:hanging="340"/>
        <w:jc w:val="both"/>
      </w:pPr>
      <w:r>
        <w:rPr>
          <w:rStyle w:val="CharStyle10"/>
        </w:rPr>
        <w:t>Účastníci sjednávají, že veškeré spory, vzniklé v souvislosti se Smlouvou, budou řešit přednostně dohodou, teprve v případě neúspěchu takového řešení pak soudní cestou dle platného práva.</w:t>
      </w:r>
    </w:p>
    <w:p>
      <w:pPr>
        <w:pStyle w:val="Style9"/>
        <w:keepNext w:val="0"/>
        <w:keepLines w:val="0"/>
        <w:widowControl w:val="0"/>
        <w:numPr>
          <w:ilvl w:val="0"/>
          <w:numId w:val="63"/>
        </w:numPr>
        <w:shd w:val="clear" w:color="auto" w:fill="auto"/>
        <w:tabs>
          <w:tab w:pos="618" w:val="left"/>
        </w:tabs>
        <w:bidi w:val="0"/>
        <w:spacing w:before="0" w:line="240" w:lineRule="auto"/>
        <w:ind w:left="0" w:right="0" w:firstLine="280"/>
        <w:jc w:val="left"/>
      </w:pPr>
      <w:r>
        <w:rPr>
          <w:rStyle w:val="CharStyle10"/>
        </w:rPr>
        <w:t>Veškeré změny Smlouvy musí být v písemné podobě, podepsané oběma stranami.</w:t>
      </w:r>
    </w:p>
    <w:p>
      <w:pPr>
        <w:pStyle w:val="Style9"/>
        <w:keepNext w:val="0"/>
        <w:keepLines w:val="0"/>
        <w:widowControl w:val="0"/>
        <w:numPr>
          <w:ilvl w:val="0"/>
          <w:numId w:val="63"/>
        </w:numPr>
        <w:shd w:val="clear" w:color="auto" w:fill="auto"/>
        <w:tabs>
          <w:tab w:pos="618" w:val="left"/>
        </w:tabs>
        <w:bidi w:val="0"/>
        <w:spacing w:before="0" w:after="700" w:line="240" w:lineRule="auto"/>
        <w:ind w:left="620" w:right="0" w:hanging="340"/>
        <w:jc w:val="both"/>
      </w:pPr>
      <w:r>
        <w:rPr>
          <w:rStyle w:val="CharStyle10"/>
        </w:rPr>
        <w:t>Strany podpisem Smlouvy potvrzují, že se seznámily se všemi právy a povinnostmi, které jim ze Smlouvy vyplývají, a současně nájemce prohlašuje, že se seznámil s těmito obchodními podmínkami a že jim rozumí, souhlasí s nimi a přijímá je.</w:t>
      </w:r>
    </w:p>
    <w:p>
      <w:pPr>
        <w:pStyle w:val="Style9"/>
        <w:keepNext w:val="0"/>
        <w:keepLines w:val="0"/>
        <w:widowControl w:val="0"/>
        <w:shd w:val="clear" w:color="auto" w:fill="auto"/>
        <w:bidi w:val="0"/>
        <w:spacing w:before="0" w:after="380" w:line="240" w:lineRule="auto"/>
        <w:ind w:left="0" w:right="0" w:firstLine="380"/>
        <w:jc w:val="left"/>
      </w:pPr>
      <w:r>
        <w:rPr>
          <w:rStyle w:val="CharStyle10"/>
        </w:rPr>
        <w:t>V Říčanech, dne 29.2.2024</w:t>
      </w:r>
    </w:p>
    <w:p>
      <w:pPr>
        <w:widowControl w:val="0"/>
        <w:jc w:val="center"/>
        <w:rPr>
          <w:sz w:val="2"/>
          <w:szCs w:val="2"/>
        </w:rPr>
      </w:pPr>
      <w:r>
        <w:drawing>
          <wp:inline>
            <wp:extent cx="1804670" cy="402590"/>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8"/>
                    <a:stretch/>
                  </pic:blipFill>
                  <pic:spPr>
                    <a:xfrm>
                      <a:ext cx="1804670" cy="402590"/>
                    </a:xfrm>
                    <a:prstGeom prst="rect"/>
                  </pic:spPr>
                </pic:pic>
              </a:graphicData>
            </a:graphic>
          </wp:inline>
        </w:drawing>
      </w:r>
    </w:p>
    <w:p>
      <w:pPr>
        <w:pStyle w:val="Style38"/>
        <w:keepNext w:val="0"/>
        <w:keepLines w:val="0"/>
        <w:widowControl w:val="0"/>
        <w:shd w:val="clear" w:color="auto" w:fill="auto"/>
        <w:bidi w:val="0"/>
        <w:spacing w:before="0" w:after="0" w:line="240" w:lineRule="auto"/>
        <w:ind w:left="641" w:right="0" w:firstLine="0"/>
        <w:jc w:val="left"/>
        <w:sectPr>
          <w:footerReference w:type="default" r:id="rId20"/>
          <w:footerReference w:type="even" r:id="rId21"/>
          <w:footerReference w:type="first" r:id="rId22"/>
          <w:footnotePr>
            <w:pos w:val="pageBottom"/>
            <w:numFmt w:val="decimal"/>
            <w:numRestart w:val="continuous"/>
          </w:footnotePr>
          <w:pgSz w:w="11900" w:h="16840"/>
          <w:pgMar w:top="1069" w:right="677" w:bottom="1697" w:left="1777" w:header="0" w:footer="3" w:gutter="0"/>
          <w:cols w:space="720"/>
          <w:noEndnote/>
          <w:titlePg/>
          <w:rtlGutter w:val="0"/>
          <w:docGrid w:linePitch="360"/>
        </w:sectPr>
      </w:pPr>
      <w:r>
        <w:rPr>
          <w:rStyle w:val="CharStyle39"/>
        </w:rPr>
        <w:t>Podpis Nájemce</w:t>
      </w:r>
    </w:p>
    <w:tbl>
      <w:tblPr>
        <w:tblOverlap w:val="never"/>
        <w:jc w:val="center"/>
        <w:tblLayout w:type="fixed"/>
      </w:tblPr>
      <w:tblGrid>
        <w:gridCol w:w="2344"/>
        <w:gridCol w:w="7103"/>
      </w:tblGrid>
      <w:tr>
        <w:trPr>
          <w:trHeight w:val="13298" w:hRule="exact"/>
        </w:trPr>
        <w:tc>
          <w:tcPr>
            <w:tcBorders>
              <w:top w:val="single" w:sz="4"/>
              <w:left w:val="single" w:sz="4"/>
              <w:bottom w:val="single" w:sz="4"/>
            </w:tcBorders>
            <w:shd w:val="clear" w:color="auto" w:fill="auto"/>
            <w:vAlign w:val="center"/>
          </w:tcPr>
          <w:p>
            <w:pPr>
              <w:pStyle w:val="Style12"/>
              <w:keepNext w:val="0"/>
              <w:keepLines w:val="0"/>
              <w:widowControl w:val="0"/>
              <w:shd w:val="clear" w:color="auto" w:fill="auto"/>
              <w:bidi w:val="0"/>
              <w:spacing w:before="0" w:after="0" w:line="240" w:lineRule="auto"/>
              <w:ind w:left="0" w:right="0" w:firstLine="0"/>
              <w:jc w:val="left"/>
              <w:rPr>
                <w:sz w:val="20"/>
                <w:szCs w:val="20"/>
              </w:rPr>
            </w:pPr>
            <w:r>
              <w:rPr>
                <w:rStyle w:val="CharStyle13"/>
                <w:rFonts w:ascii="Calibri" w:eastAsia="Calibri" w:hAnsi="Calibri" w:cs="Calibri"/>
                <w:b/>
                <w:bCs/>
                <w:sz w:val="20"/>
                <w:szCs w:val="20"/>
              </w:rPr>
              <w:t>Obchodní podmínky:</w:t>
            </w:r>
          </w:p>
        </w:tc>
        <w:tc>
          <w:tcPr>
            <w:tcBorders>
              <w:top w:val="single" w:sz="4"/>
              <w:left w:val="single" w:sz="4"/>
              <w:bottom w:val="single" w:sz="4"/>
              <w:right w:val="single" w:sz="4"/>
            </w:tcBorders>
            <w:shd w:val="clear" w:color="auto" w:fill="auto"/>
            <w:vAlign w:val="center"/>
          </w:tcPr>
          <w:p>
            <w:pPr>
              <w:pStyle w:val="Style12"/>
              <w:keepNext w:val="0"/>
              <w:keepLines w:val="0"/>
              <w:widowControl w:val="0"/>
              <w:shd w:val="clear" w:color="auto" w:fill="auto"/>
              <w:bidi w:val="0"/>
              <w:spacing w:before="0" w:after="260" w:line="240" w:lineRule="auto"/>
              <w:ind w:left="0" w:right="0" w:firstLine="0"/>
              <w:jc w:val="both"/>
              <w:rPr>
                <w:sz w:val="20"/>
                <w:szCs w:val="20"/>
              </w:rPr>
            </w:pPr>
            <w:r>
              <w:rPr>
                <w:rStyle w:val="CharStyle13"/>
                <w:rFonts w:ascii="Calibri" w:eastAsia="Calibri" w:hAnsi="Calibri" w:cs="Calibri"/>
                <w:sz w:val="20"/>
                <w:szCs w:val="20"/>
              </w:rPr>
              <w:t>Veškeré závazné obchodní podmínky, včetně objektivních podmínek, za nichž je možno překročit výši nabídkové ceny, jsou uvedeny níže v tomto článku.</w:t>
            </w:r>
          </w:p>
          <w:p>
            <w:pPr>
              <w:pStyle w:val="Style12"/>
              <w:keepNext w:val="0"/>
              <w:keepLines w:val="0"/>
              <w:widowControl w:val="0"/>
              <w:shd w:val="clear" w:color="auto" w:fill="auto"/>
              <w:bidi w:val="0"/>
              <w:spacing w:before="0" w:after="260" w:line="240" w:lineRule="auto"/>
              <w:ind w:left="0" w:right="0" w:firstLine="0"/>
              <w:jc w:val="both"/>
              <w:rPr>
                <w:sz w:val="20"/>
                <w:szCs w:val="20"/>
              </w:rPr>
            </w:pPr>
            <w:r>
              <w:rPr>
                <w:rStyle w:val="CharStyle13"/>
                <w:rFonts w:ascii="Calibri" w:eastAsia="Calibri" w:hAnsi="Calibri" w:cs="Calibri"/>
                <w:sz w:val="20"/>
                <w:szCs w:val="20"/>
              </w:rPr>
              <w:t>Uvedené obchodní podmínky jsou minimální, a ve smlouvě není možné zhoršit postavení zadavatele oproti předloženým obchodním podmínkám. Návrh smlouvy v souladu s obchodními podmínkami předloží účastník v nabídce. Zadavatel si vyhrazuje právo o obsahu předložené smlouvy jednat. Vždy však musí být dodrženy uvedené obchodní podmínky jako minimální.</w:t>
            </w:r>
          </w:p>
          <w:p>
            <w:pPr>
              <w:pStyle w:val="Style12"/>
              <w:keepNext w:val="0"/>
              <w:keepLines w:val="0"/>
              <w:widowControl w:val="0"/>
              <w:shd w:val="clear" w:color="auto" w:fill="auto"/>
              <w:bidi w:val="0"/>
              <w:spacing w:before="0" w:after="0" w:line="252" w:lineRule="auto"/>
              <w:ind w:left="0" w:right="0" w:firstLine="0"/>
              <w:jc w:val="both"/>
              <w:rPr>
                <w:sz w:val="20"/>
                <w:szCs w:val="20"/>
              </w:rPr>
            </w:pPr>
            <w:r>
              <w:rPr>
                <w:rStyle w:val="CharStyle13"/>
                <w:rFonts w:ascii="Calibri" w:eastAsia="Calibri" w:hAnsi="Calibri" w:cs="Calibri"/>
                <w:sz w:val="20"/>
                <w:szCs w:val="20"/>
              </w:rPr>
              <w:t>Návrh smlouvy o operativním leasingu musí obsahovat tyto podstatné náležitosti:</w:t>
            </w:r>
          </w:p>
          <w:p>
            <w:pPr>
              <w:pStyle w:val="Style12"/>
              <w:keepNext w:val="0"/>
              <w:keepLines w:val="0"/>
              <w:widowControl w:val="0"/>
              <w:numPr>
                <w:ilvl w:val="0"/>
                <w:numId w:val="65"/>
              </w:numPr>
              <w:shd w:val="clear" w:color="auto" w:fill="auto"/>
              <w:tabs>
                <w:tab w:pos="733" w:val="left"/>
              </w:tabs>
              <w:bidi w:val="0"/>
              <w:spacing w:before="0" w:after="0" w:line="252" w:lineRule="auto"/>
              <w:ind w:left="0" w:right="0" w:firstLine="380"/>
              <w:jc w:val="both"/>
              <w:rPr>
                <w:sz w:val="20"/>
                <w:szCs w:val="20"/>
              </w:rPr>
            </w:pPr>
            <w:r>
              <w:rPr>
                <w:rStyle w:val="CharStyle13"/>
                <w:rFonts w:ascii="Calibri" w:eastAsia="Calibri" w:hAnsi="Calibri" w:cs="Calibri"/>
                <w:sz w:val="20"/>
                <w:szCs w:val="20"/>
              </w:rPr>
              <w:t>popis předmětu (typ a vybavení vozidla),</w:t>
            </w:r>
          </w:p>
          <w:p>
            <w:pPr>
              <w:pStyle w:val="Style12"/>
              <w:keepNext w:val="0"/>
              <w:keepLines w:val="0"/>
              <w:widowControl w:val="0"/>
              <w:numPr>
                <w:ilvl w:val="0"/>
                <w:numId w:val="65"/>
              </w:numPr>
              <w:shd w:val="clear" w:color="auto" w:fill="auto"/>
              <w:tabs>
                <w:tab w:pos="733" w:val="left"/>
              </w:tabs>
              <w:bidi w:val="0"/>
              <w:spacing w:before="0" w:after="0" w:line="252" w:lineRule="auto"/>
              <w:ind w:left="700" w:right="0" w:hanging="320"/>
              <w:jc w:val="both"/>
              <w:rPr>
                <w:sz w:val="20"/>
                <w:szCs w:val="20"/>
              </w:rPr>
            </w:pPr>
            <w:r>
              <w:rPr>
                <w:rStyle w:val="CharStyle13"/>
                <w:rFonts w:ascii="Calibri" w:eastAsia="Calibri" w:hAnsi="Calibri" w:cs="Calibri"/>
                <w:sz w:val="20"/>
                <w:szCs w:val="20"/>
              </w:rPr>
              <w:t>předpokládaný maximální nájezd kilometrů za rok (dále jen nájezd km; musí být v souladu se zadávacími podmínkami),</w:t>
            </w:r>
          </w:p>
          <w:p>
            <w:pPr>
              <w:pStyle w:val="Style12"/>
              <w:keepNext w:val="0"/>
              <w:keepLines w:val="0"/>
              <w:widowControl w:val="0"/>
              <w:numPr>
                <w:ilvl w:val="0"/>
                <w:numId w:val="65"/>
              </w:numPr>
              <w:shd w:val="clear" w:color="auto" w:fill="auto"/>
              <w:tabs>
                <w:tab w:pos="733" w:val="left"/>
              </w:tabs>
              <w:bidi w:val="0"/>
              <w:spacing w:before="0" w:after="260" w:line="252" w:lineRule="auto"/>
              <w:ind w:left="0" w:right="0" w:firstLine="380"/>
              <w:jc w:val="both"/>
              <w:rPr>
                <w:sz w:val="20"/>
                <w:szCs w:val="20"/>
              </w:rPr>
            </w:pPr>
            <w:r>
              <w:rPr>
                <w:rStyle w:val="CharStyle13"/>
                <w:rFonts w:ascii="Calibri" w:eastAsia="Calibri" w:hAnsi="Calibri" w:cs="Calibri"/>
                <w:sz w:val="20"/>
                <w:szCs w:val="20"/>
              </w:rPr>
              <w:t>podrobný popis služeb,</w:t>
            </w:r>
          </w:p>
          <w:p>
            <w:pPr>
              <w:pStyle w:val="Style12"/>
              <w:keepNext w:val="0"/>
              <w:keepLines w:val="0"/>
              <w:widowControl w:val="0"/>
              <w:shd w:val="clear" w:color="auto" w:fill="auto"/>
              <w:bidi w:val="0"/>
              <w:spacing w:before="0" w:after="0" w:line="252" w:lineRule="auto"/>
              <w:ind w:left="0" w:right="0" w:firstLine="0"/>
              <w:jc w:val="both"/>
              <w:rPr>
                <w:sz w:val="20"/>
                <w:szCs w:val="20"/>
              </w:rPr>
            </w:pPr>
            <w:r>
              <w:rPr>
                <w:rStyle w:val="CharStyle13"/>
                <w:rFonts w:ascii="Calibri" w:eastAsia="Calibri" w:hAnsi="Calibri" w:cs="Calibri"/>
                <w:sz w:val="20"/>
                <w:szCs w:val="20"/>
              </w:rPr>
              <w:t>Předmět plnění bude dodán za těchto závazných obchodních podmínek:</w:t>
            </w:r>
          </w:p>
          <w:p>
            <w:pPr>
              <w:pStyle w:val="Style12"/>
              <w:keepNext w:val="0"/>
              <w:keepLines w:val="0"/>
              <w:widowControl w:val="0"/>
              <w:numPr>
                <w:ilvl w:val="0"/>
                <w:numId w:val="67"/>
              </w:numPr>
              <w:shd w:val="clear" w:color="auto" w:fill="auto"/>
              <w:tabs>
                <w:tab w:pos="769" w:val="left"/>
              </w:tabs>
              <w:bidi w:val="0"/>
              <w:spacing w:before="0" w:after="0" w:line="252" w:lineRule="auto"/>
              <w:ind w:left="700" w:right="0" w:hanging="320"/>
              <w:jc w:val="both"/>
              <w:rPr>
                <w:sz w:val="20"/>
                <w:szCs w:val="20"/>
              </w:rPr>
            </w:pPr>
            <w:r>
              <w:rPr>
                <w:rStyle w:val="CharStyle13"/>
                <w:rFonts w:ascii="Calibri" w:eastAsia="Calibri" w:hAnsi="Calibri" w:cs="Calibri"/>
                <w:sz w:val="20"/>
                <w:szCs w:val="20"/>
              </w:rPr>
              <w:t>Nájemné bude hrazeno na základě měsíčních faktur. Splatnost daňového dokladu - faktury je stanovena na 30 dnů ode dne doručení zadavateli. Faktura musí obsahovat náležitosti stanovené příslušnými právními předpisy, především zákonem č. 235/2004 Sb., o dani z přidané hodnoty, ve znění pozdějších předpisů. Pokud faktura tyto náležitosti nebude obsahovat, má zadavatel právo ji vrátit k přepracování a doplnění, v takovém případě počíná lhůta splatnosti běžet od doručení řádně opravené faktury.</w:t>
            </w:r>
          </w:p>
          <w:p>
            <w:pPr>
              <w:pStyle w:val="Style12"/>
              <w:keepNext w:val="0"/>
              <w:keepLines w:val="0"/>
              <w:widowControl w:val="0"/>
              <w:numPr>
                <w:ilvl w:val="0"/>
                <w:numId w:val="67"/>
              </w:numPr>
              <w:shd w:val="clear" w:color="auto" w:fill="auto"/>
              <w:tabs>
                <w:tab w:pos="769" w:val="left"/>
              </w:tabs>
              <w:bidi w:val="0"/>
              <w:spacing w:before="0" w:after="0" w:line="252" w:lineRule="auto"/>
              <w:ind w:left="700" w:right="0" w:hanging="320"/>
              <w:jc w:val="both"/>
              <w:rPr>
                <w:sz w:val="20"/>
                <w:szCs w:val="20"/>
              </w:rPr>
            </w:pPr>
            <w:r>
              <w:rPr>
                <w:rStyle w:val="CharStyle13"/>
                <w:rFonts w:ascii="Calibri" w:eastAsia="Calibri" w:hAnsi="Calibri" w:cs="Calibri"/>
                <w:sz w:val="20"/>
                <w:szCs w:val="20"/>
              </w:rPr>
              <w:t>Předmět nájmu bude možné využívat na území České republiky i v zahraničí.</w:t>
            </w:r>
          </w:p>
          <w:p>
            <w:pPr>
              <w:pStyle w:val="Style12"/>
              <w:keepNext w:val="0"/>
              <w:keepLines w:val="0"/>
              <w:widowControl w:val="0"/>
              <w:numPr>
                <w:ilvl w:val="0"/>
                <w:numId w:val="67"/>
              </w:numPr>
              <w:shd w:val="clear" w:color="auto" w:fill="auto"/>
              <w:tabs>
                <w:tab w:pos="769" w:val="left"/>
              </w:tabs>
              <w:bidi w:val="0"/>
              <w:spacing w:before="0" w:after="0" w:line="252" w:lineRule="auto"/>
              <w:ind w:left="700" w:right="0" w:hanging="320"/>
              <w:jc w:val="both"/>
              <w:rPr>
                <w:sz w:val="20"/>
                <w:szCs w:val="20"/>
              </w:rPr>
            </w:pPr>
            <w:r>
              <w:rPr>
                <w:rStyle w:val="CharStyle13"/>
                <w:rFonts w:ascii="Calibri" w:eastAsia="Calibri" w:hAnsi="Calibri" w:cs="Calibri"/>
                <w:sz w:val="20"/>
                <w:szCs w:val="20"/>
              </w:rPr>
              <w:t>Překročí-li zadavatel sjednaný roční nájezd km o více než 1000 km, zaplatí za každý 1 km vedle nájemného částku ve výši 2,50 Kč za 1 km bez DPH. V případě, že zadavatel sjednaného ročního nájezdu km nedosáhne, není povinen hradit za neujeté km žádné finanční plnění.</w:t>
            </w:r>
          </w:p>
          <w:p>
            <w:pPr>
              <w:pStyle w:val="Style12"/>
              <w:keepNext w:val="0"/>
              <w:keepLines w:val="0"/>
              <w:widowControl w:val="0"/>
              <w:numPr>
                <w:ilvl w:val="0"/>
                <w:numId w:val="67"/>
              </w:numPr>
              <w:shd w:val="clear" w:color="auto" w:fill="auto"/>
              <w:tabs>
                <w:tab w:pos="769" w:val="left"/>
              </w:tabs>
              <w:bidi w:val="0"/>
              <w:spacing w:before="0" w:after="0" w:line="252" w:lineRule="auto"/>
              <w:ind w:left="700" w:right="0" w:hanging="320"/>
              <w:jc w:val="both"/>
              <w:rPr>
                <w:sz w:val="20"/>
                <w:szCs w:val="20"/>
              </w:rPr>
            </w:pPr>
            <w:r>
              <w:rPr>
                <w:rStyle w:val="CharStyle13"/>
                <w:rFonts w:ascii="Calibri" w:eastAsia="Calibri" w:hAnsi="Calibri" w:cs="Calibri"/>
                <w:sz w:val="20"/>
                <w:szCs w:val="20"/>
              </w:rPr>
              <w:t>Veškeré ceny uvedené ve smlouvě jsou uvedeny jako maximální a nepřekročitelné, mimo případné změny sazeb DPH.</w:t>
            </w:r>
          </w:p>
          <w:p>
            <w:pPr>
              <w:pStyle w:val="Style12"/>
              <w:keepNext w:val="0"/>
              <w:keepLines w:val="0"/>
              <w:widowControl w:val="0"/>
              <w:numPr>
                <w:ilvl w:val="0"/>
                <w:numId w:val="67"/>
              </w:numPr>
              <w:shd w:val="clear" w:color="auto" w:fill="auto"/>
              <w:tabs>
                <w:tab w:pos="769" w:val="left"/>
              </w:tabs>
              <w:bidi w:val="0"/>
              <w:spacing w:before="0" w:after="0" w:line="252" w:lineRule="auto"/>
              <w:ind w:left="700" w:right="0" w:hanging="320"/>
              <w:jc w:val="both"/>
              <w:rPr>
                <w:sz w:val="20"/>
                <w:szCs w:val="20"/>
              </w:rPr>
            </w:pPr>
            <w:r>
              <w:rPr>
                <w:rStyle w:val="CharStyle13"/>
                <w:rFonts w:ascii="Calibri" w:eastAsia="Calibri" w:hAnsi="Calibri" w:cs="Calibri"/>
                <w:sz w:val="20"/>
                <w:szCs w:val="20"/>
              </w:rPr>
              <w:t>Dodavatel (vybraný účastník) je povinen přihlásit Předmět nájmu u příslušného správního úřadu a sjednat zákonné a havarijní pojištění Předmětu nájmu nejpozději ke dni jeho předání zadavateli.</w:t>
            </w:r>
          </w:p>
          <w:p>
            <w:pPr>
              <w:pStyle w:val="Style12"/>
              <w:keepNext w:val="0"/>
              <w:keepLines w:val="0"/>
              <w:widowControl w:val="0"/>
              <w:numPr>
                <w:ilvl w:val="0"/>
                <w:numId w:val="67"/>
              </w:numPr>
              <w:shd w:val="clear" w:color="auto" w:fill="auto"/>
              <w:tabs>
                <w:tab w:pos="769" w:val="left"/>
              </w:tabs>
              <w:bidi w:val="0"/>
              <w:spacing w:before="0" w:after="0" w:line="252" w:lineRule="auto"/>
              <w:ind w:left="700" w:right="0" w:hanging="320"/>
              <w:jc w:val="both"/>
              <w:rPr>
                <w:sz w:val="20"/>
                <w:szCs w:val="20"/>
              </w:rPr>
            </w:pPr>
            <w:r>
              <w:rPr>
                <w:rStyle w:val="CharStyle13"/>
                <w:rFonts w:ascii="Calibri" w:eastAsia="Calibri" w:hAnsi="Calibri" w:cs="Calibri"/>
                <w:sz w:val="20"/>
                <w:szCs w:val="20"/>
              </w:rPr>
              <w:t>Dodavatel je povinen předat Předmět nájmu zadavateli do užívání nejpozději 10 dnů od uzavření smlouvy, a to včetně dokumentů, které jsou nezbytné k řádnému užívání Předmětu nájmu, tedy zejména těchto dokumentů:</w:t>
            </w:r>
          </w:p>
          <w:p>
            <w:pPr>
              <w:pStyle w:val="Style12"/>
              <w:keepNext w:val="0"/>
              <w:keepLines w:val="0"/>
              <w:widowControl w:val="0"/>
              <w:numPr>
                <w:ilvl w:val="0"/>
                <w:numId w:val="69"/>
              </w:numPr>
              <w:shd w:val="clear" w:color="auto" w:fill="auto"/>
              <w:tabs>
                <w:tab w:pos="1046" w:val="left"/>
              </w:tabs>
              <w:bidi w:val="0"/>
              <w:spacing w:before="0" w:after="0" w:line="252" w:lineRule="auto"/>
              <w:ind w:left="0" w:right="0" w:firstLine="700"/>
              <w:jc w:val="both"/>
              <w:rPr>
                <w:sz w:val="20"/>
                <w:szCs w:val="20"/>
              </w:rPr>
            </w:pPr>
            <w:r>
              <w:rPr>
                <w:rStyle w:val="CharStyle13"/>
                <w:rFonts w:ascii="Calibri" w:eastAsia="Calibri" w:hAnsi="Calibri" w:cs="Calibri"/>
                <w:sz w:val="20"/>
                <w:szCs w:val="20"/>
              </w:rPr>
              <w:t>osvědčení o registraci Předmětu nájmu,</w:t>
            </w:r>
          </w:p>
          <w:p>
            <w:pPr>
              <w:pStyle w:val="Style12"/>
              <w:keepNext w:val="0"/>
              <w:keepLines w:val="0"/>
              <w:widowControl w:val="0"/>
              <w:numPr>
                <w:ilvl w:val="0"/>
                <w:numId w:val="69"/>
              </w:numPr>
              <w:shd w:val="clear" w:color="auto" w:fill="auto"/>
              <w:tabs>
                <w:tab w:pos="1046" w:val="left"/>
              </w:tabs>
              <w:bidi w:val="0"/>
              <w:spacing w:before="0" w:after="0" w:line="252" w:lineRule="auto"/>
              <w:ind w:left="0" w:right="0" w:firstLine="700"/>
              <w:jc w:val="both"/>
              <w:rPr>
                <w:sz w:val="20"/>
                <w:szCs w:val="20"/>
              </w:rPr>
            </w:pPr>
            <w:r>
              <w:rPr>
                <w:rStyle w:val="CharStyle13"/>
                <w:rFonts w:ascii="Calibri" w:eastAsia="Calibri" w:hAnsi="Calibri" w:cs="Calibri"/>
                <w:sz w:val="20"/>
                <w:szCs w:val="20"/>
              </w:rPr>
              <w:t>oprávnění k užívání Předmětu nájmu zadavatelem,</w:t>
            </w:r>
          </w:p>
          <w:p>
            <w:pPr>
              <w:pStyle w:val="Style12"/>
              <w:keepNext w:val="0"/>
              <w:keepLines w:val="0"/>
              <w:widowControl w:val="0"/>
              <w:numPr>
                <w:ilvl w:val="0"/>
                <w:numId w:val="69"/>
              </w:numPr>
              <w:shd w:val="clear" w:color="auto" w:fill="auto"/>
              <w:tabs>
                <w:tab w:pos="1046" w:val="left"/>
              </w:tabs>
              <w:bidi w:val="0"/>
              <w:spacing w:before="0" w:after="0" w:line="252" w:lineRule="auto"/>
              <w:ind w:left="700" w:right="0" w:firstLine="20"/>
              <w:jc w:val="both"/>
              <w:rPr>
                <w:sz w:val="20"/>
                <w:szCs w:val="20"/>
              </w:rPr>
            </w:pPr>
            <w:r>
              <w:rPr>
                <w:rStyle w:val="CharStyle13"/>
                <w:rFonts w:ascii="Calibri" w:eastAsia="Calibri" w:hAnsi="Calibri" w:cs="Calibri"/>
                <w:sz w:val="20"/>
                <w:szCs w:val="20"/>
              </w:rPr>
              <w:t>mezinárodní automobilová pojišťovací karta ~ Zelená karta, d) doklad o zaplacení elektronické dálniční známky</w:t>
            </w:r>
          </w:p>
          <w:p>
            <w:pPr>
              <w:pStyle w:val="Style12"/>
              <w:keepNext w:val="0"/>
              <w:keepLines w:val="0"/>
              <w:widowControl w:val="0"/>
              <w:numPr>
                <w:ilvl w:val="0"/>
                <w:numId w:val="71"/>
              </w:numPr>
              <w:shd w:val="clear" w:color="auto" w:fill="auto"/>
              <w:tabs>
                <w:tab w:pos="1046" w:val="left"/>
              </w:tabs>
              <w:bidi w:val="0"/>
              <w:spacing w:before="0" w:after="0" w:line="252" w:lineRule="auto"/>
              <w:ind w:left="0" w:right="0" w:firstLine="700"/>
              <w:jc w:val="both"/>
              <w:rPr>
                <w:sz w:val="20"/>
                <w:szCs w:val="20"/>
              </w:rPr>
            </w:pPr>
            <w:r>
              <w:rPr>
                <w:rStyle w:val="CharStyle13"/>
                <w:rFonts w:ascii="Calibri" w:eastAsia="Calibri" w:hAnsi="Calibri" w:cs="Calibri"/>
                <w:sz w:val="20"/>
                <w:szCs w:val="20"/>
              </w:rPr>
              <w:t>karta silniční asistence,</w:t>
            </w:r>
          </w:p>
          <w:p>
            <w:pPr>
              <w:pStyle w:val="Style12"/>
              <w:keepNext w:val="0"/>
              <w:keepLines w:val="0"/>
              <w:widowControl w:val="0"/>
              <w:numPr>
                <w:ilvl w:val="0"/>
                <w:numId w:val="71"/>
              </w:numPr>
              <w:shd w:val="clear" w:color="auto" w:fill="auto"/>
              <w:tabs>
                <w:tab w:pos="1046" w:val="left"/>
              </w:tabs>
              <w:bidi w:val="0"/>
              <w:spacing w:before="0" w:after="0" w:line="252" w:lineRule="auto"/>
              <w:ind w:left="0" w:right="0" w:firstLine="700"/>
              <w:jc w:val="both"/>
              <w:rPr>
                <w:sz w:val="20"/>
                <w:szCs w:val="20"/>
              </w:rPr>
            </w:pPr>
            <w:r>
              <w:rPr>
                <w:rStyle w:val="CharStyle13"/>
                <w:rFonts w:ascii="Calibri" w:eastAsia="Calibri" w:hAnsi="Calibri" w:cs="Calibri"/>
                <w:sz w:val="20"/>
                <w:szCs w:val="20"/>
              </w:rPr>
              <w:t>servisní karta,</w:t>
            </w:r>
          </w:p>
          <w:p>
            <w:pPr>
              <w:pStyle w:val="Style12"/>
              <w:keepNext w:val="0"/>
              <w:keepLines w:val="0"/>
              <w:widowControl w:val="0"/>
              <w:numPr>
                <w:ilvl w:val="0"/>
                <w:numId w:val="67"/>
              </w:numPr>
              <w:shd w:val="clear" w:color="auto" w:fill="auto"/>
              <w:tabs>
                <w:tab w:pos="769" w:val="left"/>
              </w:tabs>
              <w:bidi w:val="0"/>
              <w:spacing w:before="0" w:after="0" w:line="252" w:lineRule="auto"/>
              <w:ind w:left="700" w:right="0" w:hanging="320"/>
              <w:jc w:val="both"/>
              <w:rPr>
                <w:sz w:val="20"/>
                <w:szCs w:val="20"/>
              </w:rPr>
            </w:pPr>
            <w:r>
              <w:rPr>
                <w:rStyle w:val="CharStyle13"/>
                <w:rFonts w:ascii="Calibri" w:eastAsia="Calibri" w:hAnsi="Calibri" w:cs="Calibri"/>
                <w:sz w:val="20"/>
                <w:szCs w:val="20"/>
              </w:rPr>
              <w:t>Zadavatel je oprávněn odstoupit od smlouvy o operativním leasingu, jestliže:</w:t>
            </w:r>
          </w:p>
          <w:p>
            <w:pPr>
              <w:pStyle w:val="Style12"/>
              <w:keepNext w:val="0"/>
              <w:keepLines w:val="0"/>
              <w:widowControl w:val="0"/>
              <w:shd w:val="clear" w:color="auto" w:fill="auto"/>
              <w:bidi w:val="0"/>
              <w:spacing w:before="0" w:after="260" w:line="252" w:lineRule="auto"/>
              <w:ind w:left="1060" w:right="0" w:hanging="340"/>
              <w:jc w:val="both"/>
              <w:rPr>
                <w:sz w:val="20"/>
                <w:szCs w:val="20"/>
              </w:rPr>
            </w:pPr>
            <w:r>
              <w:rPr>
                <w:rStyle w:val="CharStyle13"/>
                <w:rFonts w:ascii="Calibri" w:eastAsia="Calibri" w:hAnsi="Calibri" w:cs="Calibri"/>
                <w:sz w:val="20"/>
                <w:szCs w:val="20"/>
              </w:rPr>
              <w:t>a) Dodavatel nesplní svoji povinnost předat Předmět nájmu v řádném stavu a řádně pojištěnu (z titulu zákonného i havarijního pojištění) ve lhůtě do 5(pěti) dnů po uplynutí lhůty pro dodání Předmětu nájmu uvedené ve smlouvě.</w:t>
            </w:r>
          </w:p>
        </w:tc>
      </w:tr>
    </w:tbl>
    <w:p>
      <w:pPr>
        <w:spacing w:lineRule="exact" w:line="1"/>
        <w:rPr>
          <w:sz w:val="2"/>
          <w:szCs w:val="2"/>
        </w:rPr>
      </w:pPr>
      <w:r>
        <w:br w:type="page"/>
      </w:r>
    </w:p>
    <w:tbl>
      <w:tblPr>
        <w:tblOverlap w:val="never"/>
        <w:jc w:val="center"/>
        <w:tblLayout w:type="fixed"/>
      </w:tblPr>
      <w:tblGrid>
        <w:gridCol w:w="2329"/>
        <w:gridCol w:w="7081"/>
      </w:tblGrid>
      <w:tr>
        <w:trPr>
          <w:trHeight w:val="7870" w:hRule="exact"/>
        </w:trPr>
        <w:tc>
          <w:tcPr>
            <w:tcBorders>
              <w:top w:val="single" w:sz="4"/>
              <w:left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12"/>
              <w:keepNext w:val="0"/>
              <w:keepLines w:val="0"/>
              <w:widowControl w:val="0"/>
              <w:numPr>
                <w:ilvl w:val="0"/>
                <w:numId w:val="73"/>
              </w:numPr>
              <w:shd w:val="clear" w:color="auto" w:fill="auto"/>
              <w:tabs>
                <w:tab w:pos="1066" w:val="left"/>
              </w:tabs>
              <w:bidi w:val="0"/>
              <w:spacing w:before="0" w:after="0" w:line="252" w:lineRule="auto"/>
              <w:ind w:left="1060" w:right="0" w:hanging="340"/>
              <w:jc w:val="both"/>
              <w:rPr>
                <w:sz w:val="20"/>
                <w:szCs w:val="20"/>
              </w:rPr>
            </w:pPr>
            <w:r>
              <w:rPr>
                <w:rStyle w:val="CharStyle13"/>
                <w:rFonts w:ascii="Calibri" w:eastAsia="Calibri" w:hAnsi="Calibri" w:cs="Calibri"/>
                <w:sz w:val="20"/>
                <w:szCs w:val="20"/>
              </w:rPr>
              <w:t>Dodavatel nesplní svoji povinnost zajistit řádný technický stav Předmětu nájmu</w:t>
            </w:r>
          </w:p>
          <w:p>
            <w:pPr>
              <w:pStyle w:val="Style12"/>
              <w:keepNext w:val="0"/>
              <w:keepLines w:val="0"/>
              <w:widowControl w:val="0"/>
              <w:numPr>
                <w:ilvl w:val="0"/>
                <w:numId w:val="73"/>
              </w:numPr>
              <w:shd w:val="clear" w:color="auto" w:fill="auto"/>
              <w:tabs>
                <w:tab w:pos="1066" w:val="left"/>
              </w:tabs>
              <w:bidi w:val="0"/>
              <w:spacing w:before="0" w:after="0" w:line="252" w:lineRule="auto"/>
              <w:ind w:left="0" w:right="0" w:firstLine="720"/>
              <w:jc w:val="both"/>
              <w:rPr>
                <w:sz w:val="20"/>
                <w:szCs w:val="20"/>
              </w:rPr>
            </w:pPr>
            <w:r>
              <w:rPr>
                <w:rStyle w:val="CharStyle13"/>
                <w:rFonts w:ascii="Calibri" w:eastAsia="Calibri" w:hAnsi="Calibri" w:cs="Calibri"/>
                <w:sz w:val="20"/>
                <w:szCs w:val="20"/>
              </w:rPr>
              <w:t>Dodavatel se stane nezpůsobilým plátcem DPH.</w:t>
            </w:r>
          </w:p>
          <w:p>
            <w:pPr>
              <w:pStyle w:val="Style12"/>
              <w:keepNext w:val="0"/>
              <w:keepLines w:val="0"/>
              <w:widowControl w:val="0"/>
              <w:numPr>
                <w:ilvl w:val="0"/>
                <w:numId w:val="75"/>
              </w:numPr>
              <w:shd w:val="clear" w:color="auto" w:fill="auto"/>
              <w:tabs>
                <w:tab w:pos="733" w:val="left"/>
              </w:tabs>
              <w:bidi w:val="0"/>
              <w:spacing w:before="0" w:after="0" w:line="252" w:lineRule="auto"/>
              <w:ind w:left="720" w:right="0" w:hanging="340"/>
              <w:jc w:val="both"/>
              <w:rPr>
                <w:sz w:val="20"/>
                <w:szCs w:val="20"/>
              </w:rPr>
            </w:pPr>
            <w:r>
              <w:rPr>
                <w:rStyle w:val="CharStyle13"/>
                <w:rFonts w:ascii="Calibri" w:eastAsia="Calibri" w:hAnsi="Calibri" w:cs="Calibri"/>
                <w:sz w:val="20"/>
                <w:szCs w:val="20"/>
              </w:rPr>
              <w:t>Dodavatel je povinen zaplatit zhotoviteli smluvní pokutu ve výši 10% měsíčního nájemného, jestliže:</w:t>
            </w:r>
          </w:p>
          <w:p>
            <w:pPr>
              <w:pStyle w:val="Style12"/>
              <w:keepNext w:val="0"/>
              <w:keepLines w:val="0"/>
              <w:widowControl w:val="0"/>
              <w:numPr>
                <w:ilvl w:val="0"/>
                <w:numId w:val="77"/>
              </w:numPr>
              <w:shd w:val="clear" w:color="auto" w:fill="auto"/>
              <w:tabs>
                <w:tab w:pos="1073" w:val="left"/>
              </w:tabs>
              <w:bidi w:val="0"/>
              <w:spacing w:before="0" w:after="0" w:line="252" w:lineRule="auto"/>
              <w:ind w:left="1060" w:right="0" w:hanging="340"/>
              <w:jc w:val="both"/>
              <w:rPr>
                <w:sz w:val="20"/>
                <w:szCs w:val="20"/>
              </w:rPr>
            </w:pPr>
            <w:r>
              <w:rPr>
                <w:rStyle w:val="CharStyle13"/>
                <w:rFonts w:ascii="Calibri" w:eastAsia="Calibri" w:hAnsi="Calibri" w:cs="Calibri"/>
                <w:sz w:val="20"/>
                <w:szCs w:val="20"/>
              </w:rPr>
              <w:t>nesplní včas povinnost opatřit předmět nájmu dálniční známkou,</w:t>
            </w:r>
          </w:p>
          <w:p>
            <w:pPr>
              <w:pStyle w:val="Style12"/>
              <w:keepNext w:val="0"/>
              <w:keepLines w:val="0"/>
              <w:widowControl w:val="0"/>
              <w:numPr>
                <w:ilvl w:val="0"/>
                <w:numId w:val="77"/>
              </w:numPr>
              <w:shd w:val="clear" w:color="auto" w:fill="auto"/>
              <w:tabs>
                <w:tab w:pos="1073" w:val="left"/>
              </w:tabs>
              <w:bidi w:val="0"/>
              <w:spacing w:before="0" w:after="0" w:line="252" w:lineRule="auto"/>
              <w:ind w:left="1060" w:right="0" w:hanging="340"/>
              <w:jc w:val="both"/>
              <w:rPr>
                <w:sz w:val="20"/>
                <w:szCs w:val="20"/>
              </w:rPr>
            </w:pPr>
            <w:r>
              <w:rPr>
                <w:rStyle w:val="CharStyle13"/>
                <w:rFonts w:ascii="Calibri" w:eastAsia="Calibri" w:hAnsi="Calibri" w:cs="Calibri"/>
                <w:sz w:val="20"/>
                <w:szCs w:val="20"/>
              </w:rPr>
              <w:t>jestliže nesplní včas povinnost poskytnout zadavateli náhradní vozidlo. Neposkytne-li náhradní vozidlo do 24 hodin, a to na dobu nejméně 4 dnů v případě nepojízdnosti vozu při využití asistenční služby, je povinen zaplatit zadavateli smluvní pokutu ve výši měsíčního nájemného. Neposkytne-li náhradnívozidlo ani do jednoho měsíce, je zadavatel oprávněn odstoupit od smlouvy o operativním nájmu.</w:t>
            </w:r>
          </w:p>
          <w:p>
            <w:pPr>
              <w:pStyle w:val="Style12"/>
              <w:keepNext w:val="0"/>
              <w:keepLines w:val="0"/>
              <w:widowControl w:val="0"/>
              <w:numPr>
                <w:ilvl w:val="0"/>
                <w:numId w:val="77"/>
              </w:numPr>
              <w:shd w:val="clear" w:color="auto" w:fill="auto"/>
              <w:tabs>
                <w:tab w:pos="1073" w:val="left"/>
              </w:tabs>
              <w:bidi w:val="0"/>
              <w:spacing w:before="0" w:after="0" w:line="252" w:lineRule="auto"/>
              <w:ind w:left="1060" w:right="0" w:hanging="340"/>
              <w:jc w:val="both"/>
              <w:rPr>
                <w:sz w:val="20"/>
                <w:szCs w:val="20"/>
              </w:rPr>
            </w:pPr>
            <w:r>
              <w:rPr>
                <w:rStyle w:val="CharStyle13"/>
                <w:rFonts w:ascii="Calibri" w:eastAsia="Calibri" w:hAnsi="Calibri" w:cs="Calibri"/>
                <w:sz w:val="20"/>
                <w:szCs w:val="20"/>
              </w:rPr>
              <w:t>jestliže nesplní včas povinnost poskytnout zadavateli asistenční služby. Neposkytne-li asistenční služby do 2 hodin na území České republiky od žádosti zadavatele o poskytnutí asistenční služby, je povinen zaplatit zadavateli smluvní pokutu ve výši měsíčního nájemného.</w:t>
            </w:r>
          </w:p>
          <w:p>
            <w:pPr>
              <w:pStyle w:val="Style12"/>
              <w:keepNext w:val="0"/>
              <w:keepLines w:val="0"/>
              <w:widowControl w:val="0"/>
              <w:numPr>
                <w:ilvl w:val="0"/>
                <w:numId w:val="75"/>
              </w:numPr>
              <w:shd w:val="clear" w:color="auto" w:fill="auto"/>
              <w:tabs>
                <w:tab w:pos="733" w:val="left"/>
              </w:tabs>
              <w:bidi w:val="0"/>
              <w:spacing w:before="0" w:after="0" w:line="252" w:lineRule="auto"/>
              <w:ind w:left="720" w:right="0" w:hanging="340"/>
              <w:jc w:val="both"/>
              <w:rPr>
                <w:sz w:val="20"/>
                <w:szCs w:val="20"/>
              </w:rPr>
            </w:pPr>
            <w:r>
              <w:rPr>
                <w:rStyle w:val="CharStyle13"/>
                <w:rFonts w:ascii="Calibri" w:eastAsia="Calibri" w:hAnsi="Calibri" w:cs="Calibri"/>
                <w:sz w:val="20"/>
                <w:szCs w:val="20"/>
              </w:rPr>
              <w:t>Odstoupením od smlouvy není dotčena povinnost dodavatele uhradit zadavateli náhradu škody, která mu v důsledku porušení povinností, za něž byla smluvní pokuta sjednána, vznikla.</w:t>
            </w:r>
          </w:p>
          <w:p>
            <w:pPr>
              <w:pStyle w:val="Style12"/>
              <w:keepNext w:val="0"/>
              <w:keepLines w:val="0"/>
              <w:widowControl w:val="0"/>
              <w:numPr>
                <w:ilvl w:val="0"/>
                <w:numId w:val="75"/>
              </w:numPr>
              <w:shd w:val="clear" w:color="auto" w:fill="auto"/>
              <w:tabs>
                <w:tab w:pos="733" w:val="left"/>
              </w:tabs>
              <w:bidi w:val="0"/>
              <w:spacing w:before="0" w:after="0" w:line="252" w:lineRule="auto"/>
              <w:ind w:left="720" w:right="0" w:hanging="340"/>
              <w:jc w:val="both"/>
              <w:rPr>
                <w:sz w:val="20"/>
                <w:szCs w:val="20"/>
              </w:rPr>
            </w:pPr>
            <w:r>
              <w:rPr>
                <w:rStyle w:val="CharStyle13"/>
                <w:rFonts w:ascii="Calibri" w:eastAsia="Calibri" w:hAnsi="Calibri" w:cs="Calibri"/>
                <w:sz w:val="20"/>
                <w:szCs w:val="20"/>
              </w:rPr>
              <w:t>Dodavatel musí bezvýhradně souhlasit se zveřejněním plného znění Smlouvy tak, aby tato smlouva mohla být předmětem poskytnuté informace ve smyslu zákona č. 106/1999 Sb., o svobodném přístupu k informacím, ve znění pozdějších předpisů. Dodavatel musí rovněž souhlasit se zveřejněním plného znění smlouvy dle § 219 zákona č. 134/2016 Sb., o zadávání veřejných zakázek, ve znění pozdějších předpisů a zákona č. 340/2015 Sb., o zvláštních podmínkách účinnosti některých smluv, uveřejňování těchto smluv a o registru smluv (zákon o registru smluv).</w:t>
            </w:r>
          </w:p>
        </w:tc>
      </w:tr>
    </w:tbl>
    <w:p>
      <w:pPr>
        <w:widowControl w:val="0"/>
        <w:spacing w:after="519" w:line="1" w:lineRule="exact"/>
      </w:pPr>
    </w:p>
    <w:p>
      <w:pPr>
        <w:widowControl w:val="0"/>
        <w:jc w:val="center"/>
        <w:rPr>
          <w:sz w:val="2"/>
          <w:szCs w:val="2"/>
        </w:rPr>
      </w:pPr>
      <w:r>
        <w:drawing>
          <wp:inline>
            <wp:extent cx="2316480" cy="1432560"/>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3"/>
                    <a:stretch/>
                  </pic:blipFill>
                  <pic:spPr>
                    <a:xfrm>
                      <a:ext cx="2316480" cy="1432560"/>
                    </a:xfrm>
                    <a:prstGeom prst="rect"/>
                  </pic:spPr>
                </pic:pic>
              </a:graphicData>
            </a:graphic>
          </wp:inline>
        </w:drawing>
      </w:r>
    </w:p>
    <w:sectPr>
      <w:headerReference w:type="default" r:id="rId25"/>
      <w:footerReference w:type="default" r:id="rId26"/>
      <w:headerReference w:type="even" r:id="rId27"/>
      <w:footerReference w:type="even" r:id="rId28"/>
      <w:footnotePr>
        <w:pos w:val="pageBottom"/>
        <w:numFmt w:val="decimal"/>
        <w:numRestart w:val="continuous"/>
      </w:footnotePr>
      <w:pgSz w:w="11900" w:h="16840"/>
      <w:pgMar w:top="1980" w:right="554" w:bottom="1558" w:left="1900" w:header="0" w:footer="1130" w:gutter="0"/>
      <w:pgNumType w:start="1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3814445</wp:posOffset>
              </wp:positionH>
              <wp:positionV relativeFrom="page">
                <wp:posOffset>9770110</wp:posOffset>
              </wp:positionV>
              <wp:extent cx="612775" cy="221615"/>
              <wp:wrapNone/>
              <wp:docPr id="8" name="Shape 8"/>
              <a:graphic xmlns:a="http://schemas.openxmlformats.org/drawingml/2006/main">
                <a:graphicData uri="http://schemas.microsoft.com/office/word/2010/wordprocessingShape">
                  <wps:wsp>
                    <wps:cNvSpPr txBox="1"/>
                    <wps:spPr>
                      <a:xfrm>
                        <a:ext cx="612775" cy="22161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w:t>
                          </w:r>
                          <w:fldSimple w:instr=" PAGE \* MERGEFORMAT ">
                            <w:r>
                              <w:rPr>
                                <w:rStyle w:val="CharStyle26"/>
                                <w:sz w:val="16"/>
                                <w:szCs w:val="16"/>
                              </w:rPr>
                              <w:t>#</w:t>
                            </w:r>
                          </w:fldSimple>
                          <w:r>
                            <w:rPr>
                              <w:rStyle w:val="CharStyle26"/>
                              <w:sz w:val="16"/>
                              <w:szCs w:val="16"/>
                            </w:rPr>
                            <w:t xml:space="preserve"> -</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margin-left:300.35000000000002pt;margin-top:769.30000000000007pt;width:48.25pt;height:17.449999999999999pt;z-index:-188744063;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w:t>
                    </w:r>
                    <w:fldSimple w:instr=" PAGE \* MERGEFORMAT ">
                      <w:r>
                        <w:rPr>
                          <w:rStyle w:val="CharStyle26"/>
                          <w:sz w:val="16"/>
                          <w:szCs w:val="16"/>
                        </w:rPr>
                        <w:t>#</w:t>
                      </w:r>
                    </w:fldSimple>
                    <w:r>
                      <w:rPr>
                        <w:rStyle w:val="CharStyle26"/>
                        <w:sz w:val="16"/>
                        <w:szCs w:val="16"/>
                      </w:rPr>
                      <w:t xml:space="preserve"> -</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3803015</wp:posOffset>
              </wp:positionH>
              <wp:positionV relativeFrom="page">
                <wp:posOffset>9763125</wp:posOffset>
              </wp:positionV>
              <wp:extent cx="608330" cy="219710"/>
              <wp:wrapNone/>
              <wp:docPr id="10" name="Shape 10"/>
              <a:graphic xmlns:a="http://schemas.openxmlformats.org/drawingml/2006/main">
                <a:graphicData uri="http://schemas.microsoft.com/office/word/2010/wordprocessingShape">
                  <wps:wsp>
                    <wps:cNvSpPr txBox="1"/>
                    <wps:spPr>
                      <a:xfrm>
                        <a:ext cx="608330" cy="21971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8"/>
                              <w:szCs w:val="18"/>
                            </w:rPr>
                          </w:pPr>
                          <w:r>
                            <w:rPr>
                              <w:rStyle w:val="CharStyle26"/>
                              <w:rFonts w:ascii="Arial" w:eastAsia="Arial" w:hAnsi="Arial" w:cs="Arial"/>
                              <w:sz w:val="18"/>
                              <w:szCs w:val="18"/>
                            </w:rPr>
                            <w:t>-</w:t>
                          </w:r>
                          <w:fldSimple w:instr=" PAGE \* MERGEFORMAT ">
                            <w:r>
                              <w:rPr>
                                <w:rStyle w:val="CharStyle26"/>
                                <w:rFonts w:ascii="Arial" w:eastAsia="Arial" w:hAnsi="Arial" w:cs="Arial"/>
                                <w:sz w:val="18"/>
                                <w:szCs w:val="18"/>
                              </w:rPr>
                              <w:t>#</w:t>
                            </w:r>
                          </w:fldSimple>
                          <w:r>
                            <w:rPr>
                              <w:rStyle w:val="CharStyle26"/>
                              <w:rFonts w:ascii="Arial" w:eastAsia="Arial" w:hAnsi="Arial" w:cs="Arial"/>
                              <w:sz w:val="18"/>
                              <w:szCs w:val="18"/>
                            </w:rPr>
                            <w:t>-</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wps:txbx>
                    <wps:bodyPr wrap="none" lIns="0" tIns="0" rIns="0" bIns="0">
                      <a:spAutoFit/>
                    </wps:bodyPr>
                  </wps:wsp>
                </a:graphicData>
              </a:graphic>
            </wp:anchor>
          </w:drawing>
        </mc:Choice>
        <mc:Fallback>
          <w:pict>
            <v:shape id="_x0000_s1036" type="#_x0000_t202" style="position:absolute;margin-left:299.44999999999999pt;margin-top:768.75pt;width:47.899999999999999pt;height:17.300000000000001pt;z-index:-188744061;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8"/>
                        <w:szCs w:val="18"/>
                      </w:rPr>
                    </w:pPr>
                    <w:r>
                      <w:rPr>
                        <w:rStyle w:val="CharStyle26"/>
                        <w:rFonts w:ascii="Arial" w:eastAsia="Arial" w:hAnsi="Arial" w:cs="Arial"/>
                        <w:sz w:val="18"/>
                        <w:szCs w:val="18"/>
                      </w:rPr>
                      <w:t>-</w:t>
                    </w:r>
                    <w:fldSimple w:instr=" PAGE \* MERGEFORMAT ">
                      <w:r>
                        <w:rPr>
                          <w:rStyle w:val="CharStyle26"/>
                          <w:rFonts w:ascii="Arial" w:eastAsia="Arial" w:hAnsi="Arial" w:cs="Arial"/>
                          <w:sz w:val="18"/>
                          <w:szCs w:val="18"/>
                        </w:rPr>
                        <w:t>#</w:t>
                      </w:r>
                    </w:fldSimple>
                    <w:r>
                      <w:rPr>
                        <w:rStyle w:val="CharStyle26"/>
                        <w:rFonts w:ascii="Arial" w:eastAsia="Arial" w:hAnsi="Arial" w:cs="Arial"/>
                        <w:sz w:val="18"/>
                        <w:szCs w:val="18"/>
                      </w:rPr>
                      <w:t>-</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3803015</wp:posOffset>
              </wp:positionH>
              <wp:positionV relativeFrom="page">
                <wp:posOffset>9763125</wp:posOffset>
              </wp:positionV>
              <wp:extent cx="608330" cy="219710"/>
              <wp:wrapNone/>
              <wp:docPr id="12" name="Shape 12"/>
              <a:graphic xmlns:a="http://schemas.openxmlformats.org/drawingml/2006/main">
                <a:graphicData uri="http://schemas.microsoft.com/office/word/2010/wordprocessingShape">
                  <wps:wsp>
                    <wps:cNvSpPr txBox="1"/>
                    <wps:spPr>
                      <a:xfrm>
                        <a:ext cx="608330" cy="21971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8"/>
                              <w:szCs w:val="18"/>
                            </w:rPr>
                          </w:pPr>
                          <w:r>
                            <w:rPr>
                              <w:rStyle w:val="CharStyle26"/>
                              <w:rFonts w:ascii="Arial" w:eastAsia="Arial" w:hAnsi="Arial" w:cs="Arial"/>
                              <w:sz w:val="18"/>
                              <w:szCs w:val="18"/>
                            </w:rPr>
                            <w:t>-</w:t>
                          </w:r>
                          <w:fldSimple w:instr=" PAGE \* MERGEFORMAT ">
                            <w:r>
                              <w:rPr>
                                <w:rStyle w:val="CharStyle26"/>
                                <w:rFonts w:ascii="Arial" w:eastAsia="Arial" w:hAnsi="Arial" w:cs="Arial"/>
                                <w:sz w:val="18"/>
                                <w:szCs w:val="18"/>
                              </w:rPr>
                              <w:t>#</w:t>
                            </w:r>
                          </w:fldSimple>
                          <w:r>
                            <w:rPr>
                              <w:rStyle w:val="CharStyle26"/>
                              <w:rFonts w:ascii="Arial" w:eastAsia="Arial" w:hAnsi="Arial" w:cs="Arial"/>
                              <w:sz w:val="18"/>
                              <w:szCs w:val="18"/>
                            </w:rPr>
                            <w:t>-</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wps:txbx>
                    <wps:bodyPr wrap="none" lIns="0" tIns="0" rIns="0" bIns="0">
                      <a:spAutoFit/>
                    </wps:bodyPr>
                  </wps:wsp>
                </a:graphicData>
              </a:graphic>
            </wp:anchor>
          </w:drawing>
        </mc:Choice>
        <mc:Fallback>
          <w:pict>
            <v:shape id="_x0000_s1038" type="#_x0000_t202" style="position:absolute;margin-left:299.44999999999999pt;margin-top:768.75pt;width:47.899999999999999pt;height:17.300000000000001pt;z-index:-188744059;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8"/>
                        <w:szCs w:val="18"/>
                      </w:rPr>
                    </w:pPr>
                    <w:r>
                      <w:rPr>
                        <w:rStyle w:val="CharStyle26"/>
                        <w:rFonts w:ascii="Arial" w:eastAsia="Arial" w:hAnsi="Arial" w:cs="Arial"/>
                        <w:sz w:val="18"/>
                        <w:szCs w:val="18"/>
                      </w:rPr>
                      <w:t>-</w:t>
                    </w:r>
                    <w:fldSimple w:instr=" PAGE \* MERGEFORMAT ">
                      <w:r>
                        <w:rPr>
                          <w:rStyle w:val="CharStyle26"/>
                          <w:rFonts w:ascii="Arial" w:eastAsia="Arial" w:hAnsi="Arial" w:cs="Arial"/>
                          <w:sz w:val="18"/>
                          <w:szCs w:val="18"/>
                        </w:rPr>
                        <w:t>#</w:t>
                      </w:r>
                    </w:fldSimple>
                    <w:r>
                      <w:rPr>
                        <w:rStyle w:val="CharStyle26"/>
                        <w:rFonts w:ascii="Arial" w:eastAsia="Arial" w:hAnsi="Arial" w:cs="Arial"/>
                        <w:sz w:val="18"/>
                        <w:szCs w:val="18"/>
                      </w:rPr>
                      <w:t>-</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3803015</wp:posOffset>
              </wp:positionH>
              <wp:positionV relativeFrom="page">
                <wp:posOffset>9763125</wp:posOffset>
              </wp:positionV>
              <wp:extent cx="608330" cy="219710"/>
              <wp:wrapNone/>
              <wp:docPr id="14" name="Shape 14"/>
              <a:graphic xmlns:a="http://schemas.openxmlformats.org/drawingml/2006/main">
                <a:graphicData uri="http://schemas.microsoft.com/office/word/2010/wordprocessingShape">
                  <wps:wsp>
                    <wps:cNvSpPr txBox="1"/>
                    <wps:spPr>
                      <a:xfrm>
                        <a:ext cx="608330" cy="21971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8"/>
                              <w:szCs w:val="18"/>
                            </w:rPr>
                          </w:pPr>
                          <w:r>
                            <w:rPr>
                              <w:rStyle w:val="CharStyle26"/>
                              <w:rFonts w:ascii="Arial" w:eastAsia="Arial" w:hAnsi="Arial" w:cs="Arial"/>
                              <w:sz w:val="18"/>
                              <w:szCs w:val="18"/>
                            </w:rPr>
                            <w:t>-</w:t>
                          </w:r>
                          <w:fldSimple w:instr=" PAGE \* MERGEFORMAT ">
                            <w:r>
                              <w:rPr>
                                <w:rStyle w:val="CharStyle26"/>
                                <w:rFonts w:ascii="Arial" w:eastAsia="Arial" w:hAnsi="Arial" w:cs="Arial"/>
                                <w:sz w:val="18"/>
                                <w:szCs w:val="18"/>
                              </w:rPr>
                              <w:t>#</w:t>
                            </w:r>
                          </w:fldSimple>
                          <w:r>
                            <w:rPr>
                              <w:rStyle w:val="CharStyle26"/>
                              <w:rFonts w:ascii="Arial" w:eastAsia="Arial" w:hAnsi="Arial" w:cs="Arial"/>
                              <w:sz w:val="18"/>
                              <w:szCs w:val="18"/>
                            </w:rPr>
                            <w:t>-</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wps:txbx>
                    <wps:bodyPr wrap="none" lIns="0" tIns="0" rIns="0" bIns="0">
                      <a:spAutoFit/>
                    </wps:bodyPr>
                  </wps:wsp>
                </a:graphicData>
              </a:graphic>
            </wp:anchor>
          </w:drawing>
        </mc:Choice>
        <mc:Fallback>
          <w:pict>
            <v:shape id="_x0000_s1040" type="#_x0000_t202" style="position:absolute;margin-left:299.44999999999999pt;margin-top:768.75pt;width:47.899999999999999pt;height:17.300000000000001pt;z-index:-188744057;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8"/>
                        <w:szCs w:val="18"/>
                      </w:rPr>
                    </w:pPr>
                    <w:r>
                      <w:rPr>
                        <w:rStyle w:val="CharStyle26"/>
                        <w:rFonts w:ascii="Arial" w:eastAsia="Arial" w:hAnsi="Arial" w:cs="Arial"/>
                        <w:sz w:val="18"/>
                        <w:szCs w:val="18"/>
                      </w:rPr>
                      <w:t>-</w:t>
                    </w:r>
                    <w:fldSimple w:instr=" PAGE \* MERGEFORMAT ">
                      <w:r>
                        <w:rPr>
                          <w:rStyle w:val="CharStyle26"/>
                          <w:rFonts w:ascii="Arial" w:eastAsia="Arial" w:hAnsi="Arial" w:cs="Arial"/>
                          <w:sz w:val="18"/>
                          <w:szCs w:val="18"/>
                        </w:rPr>
                        <w:t>#</w:t>
                      </w:r>
                    </w:fldSimple>
                    <w:r>
                      <w:rPr>
                        <w:rStyle w:val="CharStyle26"/>
                        <w:rFonts w:ascii="Arial" w:eastAsia="Arial" w:hAnsi="Arial" w:cs="Arial"/>
                        <w:sz w:val="18"/>
                        <w:szCs w:val="18"/>
                      </w:rPr>
                      <w:t>-</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3809365</wp:posOffset>
              </wp:positionH>
              <wp:positionV relativeFrom="page">
                <wp:posOffset>9679305</wp:posOffset>
              </wp:positionV>
              <wp:extent cx="608330" cy="219710"/>
              <wp:wrapNone/>
              <wp:docPr id="16" name="Shape 16"/>
              <a:graphic xmlns:a="http://schemas.openxmlformats.org/drawingml/2006/main">
                <a:graphicData uri="http://schemas.microsoft.com/office/word/2010/wordprocessingShape">
                  <wps:wsp>
                    <wps:cNvSpPr txBox="1"/>
                    <wps:spPr>
                      <a:xfrm>
                        <a:ext cx="608330" cy="21971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w:t>
                          </w:r>
                          <w:fldSimple w:instr=" PAGE \* MERGEFORMAT ">
                            <w:r>
                              <w:rPr>
                                <w:rStyle w:val="CharStyle26"/>
                                <w:sz w:val="16"/>
                                <w:szCs w:val="16"/>
                              </w:rPr>
                              <w:t>#</w:t>
                            </w:r>
                          </w:fldSimple>
                          <w:r>
                            <w:rPr>
                              <w:rStyle w:val="CharStyle26"/>
                              <w:sz w:val="16"/>
                              <w:szCs w:val="16"/>
                            </w:rPr>
                            <w:t>-</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wps:txbx>
                    <wps:bodyPr wrap="none" lIns="0" tIns="0" rIns="0" bIns="0">
                      <a:spAutoFit/>
                    </wps:bodyPr>
                  </wps:wsp>
                </a:graphicData>
              </a:graphic>
            </wp:anchor>
          </w:drawing>
        </mc:Choice>
        <mc:Fallback>
          <w:pict>
            <v:shape id="_x0000_s1042" type="#_x0000_t202" style="position:absolute;margin-left:299.94999999999999pt;margin-top:762.14999999999998pt;width:47.899999999999999pt;height:17.300000000000001pt;z-index:-188744055;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w:t>
                    </w:r>
                    <w:fldSimple w:instr=" PAGE \* MERGEFORMAT ">
                      <w:r>
                        <w:rPr>
                          <w:rStyle w:val="CharStyle26"/>
                          <w:sz w:val="16"/>
                          <w:szCs w:val="16"/>
                        </w:rPr>
                        <w:t>#</w:t>
                      </w:r>
                    </w:fldSimple>
                    <w:r>
                      <w:rPr>
                        <w:rStyle w:val="CharStyle26"/>
                        <w:sz w:val="16"/>
                        <w:szCs w:val="16"/>
                      </w:rPr>
                      <w:t>-</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3814445</wp:posOffset>
              </wp:positionH>
              <wp:positionV relativeFrom="page">
                <wp:posOffset>9770110</wp:posOffset>
              </wp:positionV>
              <wp:extent cx="612775" cy="221615"/>
              <wp:wrapNone/>
              <wp:docPr id="19" name="Shape 19"/>
              <a:graphic xmlns:a="http://schemas.openxmlformats.org/drawingml/2006/main">
                <a:graphicData uri="http://schemas.microsoft.com/office/word/2010/wordprocessingShape">
                  <wps:wsp>
                    <wps:cNvSpPr txBox="1"/>
                    <wps:spPr>
                      <a:xfrm>
                        <a:ext cx="612775" cy="22161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w:t>
                          </w:r>
                          <w:fldSimple w:instr=" PAGE \* MERGEFORMAT ">
                            <w:r>
                              <w:rPr>
                                <w:rStyle w:val="CharStyle26"/>
                                <w:sz w:val="16"/>
                                <w:szCs w:val="16"/>
                              </w:rPr>
                              <w:t>#</w:t>
                            </w:r>
                          </w:fldSimple>
                          <w:r>
                            <w:rPr>
                              <w:rStyle w:val="CharStyle26"/>
                              <w:sz w:val="16"/>
                              <w:szCs w:val="16"/>
                            </w:rPr>
                            <w:t xml:space="preserve"> -</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wps:txbx>
                    <wps:bodyPr wrap="none" lIns="0" tIns="0" rIns="0" bIns="0">
                      <a:spAutoFit/>
                    </wps:bodyPr>
                  </wps:wsp>
                </a:graphicData>
              </a:graphic>
            </wp:anchor>
          </w:drawing>
        </mc:Choice>
        <mc:Fallback>
          <w:pict>
            <v:shape id="_x0000_s1045" type="#_x0000_t202" style="position:absolute;margin-left:300.35000000000002pt;margin-top:769.30000000000007pt;width:48.25pt;height:17.449999999999999pt;z-index:-188744053;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w:t>
                    </w:r>
                    <w:fldSimple w:instr=" PAGE \* MERGEFORMAT ">
                      <w:r>
                        <w:rPr>
                          <w:rStyle w:val="CharStyle26"/>
                          <w:sz w:val="16"/>
                          <w:szCs w:val="16"/>
                        </w:rPr>
                        <w:t>#</w:t>
                      </w:r>
                    </w:fldSimple>
                    <w:r>
                      <w:rPr>
                        <w:rStyle w:val="CharStyle26"/>
                        <w:sz w:val="16"/>
                        <w:szCs w:val="16"/>
                      </w:rPr>
                      <w:t xml:space="preserve"> -</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3814445</wp:posOffset>
              </wp:positionH>
              <wp:positionV relativeFrom="page">
                <wp:posOffset>9770110</wp:posOffset>
              </wp:positionV>
              <wp:extent cx="612775" cy="221615"/>
              <wp:wrapNone/>
              <wp:docPr id="21" name="Shape 21"/>
              <a:graphic xmlns:a="http://schemas.openxmlformats.org/drawingml/2006/main">
                <a:graphicData uri="http://schemas.microsoft.com/office/word/2010/wordprocessingShape">
                  <wps:wsp>
                    <wps:cNvSpPr txBox="1"/>
                    <wps:spPr>
                      <a:xfrm>
                        <a:ext cx="612775" cy="22161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w:t>
                          </w:r>
                          <w:fldSimple w:instr=" PAGE \* MERGEFORMAT ">
                            <w:r>
                              <w:rPr>
                                <w:rStyle w:val="CharStyle26"/>
                                <w:sz w:val="16"/>
                                <w:szCs w:val="16"/>
                              </w:rPr>
                              <w:t>#</w:t>
                            </w:r>
                          </w:fldSimple>
                          <w:r>
                            <w:rPr>
                              <w:rStyle w:val="CharStyle26"/>
                              <w:sz w:val="16"/>
                              <w:szCs w:val="16"/>
                            </w:rPr>
                            <w:t xml:space="preserve"> -</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wps:txbx>
                    <wps:bodyPr wrap="none" lIns="0" tIns="0" rIns="0" bIns="0">
                      <a:spAutoFit/>
                    </wps:bodyPr>
                  </wps:wsp>
                </a:graphicData>
              </a:graphic>
            </wp:anchor>
          </w:drawing>
        </mc:Choice>
        <mc:Fallback>
          <w:pict>
            <v:shape id="_x0000_s1047" type="#_x0000_t202" style="position:absolute;margin-left:300.35000000000002pt;margin-top:769.30000000000007pt;width:48.25pt;height:17.449999999999999pt;z-index:-188744051;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w:t>
                    </w:r>
                    <w:fldSimple w:instr=" PAGE \* MERGEFORMAT ">
                      <w:r>
                        <w:rPr>
                          <w:rStyle w:val="CharStyle26"/>
                          <w:sz w:val="16"/>
                          <w:szCs w:val="16"/>
                        </w:rPr>
                        <w:t>#</w:t>
                      </w:r>
                    </w:fldSimple>
                    <w:r>
                      <w:rPr>
                        <w:rStyle w:val="CharStyle26"/>
                        <w:sz w:val="16"/>
                        <w:szCs w:val="16"/>
                      </w:rPr>
                      <w:t xml:space="preserve"> -</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3808730</wp:posOffset>
              </wp:positionH>
              <wp:positionV relativeFrom="page">
                <wp:posOffset>9679305</wp:posOffset>
              </wp:positionV>
              <wp:extent cx="608330" cy="219710"/>
              <wp:wrapNone/>
              <wp:docPr id="23" name="Shape 23"/>
              <a:graphic xmlns:a="http://schemas.openxmlformats.org/drawingml/2006/main">
                <a:graphicData uri="http://schemas.microsoft.com/office/word/2010/wordprocessingShape">
                  <wps:wsp>
                    <wps:cNvSpPr txBox="1"/>
                    <wps:spPr>
                      <a:xfrm>
                        <a:ext cx="608330" cy="21971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 xml:space="preserve">- </w:t>
                          </w:r>
                          <w:fldSimple w:instr=" PAGE \* MERGEFORMAT ">
                            <w:r>
                              <w:rPr>
                                <w:rStyle w:val="CharStyle26"/>
                                <w:sz w:val="16"/>
                                <w:szCs w:val="16"/>
                              </w:rPr>
                              <w:t>#</w:t>
                            </w:r>
                          </w:fldSimple>
                          <w:r>
                            <w:rPr>
                              <w:rStyle w:val="CharStyle26"/>
                              <w:sz w:val="16"/>
                              <w:szCs w:val="16"/>
                            </w:rPr>
                            <w:t xml:space="preserve"> -</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wps:txbx>
                    <wps:bodyPr wrap="none" lIns="0" tIns="0" rIns="0" bIns="0">
                      <a:spAutoFit/>
                    </wps:bodyPr>
                  </wps:wsp>
                </a:graphicData>
              </a:graphic>
            </wp:anchor>
          </w:drawing>
        </mc:Choice>
        <mc:Fallback>
          <w:pict>
            <v:shape id="_x0000_s1049" type="#_x0000_t202" style="position:absolute;margin-left:299.90000000000003pt;margin-top:762.14999999999998pt;width:47.899999999999999pt;height:17.300000000000001pt;z-index:-188744049;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 xml:space="preserve">- </w:t>
                    </w:r>
                    <w:fldSimple w:instr=" PAGE \* MERGEFORMAT ">
                      <w:r>
                        <w:rPr>
                          <w:rStyle w:val="CharStyle26"/>
                          <w:sz w:val="16"/>
                          <w:szCs w:val="16"/>
                        </w:rPr>
                        <w:t>#</w:t>
                      </w:r>
                    </w:fldSimple>
                    <w:r>
                      <w:rPr>
                        <w:rStyle w:val="CharStyle26"/>
                        <w:sz w:val="16"/>
                        <w:szCs w:val="16"/>
                      </w:rPr>
                      <w:t xml:space="preserve"> -</w:t>
                    </w:r>
                  </w:p>
                  <w:p>
                    <w:pPr>
                      <w:pStyle w:val="Style25"/>
                      <w:keepNext w:val="0"/>
                      <w:keepLines w:val="0"/>
                      <w:widowControl w:val="0"/>
                      <w:shd w:val="clear" w:color="auto" w:fill="auto"/>
                      <w:bidi w:val="0"/>
                      <w:spacing w:before="0" w:after="0" w:line="240" w:lineRule="auto"/>
                      <w:ind w:left="0" w:right="0" w:firstLine="0"/>
                      <w:jc w:val="left"/>
                      <w:rPr>
                        <w:sz w:val="16"/>
                        <w:szCs w:val="16"/>
                      </w:rPr>
                    </w:pPr>
                    <w:r>
                      <w:rPr>
                        <w:rStyle w:val="CharStyle26"/>
                        <w:sz w:val="16"/>
                        <w:szCs w:val="16"/>
                      </w:rPr>
                      <w:t>verze 12/2019</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4685665</wp:posOffset>
              </wp:positionH>
              <wp:positionV relativeFrom="page">
                <wp:posOffset>829945</wp:posOffset>
              </wp:positionV>
              <wp:extent cx="2203450" cy="155575"/>
              <wp:wrapNone/>
              <wp:docPr id="26" name="Shape 26"/>
              <a:graphic xmlns:a="http://schemas.openxmlformats.org/drawingml/2006/main">
                <a:graphicData uri="http://schemas.microsoft.com/office/word/2010/wordprocessingShape">
                  <wps:wsp>
                    <wps:cNvSpPr txBox="1"/>
                    <wps:spPr>
                      <a:xfrm>
                        <a:ext cx="2203450" cy="15557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22"/>
                              <w:szCs w:val="22"/>
                            </w:rPr>
                          </w:pPr>
                          <w:r>
                            <w:rPr>
                              <w:rStyle w:val="CharStyle26"/>
                              <w:rFonts w:ascii="Arial" w:eastAsia="Arial" w:hAnsi="Arial" w:cs="Arial"/>
                              <w:sz w:val="22"/>
                              <w:szCs w:val="22"/>
                            </w:rPr>
                            <w:t>Obchodní podmínky Město Říčany</w:t>
                          </w:r>
                        </w:p>
                      </w:txbxContent>
                    </wps:txbx>
                    <wps:bodyPr wrap="none" lIns="0" tIns="0" rIns="0" bIns="0">
                      <a:spAutoFit/>
                    </wps:bodyPr>
                  </wps:wsp>
                </a:graphicData>
              </a:graphic>
            </wp:anchor>
          </w:drawing>
        </mc:Choice>
        <mc:Fallback>
          <w:pict>
            <v:shape id="_x0000_s1052" type="#_x0000_t202" style="position:absolute;margin-left:368.94999999999999pt;margin-top:65.349999999999994pt;width:173.5pt;height:12.25pt;z-index:-188744047;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22"/>
                        <w:szCs w:val="22"/>
                      </w:rPr>
                    </w:pPr>
                    <w:r>
                      <w:rPr>
                        <w:rStyle w:val="CharStyle26"/>
                        <w:rFonts w:ascii="Arial" w:eastAsia="Arial" w:hAnsi="Arial" w:cs="Arial"/>
                        <w:sz w:val="22"/>
                        <w:szCs w:val="22"/>
                      </w:rPr>
                      <w:t>Obchodní podmínky Město Říčany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4685665</wp:posOffset>
              </wp:positionH>
              <wp:positionV relativeFrom="page">
                <wp:posOffset>829945</wp:posOffset>
              </wp:positionV>
              <wp:extent cx="2203450" cy="155575"/>
              <wp:wrapNone/>
              <wp:docPr id="28" name="Shape 28"/>
              <a:graphic xmlns:a="http://schemas.openxmlformats.org/drawingml/2006/main">
                <a:graphicData uri="http://schemas.microsoft.com/office/word/2010/wordprocessingShape">
                  <wps:wsp>
                    <wps:cNvSpPr txBox="1"/>
                    <wps:spPr>
                      <a:xfrm>
                        <a:ext cx="2203450" cy="15557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22"/>
                              <w:szCs w:val="22"/>
                            </w:rPr>
                          </w:pPr>
                          <w:r>
                            <w:rPr>
                              <w:rStyle w:val="CharStyle26"/>
                              <w:rFonts w:ascii="Arial" w:eastAsia="Arial" w:hAnsi="Arial" w:cs="Arial"/>
                              <w:sz w:val="22"/>
                              <w:szCs w:val="22"/>
                            </w:rPr>
                            <w:t>Obchodní podmínky Město Říčany</w:t>
                          </w:r>
                        </w:p>
                      </w:txbxContent>
                    </wps:txbx>
                    <wps:bodyPr wrap="none" lIns="0" tIns="0" rIns="0" bIns="0">
                      <a:spAutoFit/>
                    </wps:bodyPr>
                  </wps:wsp>
                </a:graphicData>
              </a:graphic>
            </wp:anchor>
          </w:drawing>
        </mc:Choice>
        <mc:Fallback>
          <w:pict>
            <v:shape id="_x0000_s1054" type="#_x0000_t202" style="position:absolute;margin-left:368.94999999999999pt;margin-top:65.349999999999994pt;width:173.5pt;height:12.25pt;z-index:-188744045;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22"/>
                        <w:szCs w:val="22"/>
                      </w:rPr>
                    </w:pPr>
                    <w:r>
                      <w:rPr>
                        <w:rStyle w:val="CharStyle26"/>
                        <w:rFonts w:ascii="Arial" w:eastAsia="Arial" w:hAnsi="Arial" w:cs="Arial"/>
                        <w:sz w:val="22"/>
                        <w:szCs w:val="22"/>
                      </w:rPr>
                      <w:t>Obchodní podmínky Město Říčany</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
    <w:multiLevelType w:val="multilevel"/>
    <w:lvl w:ilvl="0">
      <w:start w:val="4"/>
      <w:numFmt w:val="lowerLetter"/>
      <w:lvlText w:val="%1)"/>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abstractNum>
  <w:abstractNum w:abstractNumId="4">
    <w:multiLevelType w:val="multilevel"/>
    <w:lvl w:ilvl="0">
      <w:start w:val="11"/>
      <w:numFmt w:val="lowerLetter"/>
      <w:lvlText w:val="%1)"/>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abstractNum>
  <w:abstractNum w:abstractNumId="6">
    <w:multiLevelType w:val="multilevel"/>
    <w:lvl w:ilvl="0">
      <w:start w:val="6"/>
      <w:numFmt w:val="upp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1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4">
    <w:multiLevelType w:val="multilevel"/>
    <w:lvl w:ilvl="0">
      <w:start w:val="7"/>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4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5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5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5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5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5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6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6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abstractNum>
  <w:abstractNum w:abstractNumId="6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6">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70">
    <w:multiLevelType w:val="multilevel"/>
    <w:lvl w:ilvl="0">
      <w:start w:val="5"/>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72">
    <w:multiLevelType w:val="multilevel"/>
    <w:lvl w:ilvl="0">
      <w:start w:val="2"/>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74">
    <w:multiLevelType w:val="multilevel"/>
    <w:lvl w:ilvl="0">
      <w:start w:val="8"/>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7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sz w:val="26"/>
      <w:szCs w:val="26"/>
      <w:u w:val="single"/>
    </w:rPr>
  </w:style>
  <w:style w:type="character" w:customStyle="1" w:styleId="CharStyle5">
    <w:name w:val="Základní text (2)_"/>
    <w:basedOn w:val="DefaultParagraphFont"/>
    <w:link w:val="Style4"/>
    <w:rPr>
      <w:rFonts w:ascii="Calibri" w:eastAsia="Calibri" w:hAnsi="Calibri" w:cs="Calibri"/>
      <w:b w:val="0"/>
      <w:bCs w:val="0"/>
      <w:i w:val="0"/>
      <w:iCs w:val="0"/>
      <w:smallCaps w:val="0"/>
      <w:strike w:val="0"/>
      <w:sz w:val="20"/>
      <w:szCs w:val="20"/>
      <w:u w:val="none"/>
    </w:rPr>
  </w:style>
  <w:style w:type="character" w:customStyle="1" w:styleId="CharStyle8">
    <w:name w:val="Nadpis #2_"/>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0">
    <w:name w:val="Základní text_"/>
    <w:basedOn w:val="DefaultParagraphFont"/>
    <w:link w:val="Style9"/>
    <w:rPr>
      <w:rFonts w:ascii="Arial" w:eastAsia="Arial" w:hAnsi="Arial" w:cs="Arial"/>
      <w:b w:val="0"/>
      <w:bCs w:val="0"/>
      <w:i w:val="0"/>
      <w:iCs w:val="0"/>
      <w:smallCaps w:val="0"/>
      <w:strike w:val="0"/>
      <w:sz w:val="15"/>
      <w:szCs w:val="15"/>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5"/>
      <w:szCs w:val="15"/>
      <w:u w:val="none"/>
    </w:rPr>
  </w:style>
  <w:style w:type="character" w:customStyle="1" w:styleId="CharStyle19">
    <w:name w:val="Titulek tabulky_"/>
    <w:basedOn w:val="DefaultParagraphFont"/>
    <w:link w:val="Style18"/>
    <w:rPr>
      <w:rFonts w:ascii="Arial" w:eastAsia="Arial" w:hAnsi="Arial" w:cs="Arial"/>
      <w:b/>
      <w:bCs/>
      <w:i w:val="0"/>
      <w:iCs w:val="0"/>
      <w:smallCaps w:val="0"/>
      <w:strike w:val="0"/>
      <w:sz w:val="15"/>
      <w:szCs w:val="15"/>
      <w:u w:val="none"/>
    </w:rPr>
  </w:style>
  <w:style w:type="character" w:customStyle="1" w:styleId="CharStyle22">
    <w:name w:val="Nadpis #3_"/>
    <w:basedOn w:val="DefaultParagraphFont"/>
    <w:link w:val="Style21"/>
    <w:rPr>
      <w:rFonts w:ascii="Arial" w:eastAsia="Arial" w:hAnsi="Arial" w:cs="Arial"/>
      <w:b/>
      <w:bCs/>
      <w:i w:val="0"/>
      <w:iCs w:val="0"/>
      <w:smallCaps w:val="0"/>
      <w:strike w:val="0"/>
      <w:sz w:val="15"/>
      <w:szCs w:val="15"/>
      <w:u w:val="none"/>
    </w:rPr>
  </w:style>
  <w:style w:type="character" w:customStyle="1" w:styleId="CharStyle26">
    <w:name w:val="Záhlaví nebo zápatí (2)_"/>
    <w:basedOn w:val="DefaultParagraphFont"/>
    <w:link w:val="Style25"/>
    <w:rPr>
      <w:rFonts w:ascii="Times New Roman" w:eastAsia="Times New Roman" w:hAnsi="Times New Roman" w:cs="Times New Roman"/>
      <w:b w:val="0"/>
      <w:bCs w:val="0"/>
      <w:i w:val="0"/>
      <w:iCs w:val="0"/>
      <w:smallCaps w:val="0"/>
      <w:strike w:val="0"/>
      <w:sz w:val="20"/>
      <w:szCs w:val="20"/>
      <w:u w:val="none"/>
    </w:rPr>
  </w:style>
  <w:style w:type="character" w:customStyle="1" w:styleId="CharStyle29">
    <w:name w:val="Základní text (4)_"/>
    <w:basedOn w:val="DefaultParagraphFont"/>
    <w:link w:val="Style28"/>
    <w:rPr>
      <w:rFonts w:ascii="Times New Roman" w:eastAsia="Times New Roman" w:hAnsi="Times New Roman" w:cs="Times New Roman"/>
      <w:b w:val="0"/>
      <w:bCs w:val="0"/>
      <w:i w:val="0"/>
      <w:iCs w:val="0"/>
      <w:smallCaps w:val="0"/>
      <w:strike w:val="0"/>
      <w:sz w:val="14"/>
      <w:szCs w:val="14"/>
      <w:u w:val="none"/>
    </w:rPr>
  </w:style>
  <w:style w:type="character" w:customStyle="1" w:styleId="CharStyle35">
    <w:name w:val="Základní text (3)_"/>
    <w:basedOn w:val="DefaultParagraphFont"/>
    <w:link w:val="Style34"/>
    <w:rPr>
      <w:rFonts w:ascii="Times New Roman" w:eastAsia="Times New Roman" w:hAnsi="Times New Roman" w:cs="Times New Roman"/>
      <w:b/>
      <w:bCs/>
      <w:i w:val="0"/>
      <w:iCs w:val="0"/>
      <w:smallCaps w:val="0"/>
      <w:strike w:val="0"/>
      <w:sz w:val="8"/>
      <w:szCs w:val="8"/>
      <w:u w:val="none"/>
    </w:rPr>
  </w:style>
  <w:style w:type="character" w:customStyle="1" w:styleId="CharStyle39">
    <w:name w:val="Titulek obrázku_"/>
    <w:basedOn w:val="DefaultParagraphFont"/>
    <w:link w:val="Style38"/>
    <w:rPr>
      <w:rFonts w:ascii="Arial" w:eastAsia="Arial" w:hAnsi="Arial" w:cs="Arial"/>
      <w:b w:val="0"/>
      <w:bCs w:val="0"/>
      <w:i w:val="0"/>
      <w:iCs w:val="0"/>
      <w:smallCaps w:val="0"/>
      <w:strike w:val="0"/>
      <w:sz w:val="15"/>
      <w:szCs w:val="15"/>
      <w:u w:val="none"/>
    </w:rPr>
  </w:style>
  <w:style w:type="paragraph" w:customStyle="1" w:styleId="Style2">
    <w:name w:val="Nadpis #1"/>
    <w:basedOn w:val="Normal"/>
    <w:link w:val="CharStyle3"/>
    <w:pPr>
      <w:widowControl w:val="0"/>
      <w:shd w:val="clear" w:color="auto" w:fill="auto"/>
      <w:spacing w:before="340" w:after="230"/>
      <w:outlineLvl w:val="0"/>
    </w:pPr>
    <w:rPr>
      <w:rFonts w:ascii="Arial" w:eastAsia="Arial" w:hAnsi="Arial" w:cs="Arial"/>
      <w:b w:val="0"/>
      <w:bCs w:val="0"/>
      <w:i w:val="0"/>
      <w:iCs w:val="0"/>
      <w:smallCaps w:val="0"/>
      <w:strike w:val="0"/>
      <w:sz w:val="26"/>
      <w:szCs w:val="26"/>
      <w:u w:val="single"/>
    </w:rPr>
  </w:style>
  <w:style w:type="paragraph" w:customStyle="1" w:styleId="Style4">
    <w:name w:val="Základní text (2)"/>
    <w:basedOn w:val="Normal"/>
    <w:link w:val="CharStyle5"/>
    <w:pPr>
      <w:widowControl w:val="0"/>
      <w:shd w:val="clear" w:color="auto" w:fill="auto"/>
      <w:spacing w:after="440"/>
    </w:pPr>
    <w:rPr>
      <w:rFonts w:ascii="Calibri" w:eastAsia="Calibri" w:hAnsi="Calibri" w:cs="Calibri"/>
      <w:b w:val="0"/>
      <w:bCs w:val="0"/>
      <w:i w:val="0"/>
      <w:iCs w:val="0"/>
      <w:smallCaps w:val="0"/>
      <w:strike w:val="0"/>
      <w:sz w:val="20"/>
      <w:szCs w:val="20"/>
      <w:u w:val="none"/>
    </w:rPr>
  </w:style>
  <w:style w:type="paragraph" w:customStyle="1" w:styleId="Style7">
    <w:name w:val="Nadpis #2"/>
    <w:basedOn w:val="Normal"/>
    <w:link w:val="CharStyle8"/>
    <w:pPr>
      <w:widowControl w:val="0"/>
      <w:shd w:val="clear" w:color="auto" w:fill="auto"/>
      <w:spacing w:after="100"/>
      <w:outlineLvl w:val="1"/>
    </w:pPr>
    <w:rPr>
      <w:rFonts w:ascii="Arial" w:eastAsia="Arial" w:hAnsi="Arial" w:cs="Arial"/>
      <w:b w:val="0"/>
      <w:bCs w:val="0"/>
      <w:i w:val="0"/>
      <w:iCs w:val="0"/>
      <w:smallCaps w:val="0"/>
      <w:strike w:val="0"/>
      <w:sz w:val="22"/>
      <w:szCs w:val="22"/>
      <w:u w:val="none"/>
    </w:rPr>
  </w:style>
  <w:style w:type="paragraph" w:customStyle="1" w:styleId="Style9">
    <w:name w:val="Základní text"/>
    <w:basedOn w:val="Normal"/>
    <w:link w:val="CharStyle10"/>
    <w:pPr>
      <w:widowControl w:val="0"/>
      <w:shd w:val="clear" w:color="auto" w:fill="auto"/>
      <w:spacing w:after="100"/>
    </w:pPr>
    <w:rPr>
      <w:rFonts w:ascii="Arial" w:eastAsia="Arial" w:hAnsi="Arial" w:cs="Arial"/>
      <w:b w:val="0"/>
      <w:bCs w:val="0"/>
      <w:i w:val="0"/>
      <w:iCs w:val="0"/>
      <w:smallCaps w:val="0"/>
      <w:strike w:val="0"/>
      <w:sz w:val="15"/>
      <w:szCs w:val="15"/>
      <w:u w:val="none"/>
    </w:rPr>
  </w:style>
  <w:style w:type="paragraph" w:customStyle="1" w:styleId="Style12">
    <w:name w:val="Jiné"/>
    <w:basedOn w:val="Normal"/>
    <w:link w:val="CharStyle13"/>
    <w:pPr>
      <w:widowControl w:val="0"/>
      <w:shd w:val="clear" w:color="auto" w:fill="auto"/>
      <w:spacing w:after="100"/>
    </w:pPr>
    <w:rPr>
      <w:rFonts w:ascii="Arial" w:eastAsia="Arial" w:hAnsi="Arial" w:cs="Arial"/>
      <w:b w:val="0"/>
      <w:bCs w:val="0"/>
      <w:i w:val="0"/>
      <w:iCs w:val="0"/>
      <w:smallCaps w:val="0"/>
      <w:strike w:val="0"/>
      <w:sz w:val="15"/>
      <w:szCs w:val="15"/>
      <w:u w:val="none"/>
    </w:rPr>
  </w:style>
  <w:style w:type="paragraph" w:customStyle="1" w:styleId="Style18">
    <w:name w:val="Titulek tabulky"/>
    <w:basedOn w:val="Normal"/>
    <w:link w:val="CharStyle19"/>
    <w:pPr>
      <w:widowControl w:val="0"/>
      <w:shd w:val="clear" w:color="auto" w:fill="auto"/>
    </w:pPr>
    <w:rPr>
      <w:rFonts w:ascii="Arial" w:eastAsia="Arial" w:hAnsi="Arial" w:cs="Arial"/>
      <w:b/>
      <w:bCs/>
      <w:i w:val="0"/>
      <w:iCs w:val="0"/>
      <w:smallCaps w:val="0"/>
      <w:strike w:val="0"/>
      <w:sz w:val="15"/>
      <w:szCs w:val="15"/>
      <w:u w:val="none"/>
    </w:rPr>
  </w:style>
  <w:style w:type="paragraph" w:customStyle="1" w:styleId="Style21">
    <w:name w:val="Nadpis #3"/>
    <w:basedOn w:val="Normal"/>
    <w:link w:val="CharStyle22"/>
    <w:pPr>
      <w:widowControl w:val="0"/>
      <w:shd w:val="clear" w:color="auto" w:fill="auto"/>
      <w:spacing w:after="100"/>
      <w:jc w:val="center"/>
      <w:outlineLvl w:val="2"/>
    </w:pPr>
    <w:rPr>
      <w:rFonts w:ascii="Arial" w:eastAsia="Arial" w:hAnsi="Arial" w:cs="Arial"/>
      <w:b/>
      <w:bCs/>
      <w:i w:val="0"/>
      <w:iCs w:val="0"/>
      <w:smallCaps w:val="0"/>
      <w:strike w:val="0"/>
      <w:sz w:val="15"/>
      <w:szCs w:val="15"/>
      <w:u w:val="none"/>
    </w:rPr>
  </w:style>
  <w:style w:type="paragraph" w:customStyle="1" w:styleId="Style25">
    <w:name w:val="Záhlaví nebo zápatí (2)"/>
    <w:basedOn w:val="Normal"/>
    <w:link w:val="CharStyle26"/>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8">
    <w:name w:val="Základní text (4)"/>
    <w:basedOn w:val="Normal"/>
    <w:link w:val="CharStyle29"/>
    <w:pPr>
      <w:widowControl w:val="0"/>
      <w:shd w:val="clear" w:color="auto" w:fill="auto"/>
      <w:spacing w:after="360"/>
      <w:ind w:left="5800"/>
    </w:pPr>
    <w:rPr>
      <w:rFonts w:ascii="Times New Roman" w:eastAsia="Times New Roman" w:hAnsi="Times New Roman" w:cs="Times New Roman"/>
      <w:b w:val="0"/>
      <w:bCs w:val="0"/>
      <w:i w:val="0"/>
      <w:iCs w:val="0"/>
      <w:smallCaps w:val="0"/>
      <w:strike w:val="0"/>
      <w:sz w:val="14"/>
      <w:szCs w:val="14"/>
      <w:u w:val="none"/>
    </w:rPr>
  </w:style>
  <w:style w:type="paragraph" w:customStyle="1" w:styleId="Style34">
    <w:name w:val="Základní text (3)"/>
    <w:basedOn w:val="Normal"/>
    <w:link w:val="CharStyle35"/>
    <w:pPr>
      <w:widowControl w:val="0"/>
      <w:shd w:val="clear" w:color="auto" w:fill="auto"/>
      <w:spacing w:after="380"/>
      <w:ind w:left="5820"/>
    </w:pPr>
    <w:rPr>
      <w:rFonts w:ascii="Times New Roman" w:eastAsia="Times New Roman" w:hAnsi="Times New Roman" w:cs="Times New Roman"/>
      <w:b/>
      <w:bCs/>
      <w:i w:val="0"/>
      <w:iCs w:val="0"/>
      <w:smallCaps w:val="0"/>
      <w:strike w:val="0"/>
      <w:sz w:val="8"/>
      <w:szCs w:val="8"/>
      <w:u w:val="none"/>
    </w:rPr>
  </w:style>
  <w:style w:type="paragraph" w:customStyle="1" w:styleId="Style38">
    <w:name w:val="Titulek obrázku"/>
    <w:basedOn w:val="Normal"/>
    <w:link w:val="CharStyle39"/>
    <w:pPr>
      <w:widowControl w:val="0"/>
      <w:shd w:val="clear" w:color="auto" w:fill="auto"/>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image" Target="media/image5.png"/><Relationship Id="rId19" Type="http://schemas.openxmlformats.org/officeDocument/2006/relationships/image" Target="media/image5.png" TargetMode="Externa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image" Target="media/image6.png"/><Relationship Id="rId24" Type="http://schemas.openxmlformats.org/officeDocument/2006/relationships/image" Target="media/image6.png" TargetMode="External"/><Relationship Id="rId25" Type="http://schemas.openxmlformats.org/officeDocument/2006/relationships/header" Target="header1.xml"/><Relationship Id="rId26" Type="http://schemas.openxmlformats.org/officeDocument/2006/relationships/footer" Target="footer9.xml"/><Relationship Id="rId27" Type="http://schemas.openxmlformats.org/officeDocument/2006/relationships/header" Target="header2.xml"/><Relationship Id="rId28" Type="http://schemas.openxmlformats.org/officeDocument/2006/relationships/footer" Target="footer10.xml"/></Relationships>
</file>