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81" w:rsidRDefault="00EB7E6A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2121-2023-13132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MZE-73387/2023-13132</w:t>
      </w:r>
    </w:p>
    <w:p w:rsidR="002A7D81" w:rsidRDefault="00EB7E6A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2A7D81" w:rsidRDefault="00EB7E6A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2A7D81" w:rsidRDefault="00EB7E6A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 období 2024-2032, ZEMĚ II</w:t>
      </w:r>
    </w:p>
    <w:p w:rsidR="002A7D81" w:rsidRDefault="00EB7E6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81" w:rsidRDefault="00EB7E6A" w:rsidP="00674A3A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QL2401008</w:t>
      </w:r>
      <w:bookmarkEnd w:id="1"/>
      <w:r w:rsidR="00674A3A">
        <w:t>0</w:t>
      </w:r>
    </w:p>
    <w:p w:rsidR="00674A3A" w:rsidRDefault="00674A3A" w:rsidP="00674A3A">
      <w:pPr>
        <w:pStyle w:val="Nadpis30"/>
        <w:keepNext/>
        <w:keepLines/>
        <w:shd w:val="clear" w:color="auto" w:fill="auto"/>
      </w:pPr>
    </w:p>
    <w:p w:rsidR="00674A3A" w:rsidRDefault="00674A3A">
      <w:pPr>
        <w:pStyle w:val="Nadpis30"/>
        <w:keepNext/>
        <w:keepLines/>
        <w:shd w:val="clear" w:color="auto" w:fill="auto"/>
      </w:pPr>
    </w:p>
    <w:p w:rsidR="002A7D81" w:rsidRDefault="00EB7E6A">
      <w:pPr>
        <w:pStyle w:val="Zkladntext1"/>
        <w:shd w:val="clear" w:color="auto" w:fill="auto"/>
        <w:spacing w:after="240"/>
      </w:pPr>
      <w:r>
        <w:t>Smluvní strany:</w:t>
      </w:r>
    </w:p>
    <w:p w:rsidR="002A7D81" w:rsidRDefault="00EB7E6A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2A7D81" w:rsidRDefault="00EB7E6A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2A7D81" w:rsidRDefault="00EB7E6A">
      <w:pPr>
        <w:pStyle w:val="Zkladntext1"/>
        <w:shd w:val="clear" w:color="auto" w:fill="auto"/>
      </w:pPr>
      <w:r>
        <w:t>IČO: 00020478</w:t>
      </w:r>
    </w:p>
    <w:p w:rsidR="002A7D81" w:rsidRDefault="00EB7E6A">
      <w:pPr>
        <w:pStyle w:val="Zkladntext1"/>
        <w:shd w:val="clear" w:color="auto" w:fill="auto"/>
      </w:pPr>
      <w:r>
        <w:t>bankovní spojení: ČNB, centrální pobočka Praha 1</w:t>
      </w:r>
    </w:p>
    <w:p w:rsidR="002A7D81" w:rsidRDefault="00EB7E6A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2A7D81" w:rsidRDefault="00EB7E6A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2A7D81" w:rsidRDefault="00EB7E6A">
      <w:pPr>
        <w:pStyle w:val="Zkladntext1"/>
        <w:shd w:val="clear" w:color="auto" w:fill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2A7D81" w:rsidRDefault="00EB7E6A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institucích) - Veřejná výzkumná instituce</w:t>
      </w:r>
    </w:p>
    <w:p w:rsidR="002A7D81" w:rsidRDefault="00EB7E6A">
      <w:pPr>
        <w:pStyle w:val="Zkladntext1"/>
        <w:shd w:val="clear" w:color="auto" w:fill="auto"/>
      </w:pPr>
      <w:r>
        <w:t>se sídlem: Drnovská 507/73, 161 00 Praha 6 - Ruzyně</w:t>
      </w:r>
    </w:p>
    <w:p w:rsidR="002A7D81" w:rsidRDefault="00EB7E6A">
      <w:pPr>
        <w:pStyle w:val="Zkladntext1"/>
        <w:shd w:val="clear" w:color="auto" w:fill="auto"/>
      </w:pPr>
      <w:r>
        <w:t>IČO: 00027006</w:t>
      </w:r>
    </w:p>
    <w:p w:rsidR="002A7D81" w:rsidRDefault="00EB7E6A">
      <w:pPr>
        <w:pStyle w:val="Zkladntext1"/>
        <w:shd w:val="clear" w:color="auto" w:fill="auto"/>
      </w:pPr>
      <w:r>
        <w:t>bankovní spojení: Česká národní banka, Na Příkopě 864/28, 115 03 Praha 1.</w:t>
      </w:r>
    </w:p>
    <w:p w:rsidR="002A7D81" w:rsidRDefault="00EB7E6A">
      <w:pPr>
        <w:pStyle w:val="Zkladntext1"/>
        <w:shd w:val="clear" w:color="auto" w:fill="auto"/>
      </w:pPr>
      <w:r>
        <w:t>číslo účtu: 94-13423061/0710</w:t>
      </w:r>
    </w:p>
    <w:p w:rsidR="002A7D81" w:rsidRDefault="00EB7E6A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674A3A" w:rsidRDefault="00EB7E6A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2A7D81" w:rsidRDefault="00EB7E6A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2A7D81" w:rsidRDefault="00EB7E6A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2A7D81" w:rsidRDefault="00EB7E6A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QL24010080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2A7D81" w:rsidRDefault="00EB7E6A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620" w:hanging="440"/>
      </w:pPr>
      <w:r>
        <w:t>Předmětem této Smlouvy je</w:t>
      </w:r>
    </w:p>
    <w:p w:rsidR="002A7D81" w:rsidRDefault="00EB7E6A">
      <w:pPr>
        <w:pStyle w:val="Zkladntext1"/>
        <w:numPr>
          <w:ilvl w:val="0"/>
          <w:numId w:val="2"/>
        </w:numPr>
        <w:shd w:val="clear" w:color="auto" w:fill="auto"/>
        <w:tabs>
          <w:tab w:val="left" w:pos="1307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QL24010080 „ Inovativní využití matoliny, obilných pluch a zbytkových otrub pro tvorbu produktů s vysokou přidanou hodnotou“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Projekt je zaměřen na oblast cirkulární ekonomiky s cílem vývoje inovativních technologií a výrobků z matoliny produkované při výrobě vína a dále pluch a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otrub produkovaných při mlýnském zpracování zrn vybraných plodin (oves,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špalda, pohanka). Inovativní využití těchto bioodpadů bude cíleno na tvorbu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potravinářských i nepotravinářských výrobků s vysokou přidanou hodnotou.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Nepotravinářské aplikace budou zahrnovat vývoj kompozitních materiálů (</w:t>
      </w:r>
      <w:proofErr w:type="spellStart"/>
      <w:r>
        <w:rPr>
          <w:b/>
          <w:bCs/>
        </w:rPr>
        <w:t>nanovláknité</w:t>
      </w:r>
      <w:proofErr w:type="spellEnd"/>
      <w:r>
        <w:rPr>
          <w:b/>
          <w:bCs/>
        </w:rPr>
        <w:t xml:space="preserve"> obalové a konstrukční materiály). Z potravinářského uplatnění se plánuje propojení separovaných složek matoliny (semeno, slupky, třapiny) s</w:t>
      </w:r>
    </w:p>
    <w:p w:rsidR="002A7D81" w:rsidRDefault="00EB7E6A">
      <w:pPr>
        <w:pStyle w:val="Zkladntext1"/>
        <w:shd w:val="clear" w:color="auto" w:fill="auto"/>
        <w:ind w:left="1220" w:firstLine="20"/>
      </w:pPr>
      <w:r>
        <w:rPr>
          <w:b/>
          <w:bCs/>
        </w:rPr>
        <w:t>mlýnsko-pekárenskou produkcí pro zvýšení nutriční kvality mouk, dále jejich minerální fortifikace a přirozená oxidační stabilizace či využití obilných pluch k přípravě substrátů pro kultivaci hub.</w:t>
      </w:r>
      <w:r>
        <w:t>,</w:t>
      </w:r>
    </w:p>
    <w:p w:rsidR="002A7D81" w:rsidRDefault="00EB7E6A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2A7D81" w:rsidRDefault="00EB7E6A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2A7D81" w:rsidRDefault="00EB7E6A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2A7D81" w:rsidRDefault="00EB7E6A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2A7D81" w:rsidRDefault="00EB7E6A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 příjemci za odbornou úroveň projektu a další účastníci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2A7D81" w:rsidRDefault="00EB7E6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2A7D81" w:rsidRDefault="00EB7E6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2A7D81" w:rsidRDefault="00EB7E6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2A7D81" w:rsidRDefault="00EB7E6A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2A7D81" w:rsidRDefault="00EB7E6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22 139 000 Kč </w:t>
      </w:r>
      <w:r>
        <w:t xml:space="preserve">(slovy: dvacet dva milionu jedno sto </w:t>
      </w:r>
      <w:proofErr w:type="spellStart"/>
      <w:r>
        <w:t>tricet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tisíc korun českých).</w:t>
      </w:r>
    </w:p>
    <w:p w:rsidR="002A7D81" w:rsidRDefault="00EB7E6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18 113 346 Kč </w:t>
      </w:r>
      <w:r>
        <w:t xml:space="preserve">(slovy: osmnáct milionu jedno sto třináct tisíc tři sta </w:t>
      </w:r>
      <w:proofErr w:type="spellStart"/>
      <w:r>
        <w:t>čtýřicet</w:t>
      </w:r>
      <w:proofErr w:type="spellEnd"/>
      <w:r>
        <w:t xml:space="preserve"> šest korun českých).</w:t>
      </w:r>
    </w:p>
    <w:p w:rsidR="002A7D81" w:rsidRDefault="00EB7E6A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2A7D81" w:rsidRDefault="00EB7E6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2A7D81" w:rsidRDefault="00EB7E6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2A7D81" w:rsidRDefault="00EB7E6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2A7D81" w:rsidRDefault="00EB7E6A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2A7D81" w:rsidRDefault="00EB7E6A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 xml:space="preserve">V případě, kdy příjemce nebo další účastník/účastníci projektu poruší 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6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2A7D81" w:rsidRDefault="00EB7E6A">
      <w:pPr>
        <w:pStyle w:val="Zkladntext1"/>
        <w:shd w:val="clear" w:color="auto" w:fill="auto"/>
        <w:ind w:left="600" w:firstLine="20"/>
        <w:jc w:val="left"/>
      </w:pPr>
      <w:r>
        <w:t>účastník/účastníci projektu dozvěděli.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stránkách poskytovatele.</w:t>
      </w:r>
    </w:p>
    <w:p w:rsidR="002A7D81" w:rsidRDefault="00EB7E6A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</w:t>
      </w:r>
      <w:r>
        <w:lastRenderedPageBreak/>
        <w:t>Všeobecných podmínek a dále Závažných parametrů řešení projektu.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2A7D81" w:rsidRDefault="00EB7E6A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2A7D81" w:rsidRDefault="00EB7E6A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2A7D81" w:rsidRDefault="00EB7E6A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2A7D81" w:rsidRDefault="00EB7E6A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</w:t>
      </w:r>
      <w:r>
        <w:lastRenderedPageBreak/>
        <w:t xml:space="preserve">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2A7D81" w:rsidRDefault="00EB7E6A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2A7D81" w:rsidRDefault="00EB7E6A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2A7D81" w:rsidRDefault="00EB7E6A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2A7D81" w:rsidRDefault="00EB7E6A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2A7D81" w:rsidRDefault="00EB7E6A">
      <w:pPr>
        <w:pStyle w:val="Zkladntext1"/>
        <w:shd w:val="clear" w:color="auto" w:fill="auto"/>
        <w:jc w:val="center"/>
      </w:pPr>
      <w:r>
        <w:rPr>
          <w:b/>
          <w:bCs/>
        </w:rPr>
        <w:t>Vyúčtování a finanční vypořádání dotace</w:t>
      </w:r>
    </w:p>
    <w:p w:rsidR="002A7D81" w:rsidRDefault="00EB7E6A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2A7D81" w:rsidRDefault="00EB7E6A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2A7D81" w:rsidRDefault="00EB7E6A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12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2A7D81" w:rsidRDefault="00EB7E6A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lastRenderedPageBreak/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2A7D81" w:rsidRDefault="00EB7E6A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13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2A7D81" w:rsidRDefault="00EB7E6A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2A7D81" w:rsidRDefault="00EB7E6A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14</w:t>
      </w:r>
    </w:p>
    <w:p w:rsidR="002A7D81" w:rsidRDefault="00EB7E6A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2A7D81" w:rsidRDefault="00EB7E6A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E67B31" w:rsidRDefault="00E67B31" w:rsidP="00E67B31">
      <w:pPr>
        <w:pStyle w:val="Zkladntext1"/>
        <w:shd w:val="clear" w:color="auto" w:fill="auto"/>
        <w:tabs>
          <w:tab w:val="left" w:pos="627"/>
        </w:tabs>
      </w:pPr>
    </w:p>
    <w:p w:rsidR="00E67B31" w:rsidRDefault="00E67B31" w:rsidP="00E67B31">
      <w:pPr>
        <w:pStyle w:val="Zkladntext1"/>
        <w:shd w:val="clear" w:color="auto" w:fill="auto"/>
        <w:tabs>
          <w:tab w:val="left" w:pos="627"/>
        </w:tabs>
      </w:pPr>
    </w:p>
    <w:p w:rsidR="00E67B31" w:rsidRDefault="00E67B31" w:rsidP="00E67B31">
      <w:pPr>
        <w:pStyle w:val="Zkladntext1"/>
        <w:shd w:val="clear" w:color="auto" w:fill="auto"/>
        <w:tabs>
          <w:tab w:val="left" w:pos="627"/>
        </w:tabs>
      </w:pP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lastRenderedPageBreak/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2A7D81" w:rsidRDefault="00EB7E6A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15</w:t>
      </w:r>
    </w:p>
    <w:p w:rsidR="002A7D81" w:rsidRDefault="00EB7E6A">
      <w:pPr>
        <w:pStyle w:val="Zkladntext1"/>
        <w:shd w:val="clear" w:color="auto" w:fill="auto"/>
        <w:spacing w:after="180" w:line="269" w:lineRule="auto"/>
        <w:jc w:val="center"/>
      </w:pPr>
      <w:r>
        <w:rPr>
          <w:b/>
          <w:bCs/>
        </w:rPr>
        <w:t>Účinnost Smlouvy</w:t>
      </w:r>
    </w:p>
    <w:p w:rsidR="002A7D81" w:rsidRDefault="00EB7E6A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POZNÁMKY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2A7D81" w:rsidRDefault="00EB7E6A">
      <w:pPr>
        <w:pStyle w:val="Zkladntext20"/>
        <w:shd w:val="clear" w:color="auto" w:fill="auto"/>
        <w:ind w:left="600" w:firstLine="2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předpisů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3"/>
      <w:r>
        <w:t>§</w:t>
      </w:r>
      <w:bookmarkEnd w:id="13"/>
      <w:r>
        <w:t xml:space="preserve"> 6 odst. 1 zákona č. 340/2015 Sb., o registru smluv</w:t>
      </w:r>
    </w:p>
    <w:p w:rsidR="002A7D81" w:rsidRDefault="00EB7E6A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2A7D81" w:rsidRDefault="00EB7E6A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jc w:val="left"/>
        <w:sectPr w:rsidR="002A7D81">
          <w:headerReference w:type="default" r:id="rId9"/>
          <w:footerReference w:type="default" r:id="rId10"/>
          <w:pgSz w:w="11900" w:h="16840"/>
          <w:pgMar w:top="2818" w:right="1109" w:bottom="1834" w:left="1120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FFFF"/>
        </w:rPr>
        <w:lastRenderedPageBreak/>
        <w:t>PODPISY SMLUVNÍCH STRAN</w:t>
      </w:r>
    </w:p>
    <w:p w:rsidR="002A7D81" w:rsidRDefault="002A7D81">
      <w:pPr>
        <w:spacing w:line="21" w:lineRule="exact"/>
        <w:rPr>
          <w:sz w:val="2"/>
          <w:szCs w:val="2"/>
        </w:rPr>
      </w:pPr>
    </w:p>
    <w:p w:rsidR="002A7D81" w:rsidRDefault="002A7D81">
      <w:pPr>
        <w:spacing w:line="14" w:lineRule="exact"/>
        <w:sectPr w:rsidR="002A7D81">
          <w:type w:val="continuous"/>
          <w:pgSz w:w="11900" w:h="16840"/>
          <w:pgMar w:top="2847" w:right="0" w:bottom="9169" w:left="0" w:header="0" w:footer="3" w:gutter="0"/>
          <w:cols w:space="720"/>
          <w:noEndnote/>
          <w:docGrid w:linePitch="360"/>
        </w:sectPr>
      </w:pPr>
    </w:p>
    <w:p w:rsidR="002A7D81" w:rsidRDefault="00EB7E6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60960</wp:posOffset>
                </wp:positionV>
                <wp:extent cx="905510" cy="20129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81" w:rsidRDefault="00EB7E6A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9.350000000000001pt;margin-top:4.7999999999999998pt;width:71.29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530225</wp:posOffset>
                </wp:positionV>
                <wp:extent cx="3066415" cy="19494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7D81" w:rsidRDefault="00EB7E6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4781"/>
                              </w:tabs>
                            </w:pPr>
                            <w:r>
                              <w:t xml:space="preserve">V Praze,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8.850000000000001pt;margin-top:41.75pt;width:241.44999999999999pt;height:15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78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A7D81" w:rsidRDefault="002A7D81">
      <w:pPr>
        <w:pStyle w:val="Nadpis20"/>
        <w:keepNext/>
        <w:keepLines/>
        <w:shd w:val="clear" w:color="auto" w:fill="auto"/>
      </w:pPr>
      <w:bookmarkStart w:id="14" w:name="_GoBack"/>
      <w:bookmarkEnd w:id="14"/>
    </w:p>
    <w:p w:rsidR="002A7D81" w:rsidRDefault="00EB7E6A">
      <w:pPr>
        <w:pStyle w:val="Zkladntext40"/>
        <w:shd w:val="clear" w:color="auto" w:fill="auto"/>
        <w:spacing w:line="240" w:lineRule="auto"/>
        <w:rPr>
          <w:sz w:val="13"/>
          <w:szCs w:val="13"/>
        </w:rPr>
        <w:sectPr w:rsidR="002A7D81">
          <w:type w:val="continuous"/>
          <w:pgSz w:w="11900" w:h="16840"/>
          <w:pgMar w:top="2847" w:right="1834" w:bottom="9169" w:left="6908" w:header="0" w:footer="3" w:gutter="0"/>
          <w:cols w:space="720"/>
          <w:noEndnote/>
          <w:docGrid w:linePitch="360"/>
        </w:sectPr>
      </w:pPr>
      <w:r>
        <w:rPr>
          <w:sz w:val="13"/>
          <w:szCs w:val="13"/>
        </w:rPr>
        <w:t>Digitální podpis: 24.01.2024 14:54</w:t>
      </w:r>
    </w:p>
    <w:p w:rsidR="002A7D81" w:rsidRDefault="00EB7E6A">
      <w:pPr>
        <w:pStyle w:val="Zkladntext1"/>
        <w:shd w:val="clear" w:color="auto" w:fill="auto"/>
        <w:spacing w:after="40"/>
        <w:jc w:val="center"/>
      </w:pPr>
      <w:r>
        <w:lastRenderedPageBreak/>
        <w:t>Ing. Petr Jílek</w:t>
      </w:r>
    </w:p>
    <w:p w:rsidR="002A7D81" w:rsidRDefault="00EB7E6A">
      <w:pPr>
        <w:pStyle w:val="Zkladntext1"/>
        <w:shd w:val="clear" w:color="auto" w:fill="auto"/>
        <w:ind w:firstLine="600"/>
        <w:jc w:val="left"/>
        <w:sectPr w:rsidR="002A7D81">
          <w:type w:val="continuous"/>
          <w:pgSz w:w="11900" w:h="16840"/>
          <w:pgMar w:top="2847" w:right="1566" w:bottom="9169" w:left="7220" w:header="0" w:footer="3" w:gutter="0"/>
          <w:cols w:space="720"/>
          <w:noEndnote/>
          <w:docGrid w:linePitch="360"/>
        </w:sectPr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2A7D81" w:rsidRDefault="002A7D81">
      <w:pPr>
        <w:spacing w:line="226" w:lineRule="exact"/>
        <w:rPr>
          <w:sz w:val="18"/>
          <w:szCs w:val="18"/>
        </w:rPr>
      </w:pPr>
    </w:p>
    <w:p w:rsidR="002A7D81" w:rsidRDefault="002A7D81">
      <w:pPr>
        <w:spacing w:line="14" w:lineRule="exact"/>
        <w:sectPr w:rsidR="002A7D81">
          <w:type w:val="continuous"/>
          <w:pgSz w:w="11900" w:h="16840"/>
          <w:pgMar w:top="2242" w:right="0" w:bottom="1392" w:left="0" w:header="0" w:footer="3" w:gutter="0"/>
          <w:cols w:space="720"/>
          <w:noEndnote/>
          <w:docGrid w:linePitch="360"/>
        </w:sectPr>
      </w:pPr>
    </w:p>
    <w:p w:rsidR="002A7D81" w:rsidRDefault="00EB7E6A">
      <w:pPr>
        <w:pStyle w:val="Zkladntext1"/>
        <w:framePr w:w="1008" w:h="317" w:wrap="none" w:vAnchor="text" w:hAnchor="page" w:x="1188" w:y="183"/>
        <w:shd w:val="clear" w:color="auto" w:fill="auto"/>
        <w:jc w:val="left"/>
      </w:pPr>
      <w:r>
        <w:rPr>
          <w:b/>
          <w:bCs/>
        </w:rPr>
        <w:t>Příjemce:</w:t>
      </w:r>
    </w:p>
    <w:p w:rsidR="002A7D81" w:rsidRDefault="00EB7E6A">
      <w:pPr>
        <w:pStyle w:val="Zkladntext1"/>
        <w:framePr w:w="4646" w:h="307" w:wrap="none" w:vAnchor="text" w:hAnchor="page" w:x="1370" w:y="923"/>
        <w:shd w:val="clear" w:color="auto" w:fill="auto"/>
        <w:tabs>
          <w:tab w:val="left" w:leader="dot" w:pos="2054"/>
          <w:tab w:val="left" w:leader="dot" w:pos="4608"/>
        </w:tabs>
      </w:pPr>
      <w:r>
        <w:tab/>
        <w:t xml:space="preserve">, dne </w:t>
      </w:r>
      <w:r>
        <w:tab/>
      </w:r>
    </w:p>
    <w:p w:rsidR="002A7D81" w:rsidRDefault="002A7D81" w:rsidP="00203BB8">
      <w:pPr>
        <w:pStyle w:val="Zkladntext50"/>
        <w:framePr w:w="917" w:h="1176" w:wrap="none" w:vAnchor="text" w:hAnchor="page" w:x="7337" w:y="21"/>
        <w:shd w:val="clear" w:color="auto" w:fill="auto"/>
        <w:spacing w:line="240" w:lineRule="auto"/>
      </w:pPr>
    </w:p>
    <w:p w:rsidR="002A7D81" w:rsidRDefault="00EB7E6A">
      <w:pPr>
        <w:pStyle w:val="Zkladntext40"/>
        <w:framePr w:w="1262" w:h="970" w:wrap="none" w:vAnchor="text" w:hAnchor="page" w:x="8642" w:y="135"/>
        <w:pBdr>
          <w:bottom w:val="single" w:sz="4" w:space="0" w:color="auto"/>
        </w:pBdr>
        <w:shd w:val="clear" w:color="auto" w:fill="auto"/>
      </w:pPr>
      <w:r>
        <w:t>Digitálně podepsal RNDr. Mikuláš Madaras, Ph.D. Datum: 2024.01.10 19:02:21 +01 00'</w:t>
      </w:r>
    </w:p>
    <w:p w:rsidR="002A7D81" w:rsidRDefault="002A7D81">
      <w:pPr>
        <w:spacing w:line="360" w:lineRule="exact"/>
      </w:pPr>
    </w:p>
    <w:p w:rsidR="002A7D81" w:rsidRDefault="002A7D81">
      <w:pPr>
        <w:spacing w:line="360" w:lineRule="exact"/>
      </w:pPr>
    </w:p>
    <w:p w:rsidR="002A7D81" w:rsidRDefault="002A7D81">
      <w:pPr>
        <w:spacing w:after="495" w:line="14" w:lineRule="exact"/>
      </w:pPr>
    </w:p>
    <w:p w:rsidR="002A7D81" w:rsidRDefault="002A7D81">
      <w:pPr>
        <w:spacing w:line="14" w:lineRule="exact"/>
        <w:sectPr w:rsidR="002A7D81">
          <w:type w:val="continuous"/>
          <w:pgSz w:w="11900" w:h="16840"/>
          <w:pgMar w:top="2242" w:right="1124" w:bottom="1392" w:left="1124" w:header="0" w:footer="3" w:gutter="0"/>
          <w:cols w:space="720"/>
          <w:noEndnote/>
          <w:docGrid w:linePitch="360"/>
        </w:sectPr>
      </w:pPr>
    </w:p>
    <w:p w:rsidR="002A7D81" w:rsidRDefault="00EB7E6A">
      <w:pPr>
        <w:pStyle w:val="Zkladntext1"/>
        <w:shd w:val="clear" w:color="auto" w:fill="auto"/>
        <w:jc w:val="left"/>
      </w:pPr>
      <w:r>
        <w:lastRenderedPageBreak/>
        <w:t>RNDr. Mikuláš Madaras, Ph.D., ředitel</w:t>
      </w:r>
    </w:p>
    <w:sectPr w:rsidR="002A7D81">
      <w:type w:val="continuous"/>
      <w:pgSz w:w="11900" w:h="16840"/>
      <w:pgMar w:top="2847" w:right="1330" w:bottom="2847" w:left="6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03" w:rsidRDefault="00463103">
      <w:r>
        <w:separator/>
      </w:r>
    </w:p>
  </w:endnote>
  <w:endnote w:type="continuationSeparator" w:id="0">
    <w:p w:rsidR="00463103" w:rsidRDefault="004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81" w:rsidRDefault="00EB7E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D81" w:rsidRDefault="00EB7E6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2A7D81" w:rsidRDefault="00EB7E6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A7D81" w:rsidRDefault="00EB7E6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3BB8" w:rsidRPr="00203BB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15.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G4kJKOAA&#10;AAAOAQAADwAAAAAAAAAAAAAAAADxAwAAZHJzL2Rvd25yZXYueG1sUEsFBgAAAAAEAAQA8wAAAP4E&#10;AAAAAA==&#10;" filled="f" stroked="f">
              <v:textbox style="mso-fit-shape-to-text:t" inset="0,0,0,0">
                <w:txbxContent>
                  <w:p w:rsidR="002A7D81" w:rsidRDefault="00EB7E6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2A7D81" w:rsidRDefault="00EB7E6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A7D81" w:rsidRDefault="00EB7E6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3BB8" w:rsidRPr="00203BB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03" w:rsidRDefault="00463103"/>
  </w:footnote>
  <w:footnote w:type="continuationSeparator" w:id="0">
    <w:p w:rsidR="00463103" w:rsidRDefault="004631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81" w:rsidRDefault="00EB7E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D81" w:rsidRDefault="00EB7E6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8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D81" w:rsidRDefault="00EB7E6A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2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8E"/>
    <w:multiLevelType w:val="multilevel"/>
    <w:tmpl w:val="2D8806B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F7882"/>
    <w:multiLevelType w:val="multilevel"/>
    <w:tmpl w:val="CCC67EF4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13D53"/>
    <w:multiLevelType w:val="multilevel"/>
    <w:tmpl w:val="A9C0D72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5578E"/>
    <w:multiLevelType w:val="multilevel"/>
    <w:tmpl w:val="654EC3C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B5BE6"/>
    <w:multiLevelType w:val="multilevel"/>
    <w:tmpl w:val="8A86D012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D4A2F"/>
    <w:multiLevelType w:val="multilevel"/>
    <w:tmpl w:val="446AFEC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E1C6B"/>
    <w:multiLevelType w:val="multilevel"/>
    <w:tmpl w:val="D6785532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E3600"/>
    <w:multiLevelType w:val="multilevel"/>
    <w:tmpl w:val="DACA0FF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56D93"/>
    <w:multiLevelType w:val="multilevel"/>
    <w:tmpl w:val="EEAE1778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546A4"/>
    <w:multiLevelType w:val="multilevel"/>
    <w:tmpl w:val="947E3D04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82767"/>
    <w:multiLevelType w:val="multilevel"/>
    <w:tmpl w:val="CB3C70B0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D6D9E"/>
    <w:multiLevelType w:val="multilevel"/>
    <w:tmpl w:val="31B8D6BE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231FBC"/>
    <w:multiLevelType w:val="multilevel"/>
    <w:tmpl w:val="67B4F814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0133EC"/>
    <w:multiLevelType w:val="multilevel"/>
    <w:tmpl w:val="6ACEDCE8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02238"/>
    <w:multiLevelType w:val="multilevel"/>
    <w:tmpl w:val="FAD8F6F4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A7D81"/>
    <w:rsid w:val="00203BB8"/>
    <w:rsid w:val="002A7D81"/>
    <w:rsid w:val="00463103"/>
    <w:rsid w:val="00674A3A"/>
    <w:rsid w:val="00E67B31"/>
    <w:rsid w:val="00E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2843</Words>
  <Characters>16780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QL24010080</dc:title>
  <dc:subject/>
  <dc:creator/>
  <cp:keywords/>
  <cp:lastModifiedBy>Sakrytova</cp:lastModifiedBy>
  <cp:revision>4</cp:revision>
  <dcterms:created xsi:type="dcterms:W3CDTF">2024-03-19T13:58:00Z</dcterms:created>
  <dcterms:modified xsi:type="dcterms:W3CDTF">2024-03-19T14:05:00Z</dcterms:modified>
</cp:coreProperties>
</file>