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724E" w14:textId="77777777" w:rsidR="003E50E4" w:rsidRPr="003E50E4" w:rsidRDefault="003E50E4" w:rsidP="003E50E4">
      <w:pPr>
        <w:spacing w:after="0" w:line="240" w:lineRule="auto"/>
        <w:jc w:val="right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</w:p>
    <w:p w14:paraId="3C89C499" w14:textId="77777777" w:rsidR="003E50E4" w:rsidRPr="003E50E4" w:rsidRDefault="003E50E4" w:rsidP="003E50E4">
      <w:pPr>
        <w:spacing w:after="0" w:line="240" w:lineRule="auto"/>
        <w:jc w:val="right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0C47E625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Veřejnoprávní smlouva o poskytnutí dotace</w:t>
      </w:r>
    </w:p>
    <w:p w14:paraId="3D54D4A3" w14:textId="7A44BFB3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č. S-00</w:t>
      </w:r>
      <w:r w:rsidR="00143CA5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15</w:t>
      </w:r>
      <w:r w:rsidRPr="003E50E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/202</w:t>
      </w:r>
      <w:r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4</w:t>
      </w:r>
    </w:p>
    <w:p w14:paraId="7A6E37B8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E50E4">
        <w:rPr>
          <w:rFonts w:ascii="Calibri" w:eastAsia="Calibri" w:hAnsi="Calibri" w:cs="Calibri"/>
          <w:kern w:val="0"/>
          <w:sz w:val="20"/>
          <w:szCs w:val="20"/>
          <w14:ligatures w14:val="none"/>
        </w:rPr>
        <w:t>uzavřená ve smyslu ustanovení § 159 a násl. zákona č. 500/2004 Sb., správní řád, ve znění pozdějších předpisů,</w:t>
      </w:r>
    </w:p>
    <w:p w14:paraId="715C8B1F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E50E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podle § 89, odst. 2, písm. b) zákona č. 131/2000 Sb.,o hlavním městě Praze ve znění pozdějších změn a v souladu s § 10a odst. 5 zákona č. 250/2000 Sb., o rozpočtových pravidlech územních rozpočtů, ve znění pozdějších předpisů </w:t>
      </w:r>
    </w:p>
    <w:p w14:paraId="06521914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1698CEA3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mezi:</w:t>
      </w:r>
    </w:p>
    <w:p w14:paraId="7F3C09CB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D50B4FF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Poskytovatelem dotace: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b/>
          <w:kern w:val="0"/>
          <w14:ligatures w14:val="none"/>
        </w:rPr>
        <w:t>Městská část Praha – Štěrboholy</w:t>
      </w:r>
    </w:p>
    <w:p w14:paraId="5C3C650A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se sídlem Ústřední 527/14,  102 00  Praha 10 - Štěrboholy</w:t>
      </w:r>
    </w:p>
    <w:p w14:paraId="13FD18A3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 xml:space="preserve">zastoupená panem Františkem Ševítem, starostou </w:t>
      </w:r>
    </w:p>
    <w:p w14:paraId="6FA6DD2F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IČO: 002 31 371</w:t>
      </w:r>
    </w:p>
    <w:p w14:paraId="6F804836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bankovní spojení: Česká spořitelna, a.s.</w:t>
      </w:r>
    </w:p>
    <w:p w14:paraId="275F2E70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č.ú.: 2000718329/0800</w:t>
      </w:r>
    </w:p>
    <w:p w14:paraId="09854B0B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(dále jen „poskytovatel“)</w:t>
      </w:r>
    </w:p>
    <w:p w14:paraId="599C9BFE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a</w:t>
      </w:r>
    </w:p>
    <w:p w14:paraId="6819458C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C8E09BE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Příjemcem dotace: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b/>
          <w:kern w:val="0"/>
          <w14:ligatures w14:val="none"/>
        </w:rPr>
        <w:t>BK METEOR PRAHA z.s.</w:t>
      </w:r>
    </w:p>
    <w:p w14:paraId="6018777E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ab/>
      </w:r>
      <w:r w:rsidRPr="003E50E4">
        <w:rPr>
          <w:rFonts w:ascii="Calibri" w:eastAsia="Calibri" w:hAnsi="Calibri" w:cs="Calibri"/>
          <w:b/>
          <w:kern w:val="0"/>
          <w14:ligatures w14:val="none"/>
        </w:rPr>
        <w:tab/>
      </w:r>
      <w:r w:rsidRPr="003E50E4">
        <w:rPr>
          <w:rFonts w:ascii="Calibri" w:eastAsia="Calibri" w:hAnsi="Calibri" w:cs="Calibri"/>
          <w:b/>
          <w:kern w:val="0"/>
          <w14:ligatures w14:val="none"/>
        </w:rPr>
        <w:tab/>
      </w:r>
      <w:r w:rsidRPr="003E50E4">
        <w:rPr>
          <w:rFonts w:ascii="Calibri" w:eastAsia="Calibri" w:hAnsi="Calibri" w:cs="Calibri"/>
          <w:b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>se sídlem Mazurská 846/2d, 181 00  Praha 8 - Troja</w:t>
      </w:r>
    </w:p>
    <w:p w14:paraId="25AD02D4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zastoupená panem Ing. Ondřejem Lubasem, předsedou Spolku</w:t>
      </w:r>
    </w:p>
    <w:p w14:paraId="795241A0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IČO: 140 99 101</w:t>
      </w:r>
    </w:p>
    <w:p w14:paraId="63AC8352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bankovní spojení:  Česká spořitelna, a.s.</w:t>
      </w:r>
    </w:p>
    <w:p w14:paraId="6C36C5B7" w14:textId="77777777" w:rsidR="003E50E4" w:rsidRPr="003E50E4" w:rsidRDefault="003E50E4" w:rsidP="003E50E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 xml:space="preserve">     č.ú: </w:t>
      </w:r>
      <w:r w:rsidRPr="003E50E4">
        <w:rPr>
          <w:rFonts w:ascii="Calibri" w:eastAsia="Calibri" w:hAnsi="Calibri" w:cs="Times New Roman"/>
          <w:kern w:val="0"/>
          <w14:ligatures w14:val="none"/>
        </w:rPr>
        <w:t>6221849339/0800</w:t>
      </w:r>
    </w:p>
    <w:p w14:paraId="0C4BF106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(dále jen „příjemce“)</w:t>
      </w:r>
    </w:p>
    <w:p w14:paraId="586A2A40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BE3C67E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C42C988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93A46B0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I.</w:t>
      </w:r>
    </w:p>
    <w:p w14:paraId="2BB6B783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Obecná ustanovení</w:t>
      </w:r>
    </w:p>
    <w:p w14:paraId="1BAAF3CF" w14:textId="38C8915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Zastupitelstvo městské části Praha – Štěrboholy rozhodlo svým usnesením č. </w:t>
      </w:r>
      <w:r>
        <w:rPr>
          <w:rFonts w:ascii="Calibri" w:eastAsia="Calibri" w:hAnsi="Calibri" w:cs="Calibri"/>
          <w:kern w:val="0"/>
          <w14:ligatures w14:val="none"/>
        </w:rPr>
        <w:t>15</w:t>
      </w:r>
      <w:r w:rsidRPr="003E50E4">
        <w:rPr>
          <w:rFonts w:ascii="Calibri" w:eastAsia="Calibri" w:hAnsi="Calibri" w:cs="Calibri"/>
          <w:kern w:val="0"/>
          <w14:ligatures w14:val="none"/>
        </w:rPr>
        <w:t>/</w:t>
      </w:r>
      <w:r>
        <w:rPr>
          <w:rFonts w:ascii="Calibri" w:eastAsia="Calibri" w:hAnsi="Calibri" w:cs="Calibri"/>
          <w:kern w:val="0"/>
          <w14:ligatures w14:val="none"/>
        </w:rPr>
        <w:t>VI</w:t>
      </w:r>
      <w:r w:rsidRPr="003E50E4">
        <w:rPr>
          <w:rFonts w:ascii="Calibri" w:eastAsia="Calibri" w:hAnsi="Calibri" w:cs="Calibri"/>
          <w:kern w:val="0"/>
          <w14:ligatures w14:val="none"/>
        </w:rPr>
        <w:t>II</w:t>
      </w:r>
      <w:r>
        <w:rPr>
          <w:rFonts w:ascii="Calibri" w:eastAsia="Calibri" w:hAnsi="Calibri" w:cs="Calibri"/>
          <w:kern w:val="0"/>
          <w14:ligatures w14:val="none"/>
        </w:rPr>
        <w:t xml:space="preserve">, odst. 2 </w:t>
      </w:r>
      <w:r w:rsidRPr="003E50E4">
        <w:rPr>
          <w:rFonts w:ascii="Calibri" w:eastAsia="Calibri" w:hAnsi="Calibri" w:cs="Calibri"/>
          <w:kern w:val="0"/>
          <w14:ligatures w14:val="none"/>
        </w:rPr>
        <w:t>ze dne 2</w:t>
      </w:r>
      <w:r>
        <w:rPr>
          <w:rFonts w:ascii="Calibri" w:eastAsia="Calibri" w:hAnsi="Calibri" w:cs="Calibri"/>
          <w:kern w:val="0"/>
          <w14:ligatures w14:val="none"/>
        </w:rPr>
        <w:t>1</w:t>
      </w:r>
      <w:r w:rsidRPr="003E50E4">
        <w:rPr>
          <w:rFonts w:ascii="Calibri" w:eastAsia="Calibri" w:hAnsi="Calibri" w:cs="Calibri"/>
          <w:kern w:val="0"/>
          <w14:ligatures w14:val="none"/>
        </w:rPr>
        <w:t>.</w:t>
      </w:r>
      <w:r>
        <w:rPr>
          <w:rFonts w:ascii="Calibri" w:eastAsia="Calibri" w:hAnsi="Calibri" w:cs="Calibri"/>
          <w:kern w:val="0"/>
          <w14:ligatures w14:val="none"/>
        </w:rPr>
        <w:t>2</w:t>
      </w:r>
      <w:r w:rsidRPr="003E50E4">
        <w:rPr>
          <w:rFonts w:ascii="Calibri" w:eastAsia="Calibri" w:hAnsi="Calibri" w:cs="Calibri"/>
          <w:kern w:val="0"/>
          <w14:ligatures w14:val="none"/>
        </w:rPr>
        <w:t>.202</w:t>
      </w:r>
      <w:r>
        <w:rPr>
          <w:rFonts w:ascii="Calibri" w:eastAsia="Calibri" w:hAnsi="Calibri" w:cs="Calibri"/>
          <w:kern w:val="0"/>
          <w14:ligatures w14:val="none"/>
        </w:rPr>
        <w:t>4</w:t>
      </w:r>
      <w:r w:rsidRPr="003E50E4">
        <w:rPr>
          <w:rFonts w:ascii="Calibri" w:eastAsia="Calibri" w:hAnsi="Calibri" w:cs="Calibri"/>
          <w:kern w:val="0"/>
          <w14:ligatures w14:val="none"/>
        </w:rPr>
        <w:t xml:space="preserve"> o poskytnutí dotace z rozpočtu městské části v roce 202</w:t>
      </w:r>
      <w:r>
        <w:rPr>
          <w:rFonts w:ascii="Calibri" w:eastAsia="Calibri" w:hAnsi="Calibri" w:cs="Calibri"/>
          <w:kern w:val="0"/>
          <w14:ligatures w14:val="none"/>
        </w:rPr>
        <w:t>4</w:t>
      </w:r>
      <w:r w:rsidRPr="003E50E4">
        <w:rPr>
          <w:rFonts w:ascii="Calibri" w:eastAsia="Calibri" w:hAnsi="Calibri" w:cs="Calibri"/>
          <w:kern w:val="0"/>
          <w14:ligatures w14:val="none"/>
        </w:rPr>
        <w:t xml:space="preserve"> ve výši a za podmínek dále uvedených v této smlouvě. </w:t>
      </w:r>
    </w:p>
    <w:p w14:paraId="0858102A" w14:textId="77777777" w:rsidR="003E50E4" w:rsidRPr="003E50E4" w:rsidRDefault="003E50E4" w:rsidP="003E50E4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570C512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II.</w:t>
      </w:r>
    </w:p>
    <w:p w14:paraId="424504A7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Účel dotace</w:t>
      </w:r>
    </w:p>
    <w:p w14:paraId="6CD04E96" w14:textId="6945F39F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Poskytovatel poskytne příjemci  účelovou neinvestiční dotaci ve výši 200 000,00 Kč (slovy dvěstětisíckorun českých) na zajištění akce </w:t>
      </w:r>
      <w:r>
        <w:rPr>
          <w:rFonts w:ascii="Calibri" w:eastAsia="Calibri" w:hAnsi="Calibri" w:cs="Calibri"/>
          <w:kern w:val="0"/>
          <w14:ligatures w14:val="none"/>
        </w:rPr>
        <w:t>Mezinárodní badmintonový turnaj mládeže, zařazený do kalendáře Badminton Europe</w:t>
      </w:r>
      <w:r w:rsidRPr="003E50E4">
        <w:rPr>
          <w:rFonts w:ascii="Calibri" w:eastAsia="Calibri" w:hAnsi="Calibri" w:cs="Calibri"/>
          <w:kern w:val="0"/>
          <w14:ligatures w14:val="none"/>
        </w:rPr>
        <w:t xml:space="preserve"> „YONEX CZECH YOUTH INTERNATIONAL 202</w:t>
      </w:r>
      <w:r>
        <w:rPr>
          <w:rFonts w:ascii="Calibri" w:eastAsia="Calibri" w:hAnsi="Calibri" w:cs="Calibri"/>
          <w:kern w:val="0"/>
          <w14:ligatures w14:val="none"/>
        </w:rPr>
        <w:t>4</w:t>
      </w:r>
      <w:r w:rsidRPr="003E50E4">
        <w:rPr>
          <w:rFonts w:ascii="Calibri" w:eastAsia="Calibri" w:hAnsi="Calibri" w:cs="Calibri"/>
          <w:kern w:val="0"/>
          <w14:ligatures w14:val="none"/>
        </w:rPr>
        <w:t xml:space="preserve">“ .  Akce  se  bude  konat  ve sportovní hale Štěrboholy, U Školy 430,  Praha 10 – Štěrboholy ve dnech </w:t>
      </w:r>
      <w:r>
        <w:rPr>
          <w:rFonts w:ascii="Calibri" w:eastAsia="Calibri" w:hAnsi="Calibri" w:cs="Calibri"/>
          <w:kern w:val="0"/>
          <w14:ligatures w14:val="none"/>
        </w:rPr>
        <w:t>30.5.</w:t>
      </w:r>
      <w:r w:rsidRPr="003E50E4">
        <w:rPr>
          <w:rFonts w:ascii="Calibri" w:eastAsia="Calibri" w:hAnsi="Calibri" w:cs="Calibri"/>
          <w:kern w:val="0"/>
          <w14:ligatures w14:val="none"/>
        </w:rPr>
        <w:t xml:space="preserve"> – </w:t>
      </w:r>
      <w:r>
        <w:rPr>
          <w:rFonts w:ascii="Calibri" w:eastAsia="Calibri" w:hAnsi="Calibri" w:cs="Calibri"/>
          <w:kern w:val="0"/>
          <w14:ligatures w14:val="none"/>
        </w:rPr>
        <w:t>2</w:t>
      </w:r>
      <w:r w:rsidRPr="003E50E4">
        <w:rPr>
          <w:rFonts w:ascii="Calibri" w:eastAsia="Calibri" w:hAnsi="Calibri" w:cs="Calibri"/>
          <w:kern w:val="0"/>
          <w14:ligatures w14:val="none"/>
        </w:rPr>
        <w:t>.6.202</w:t>
      </w:r>
      <w:r>
        <w:rPr>
          <w:rFonts w:ascii="Calibri" w:eastAsia="Calibri" w:hAnsi="Calibri" w:cs="Calibri"/>
          <w:kern w:val="0"/>
          <w14:ligatures w14:val="none"/>
        </w:rPr>
        <w:t>4</w:t>
      </w:r>
      <w:r w:rsidRPr="003E50E4">
        <w:rPr>
          <w:rFonts w:ascii="Calibri" w:eastAsia="Calibri" w:hAnsi="Calibri" w:cs="Calibri"/>
          <w:kern w:val="0"/>
          <w14:ligatures w14:val="none"/>
        </w:rPr>
        <w:t>.</w:t>
      </w:r>
    </w:p>
    <w:p w14:paraId="0E63BB1E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30E33A9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2E091FD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III.</w:t>
      </w:r>
    </w:p>
    <w:p w14:paraId="2C4D8E92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Doba užití a způsob poskytnutí dotace</w:t>
      </w:r>
    </w:p>
    <w:p w14:paraId="36635407" w14:textId="77777777" w:rsidR="003E50E4" w:rsidRPr="003E50E4" w:rsidRDefault="003E50E4" w:rsidP="003E50E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Poskytovatel se zavazuje poskytnout příjemci dotaci za účelem uvedeným v článku II., na účet příjemce uvedený v záhlaví této smlouvy jednorázově  do 10 dnů ode dne podpisu této smlouvy oběma smluvními stranami. </w:t>
      </w:r>
    </w:p>
    <w:p w14:paraId="1B9B53FB" w14:textId="0C08E6A4" w:rsidR="003E50E4" w:rsidRPr="003E50E4" w:rsidRDefault="003E50E4" w:rsidP="003E50E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lastRenderedPageBreak/>
        <w:t>Finanční prostředky lze použít na úhradu nákladů vzniklých v roce 202</w:t>
      </w:r>
      <w:r w:rsidR="00072601">
        <w:rPr>
          <w:rFonts w:ascii="Calibri" w:eastAsia="Calibri" w:hAnsi="Calibri" w:cs="Calibri"/>
          <w:kern w:val="0"/>
          <w14:ligatures w14:val="none"/>
        </w:rPr>
        <w:t>4</w:t>
      </w:r>
      <w:r w:rsidRPr="003E50E4">
        <w:rPr>
          <w:rFonts w:ascii="Calibri" w:eastAsia="Calibri" w:hAnsi="Calibri" w:cs="Calibri"/>
          <w:kern w:val="0"/>
          <w14:ligatures w14:val="none"/>
        </w:rPr>
        <w:t>. Finanční prostředky nelze převádět do následujícího kalendářního roku. Dotace podléhá finančnímu vypořádání s rozpočtem poskytovatele za rok 202</w:t>
      </w:r>
      <w:r w:rsidR="00072601">
        <w:rPr>
          <w:rFonts w:ascii="Calibri" w:eastAsia="Calibri" w:hAnsi="Calibri" w:cs="Calibri"/>
          <w:kern w:val="0"/>
          <w14:ligatures w14:val="none"/>
        </w:rPr>
        <w:t>4</w:t>
      </w:r>
      <w:r w:rsidRPr="003E50E4">
        <w:rPr>
          <w:rFonts w:ascii="Calibri" w:eastAsia="Calibri" w:hAnsi="Calibri" w:cs="Calibri"/>
          <w:kern w:val="0"/>
          <w14:ligatures w14:val="none"/>
        </w:rPr>
        <w:t>.</w:t>
      </w:r>
    </w:p>
    <w:p w14:paraId="30F189F1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D45C083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7F732E3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IV.</w:t>
      </w:r>
    </w:p>
    <w:p w14:paraId="21680B61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Podmínky použití peněžních prostředků</w:t>
      </w:r>
    </w:p>
    <w:p w14:paraId="2F8944B5" w14:textId="77777777" w:rsidR="003E50E4" w:rsidRPr="003E50E4" w:rsidRDefault="003E50E4" w:rsidP="003E50E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Příjemce je povinen užít dotaci jen k účelu uvedenému v čl. II. této smlouvy a pouze za podmínek dále uvedených. </w:t>
      </w:r>
    </w:p>
    <w:p w14:paraId="401D9DA2" w14:textId="77777777" w:rsidR="003E50E4" w:rsidRPr="003E50E4" w:rsidRDefault="003E50E4" w:rsidP="003E50E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Peněžní prostředky dotace nesmí příjemce poskytnout jiným právnickým nebo fyzickým osobám, pokud nejde o úhrady spojené s realizací účelu, na nějž byla dotace poskytnuta. </w:t>
      </w:r>
    </w:p>
    <w:p w14:paraId="4B352D70" w14:textId="77777777" w:rsidR="003E50E4" w:rsidRPr="003E50E4" w:rsidRDefault="003E50E4" w:rsidP="003E50E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Příjemce zajistí ve svém účetnictví nebo daňové evidenci, v souladu s obecně platnými předpisy řádné a oddělené sledování čerpání dotace. Originály dokladů vztahujících se k poskytnutí této dotace je příjemce povinen archivovat po dobu 5 let od vyúčtování dotace.</w:t>
      </w:r>
    </w:p>
    <w:p w14:paraId="521CF681" w14:textId="1FFF5F79" w:rsidR="003E50E4" w:rsidRPr="003E50E4" w:rsidRDefault="003E50E4" w:rsidP="003E50E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Příjemce předloží poskytovateli vyúčtování poskytnuté dotace formou soupisu účetních dokladů souvisejících s realizací akce s uvedením výše částky a účelu platby u jednotlivých dokladů a jako přílohy přiloží fotokopie těchto dokladů. Vyúčtování předloží příjemce poskytovateli nejpozději do 30.11.202</w:t>
      </w:r>
      <w:r w:rsidR="00072601">
        <w:rPr>
          <w:rFonts w:ascii="Calibri" w:eastAsia="Calibri" w:hAnsi="Calibri" w:cs="Calibri"/>
          <w:kern w:val="0"/>
          <w14:ligatures w14:val="none"/>
        </w:rPr>
        <w:t>4</w:t>
      </w:r>
      <w:r w:rsidRPr="003E50E4">
        <w:rPr>
          <w:rFonts w:ascii="Calibri" w:eastAsia="Calibri" w:hAnsi="Calibri" w:cs="Calibri"/>
          <w:kern w:val="0"/>
          <w14:ligatures w14:val="none"/>
        </w:rPr>
        <w:t>.</w:t>
      </w:r>
    </w:p>
    <w:p w14:paraId="3C29A461" w14:textId="77777777" w:rsidR="003E50E4" w:rsidRPr="003E50E4" w:rsidRDefault="003E50E4" w:rsidP="003E50E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V termínu pro předložení vyúčtování dle čl. IV., odst. 4 vrátí příjemce nevyčerpané finanční prostředky na účet poskytovatele uvedený v záhlaví této smlouvy. Neučiní-li tak, jedná se o porušení rozpočtové kázně dle § 22 zákona č. 250/2000 Sb., o rozpočtových pravidlech územních rozpočtů, ve znění pozdějších předpisů. </w:t>
      </w:r>
    </w:p>
    <w:p w14:paraId="2493FE33" w14:textId="77777777" w:rsidR="003E50E4" w:rsidRPr="003E50E4" w:rsidRDefault="003E50E4" w:rsidP="003E50E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Příjemce je povinen poskytnout součinnost při výkonu kontrolní činnosti poskytovatele v souladu se zákonem a zvláštním právním předpisem. </w:t>
      </w:r>
    </w:p>
    <w:p w14:paraId="5C8B9FA6" w14:textId="77777777" w:rsidR="003E50E4" w:rsidRPr="003E50E4" w:rsidRDefault="003E50E4" w:rsidP="003E50E4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3789B30" w14:textId="77777777" w:rsidR="003E50E4" w:rsidRPr="003E50E4" w:rsidRDefault="003E50E4" w:rsidP="003E50E4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4E67240" w14:textId="77777777" w:rsidR="003E50E4" w:rsidRPr="003E50E4" w:rsidRDefault="003E50E4" w:rsidP="003E50E4">
      <w:pPr>
        <w:spacing w:after="0" w:line="240" w:lineRule="auto"/>
        <w:ind w:left="284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V.</w:t>
      </w:r>
    </w:p>
    <w:p w14:paraId="47B9FE28" w14:textId="77777777" w:rsidR="003E50E4" w:rsidRPr="003E50E4" w:rsidRDefault="003E50E4" w:rsidP="003E50E4">
      <w:pPr>
        <w:spacing w:after="0" w:line="240" w:lineRule="auto"/>
        <w:ind w:left="284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Povinnosti příjemce při přeměně právnické osoby, při prohlášení úpadku či zrušení s likvidací</w:t>
      </w:r>
    </w:p>
    <w:p w14:paraId="45581694" w14:textId="77777777" w:rsidR="003E50E4" w:rsidRPr="003E50E4" w:rsidRDefault="003E50E4" w:rsidP="003E50E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V případě, že by mělo dojít k přeměně příjemce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</w:t>
      </w:r>
    </w:p>
    <w:p w14:paraId="5F6701A2" w14:textId="77777777" w:rsidR="003E50E4" w:rsidRPr="003E50E4" w:rsidRDefault="003E50E4" w:rsidP="003E50E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Žádost dle bodu 1 tohoto článku projedná a rozhodne o ní zastupitelstvo městské části.</w:t>
      </w:r>
    </w:p>
    <w:p w14:paraId="0DB683D7" w14:textId="77777777" w:rsidR="003E50E4" w:rsidRPr="003E50E4" w:rsidRDefault="003E50E4" w:rsidP="003E50E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V případě, že poskytovatel žádosti dle bodu 1. tohoto článku nevyhoví, bezodkladně o tom spraví příjemce.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</w:t>
      </w:r>
    </w:p>
    <w:p w14:paraId="2DEC765F" w14:textId="77777777" w:rsidR="003E50E4" w:rsidRPr="003E50E4" w:rsidRDefault="003E50E4" w:rsidP="003E50E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 </w:t>
      </w:r>
    </w:p>
    <w:p w14:paraId="6385D4E1" w14:textId="77777777" w:rsidR="003E50E4" w:rsidRPr="003E50E4" w:rsidRDefault="003E50E4" w:rsidP="003E50E4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044A8B0" w14:textId="77777777" w:rsidR="003E50E4" w:rsidRPr="003E50E4" w:rsidRDefault="003E50E4" w:rsidP="003E50E4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5081F77" w14:textId="77777777" w:rsidR="003E50E4" w:rsidRPr="003E50E4" w:rsidRDefault="003E50E4" w:rsidP="003E50E4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VI.</w:t>
      </w:r>
    </w:p>
    <w:p w14:paraId="23ABBC33" w14:textId="77777777" w:rsidR="003E50E4" w:rsidRPr="003E50E4" w:rsidRDefault="003E50E4" w:rsidP="003E50E4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Ostatní ujednání</w:t>
      </w:r>
    </w:p>
    <w:p w14:paraId="0E5FAB33" w14:textId="77777777" w:rsidR="003E50E4" w:rsidRPr="003E50E4" w:rsidRDefault="003E50E4" w:rsidP="003E50E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Příjemce dotace souhlasí se zpracováním jeho údajů poskytovatelem dotace s ohledem na zákon č. 106/1990 Sb., o svobodném přístupu k informacím. Tento souhlas je příjemcem poskytován a </w:t>
      </w:r>
      <w:r w:rsidRPr="003E50E4">
        <w:rPr>
          <w:rFonts w:ascii="Calibri" w:eastAsia="Calibri" w:hAnsi="Calibri" w:cs="Calibri"/>
          <w:kern w:val="0"/>
          <w14:ligatures w14:val="none"/>
        </w:rPr>
        <w:lastRenderedPageBreak/>
        <w:t xml:space="preserve">udělován do budoucna na dobu neurčitou pro vnitřní potřeby poskytovatele a dále pro účely informování veřejnosti o jeho činnosti. Zároveň příjemce souhlasí s možným zpřístupněním nebo zveřejněním této smlouvy v plném znění, jakož i všech úkonů a okolností s touto smlouvou souvisejících. </w:t>
      </w:r>
    </w:p>
    <w:p w14:paraId="07377FA0" w14:textId="77777777" w:rsidR="003E50E4" w:rsidRPr="003E50E4" w:rsidRDefault="003E50E4" w:rsidP="003E50E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Příjemce se zavazuje umožnit poskytovateli nebo jím pověřeným osobám provést kdykoli komplexní kontrolu, včetně použití finančních prostředků a zpřístupnit na požádání veškeré doklady související s plněním smlouvy.</w:t>
      </w:r>
    </w:p>
    <w:p w14:paraId="7727C429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B9D4B16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85E9CF3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0B7EB51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VII.</w:t>
      </w:r>
    </w:p>
    <w:p w14:paraId="5ACB88D9" w14:textId="77777777" w:rsidR="003E50E4" w:rsidRPr="003E50E4" w:rsidRDefault="003E50E4" w:rsidP="003E50E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Závěrečná ustanovení</w:t>
      </w:r>
    </w:p>
    <w:p w14:paraId="4D4DC193" w14:textId="77777777" w:rsidR="003E50E4" w:rsidRPr="003E50E4" w:rsidRDefault="003E50E4" w:rsidP="003E50E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Tato smlouva nabývá účinnosti dnem  jejího podpisu oběma smluvními stranami.</w:t>
      </w:r>
    </w:p>
    <w:p w14:paraId="3B080EF3" w14:textId="77777777" w:rsidR="003E50E4" w:rsidRPr="003E50E4" w:rsidRDefault="003E50E4" w:rsidP="003E50E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3F32655B" w14:textId="77777777" w:rsidR="003E50E4" w:rsidRPr="003E50E4" w:rsidRDefault="003E50E4" w:rsidP="003E50E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Změny a doplňky této smlouvy lze provádět pouze písemnými oboustranně podepsanými dodatky.</w:t>
      </w:r>
    </w:p>
    <w:p w14:paraId="0B672F2D" w14:textId="77777777" w:rsidR="003E50E4" w:rsidRPr="003E50E4" w:rsidRDefault="003E50E4" w:rsidP="003E50E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Smlouva je vyhotovena ve dvou stejnopisech, z nichž každá smluvní strana obdrží po jednom výtisku.</w:t>
      </w:r>
    </w:p>
    <w:p w14:paraId="10898008" w14:textId="77777777" w:rsidR="003E50E4" w:rsidRPr="003E50E4" w:rsidRDefault="003E50E4" w:rsidP="003E50E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Smluvní strany svými podpisy stvrzují, že smlouva byla sjednána na základě jejich pravé a svobodné vůle, nikoli v tísni a za nápadně nevýhodných podmínek.</w:t>
      </w:r>
    </w:p>
    <w:p w14:paraId="06016C9B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FB02489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3769EBF" w14:textId="3109495E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V Praze dne    </w:t>
      </w:r>
      <w:r w:rsidR="00143CA5">
        <w:rPr>
          <w:rFonts w:ascii="Calibri" w:eastAsia="Calibri" w:hAnsi="Calibri" w:cs="Calibri"/>
          <w:kern w:val="0"/>
          <w14:ligatures w14:val="none"/>
        </w:rPr>
        <w:t>26.02.2024</w:t>
      </w:r>
      <w:r w:rsidR="007F2663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3E50E4">
        <w:rPr>
          <w:rFonts w:ascii="Calibri" w:eastAsia="Calibri" w:hAnsi="Calibri" w:cs="Calibri"/>
          <w:kern w:val="0"/>
          <w14:ligatures w14:val="none"/>
        </w:rPr>
        <w:t xml:space="preserve">                 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 xml:space="preserve">V Praze dne         </w:t>
      </w:r>
      <w:r w:rsidR="007F2663">
        <w:rPr>
          <w:rFonts w:ascii="Calibri" w:eastAsia="Calibri" w:hAnsi="Calibri" w:cs="Calibri"/>
          <w:kern w:val="0"/>
          <w14:ligatures w14:val="none"/>
        </w:rPr>
        <w:t xml:space="preserve"> </w:t>
      </w:r>
      <w:r w:rsidR="00D915A5">
        <w:rPr>
          <w:rFonts w:ascii="Calibri" w:eastAsia="Calibri" w:hAnsi="Calibri" w:cs="Calibri"/>
          <w:kern w:val="0"/>
          <w14:ligatures w14:val="none"/>
        </w:rPr>
        <w:t>19.03.2024</w:t>
      </w:r>
    </w:p>
    <w:p w14:paraId="18B4CC59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B102654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za poskytovatele: 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za příjemce:</w:t>
      </w:r>
    </w:p>
    <w:p w14:paraId="659B66F7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5C9F4B7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FBDC1EE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DC5C32B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6DD1E44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…………………………………………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……………………………………………</w:t>
      </w:r>
    </w:p>
    <w:p w14:paraId="3BDEE1C8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František Ševít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Ing. Ondřej Lubas</w:t>
      </w:r>
    </w:p>
    <w:p w14:paraId="70888FA4" w14:textId="77777777" w:rsidR="003E50E4" w:rsidRPr="003E50E4" w:rsidRDefault="003E50E4" w:rsidP="003E50E4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starosta MČ Praha - Štěrboholy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předseda Spolku BK METEOR PRAHA z.s.</w:t>
      </w:r>
    </w:p>
    <w:p w14:paraId="41FB8C8D" w14:textId="77777777" w:rsidR="003E50E4" w:rsidRPr="003E50E4" w:rsidRDefault="003E50E4" w:rsidP="003E50E4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6A4BCE5E" w14:textId="77777777" w:rsidR="003E50E4" w:rsidRPr="003E50E4" w:rsidRDefault="003E50E4" w:rsidP="003E50E4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938E17C" w14:textId="64A27E4F" w:rsidR="003E50E4" w:rsidRPr="003E50E4" w:rsidRDefault="003E50E4" w:rsidP="003E50E4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E50E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Zveřejněno na úřední desce  způsobem umožňujícím dálkový přístup: </w:t>
      </w:r>
      <w:hyperlink r:id="rId5" w:history="1">
        <w:r w:rsidRPr="003E50E4">
          <w:rPr>
            <w:rFonts w:ascii="Calibri" w:eastAsia="Calibri" w:hAnsi="Calibri" w:cs="Calibri"/>
            <w:color w:val="0563C1"/>
            <w:kern w:val="0"/>
            <w:sz w:val="20"/>
            <w:szCs w:val="20"/>
            <w:u w:val="single"/>
            <w14:ligatures w14:val="none"/>
          </w:rPr>
          <w:t>www.sterboholy.cz</w:t>
        </w:r>
      </w:hyperlink>
      <w:r w:rsidRPr="003E50E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dne </w:t>
      </w:r>
      <w:r w:rsidR="00D915A5">
        <w:rPr>
          <w:rFonts w:ascii="Calibri" w:eastAsia="Calibri" w:hAnsi="Calibri" w:cs="Calibri"/>
          <w:kern w:val="0"/>
          <w:sz w:val="20"/>
          <w:szCs w:val="20"/>
          <w14:ligatures w14:val="none"/>
        </w:rPr>
        <w:t>19.03.2024</w:t>
      </w:r>
    </w:p>
    <w:p w14:paraId="162F3D1F" w14:textId="77777777" w:rsidR="003E50E4" w:rsidRPr="003E50E4" w:rsidRDefault="003E50E4" w:rsidP="003E50E4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2D489778" w14:textId="77777777" w:rsidR="003E50E4" w:rsidRPr="003E50E4" w:rsidRDefault="003E50E4" w:rsidP="003E50E4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54E79BD4" w14:textId="77777777" w:rsidR="003E50E4" w:rsidRPr="003E50E4" w:rsidRDefault="003E50E4" w:rsidP="003E50E4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5451E78F" w14:textId="77777777" w:rsidR="003E50E4" w:rsidRPr="003E50E4" w:rsidRDefault="003E50E4" w:rsidP="003E50E4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652D4718" w14:textId="77777777" w:rsidR="003E50E4" w:rsidRPr="003E50E4" w:rsidRDefault="003E50E4" w:rsidP="003E50E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50D3E03" w14:textId="77777777" w:rsidR="003E50E4" w:rsidRPr="003E50E4" w:rsidRDefault="003E50E4" w:rsidP="003E50E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7A8AC73" w14:textId="77777777" w:rsidR="00BA3F4A" w:rsidRDefault="00BA3F4A"/>
    <w:sectPr w:rsidR="00BA3F4A" w:rsidSect="00961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B4D"/>
    <w:multiLevelType w:val="hybridMultilevel"/>
    <w:tmpl w:val="9A288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5E6"/>
    <w:multiLevelType w:val="hybridMultilevel"/>
    <w:tmpl w:val="E7F2D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57A1"/>
    <w:multiLevelType w:val="hybridMultilevel"/>
    <w:tmpl w:val="02F81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4B4D"/>
    <w:multiLevelType w:val="hybridMultilevel"/>
    <w:tmpl w:val="F60E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5A10"/>
    <w:multiLevelType w:val="hybridMultilevel"/>
    <w:tmpl w:val="CA4AE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5449">
    <w:abstractNumId w:val="0"/>
  </w:num>
  <w:num w:numId="2" w16cid:durableId="734661786">
    <w:abstractNumId w:val="1"/>
  </w:num>
  <w:num w:numId="3" w16cid:durableId="334959699">
    <w:abstractNumId w:val="3"/>
  </w:num>
  <w:num w:numId="4" w16cid:durableId="1456371404">
    <w:abstractNumId w:val="4"/>
  </w:num>
  <w:num w:numId="5" w16cid:durableId="139095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E4"/>
    <w:rsid w:val="00072601"/>
    <w:rsid w:val="00143CA5"/>
    <w:rsid w:val="001F1E77"/>
    <w:rsid w:val="003E50E4"/>
    <w:rsid w:val="007F2663"/>
    <w:rsid w:val="00961FEB"/>
    <w:rsid w:val="009A4073"/>
    <w:rsid w:val="00BA3F4A"/>
    <w:rsid w:val="00CD0F06"/>
    <w:rsid w:val="00D9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9620"/>
  <w15:chartTrackingRefBased/>
  <w15:docId w15:val="{B5240435-13EB-4013-B62A-6CFE0A89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5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5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5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5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5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5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5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5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5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5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5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50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50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50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50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50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50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5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5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5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5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5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50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50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50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5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50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5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rbohol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1000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4</cp:revision>
  <dcterms:created xsi:type="dcterms:W3CDTF">2024-02-19T10:13:00Z</dcterms:created>
  <dcterms:modified xsi:type="dcterms:W3CDTF">2024-03-19T13:17:00Z</dcterms:modified>
</cp:coreProperties>
</file>