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F07D" w14:textId="77777777" w:rsidR="004533C0" w:rsidRPr="00A706CF" w:rsidRDefault="004533C0">
      <w:pPr>
        <w:pStyle w:val="Zkladntext"/>
        <w:kinsoku w:val="0"/>
        <w:overflowPunct w:val="0"/>
        <w:spacing w:before="70"/>
        <w:ind w:left="990" w:right="953"/>
        <w:jc w:val="center"/>
        <w:rPr>
          <w:b/>
          <w:bCs/>
          <w:sz w:val="32"/>
          <w:szCs w:val="32"/>
        </w:rPr>
      </w:pPr>
      <w:r w:rsidRPr="00A706CF">
        <w:rPr>
          <w:b/>
          <w:bCs/>
          <w:sz w:val="32"/>
          <w:szCs w:val="32"/>
        </w:rPr>
        <w:t>SMLOUVA O POSKYTOVÁNÍ PRÁVNÍCH SLUŽEB</w:t>
      </w:r>
    </w:p>
    <w:p w14:paraId="25E3C972" w14:textId="77777777" w:rsidR="004533C0" w:rsidRPr="00A706CF" w:rsidRDefault="004533C0">
      <w:pPr>
        <w:pStyle w:val="Zkladntext"/>
        <w:kinsoku w:val="0"/>
        <w:overflowPunct w:val="0"/>
        <w:spacing w:before="193"/>
        <w:ind w:left="310"/>
      </w:pPr>
      <w:r w:rsidRPr="00A706CF">
        <w:t>uzavřená ve smyslu § 1746 odst. 2 zákona č. 89/2012 Sb., občanský zákoník a zákona č. 85/1996 Sb.,</w:t>
      </w:r>
    </w:p>
    <w:p w14:paraId="2EB3F2AE" w14:textId="77777777" w:rsidR="004533C0" w:rsidRPr="00A706CF" w:rsidRDefault="004533C0">
      <w:pPr>
        <w:pStyle w:val="Zkladntext"/>
        <w:kinsoku w:val="0"/>
        <w:overflowPunct w:val="0"/>
        <w:spacing w:before="71" w:line="427" w:lineRule="auto"/>
        <w:ind w:left="3656" w:right="2620" w:hanging="725"/>
      </w:pPr>
      <w:r w:rsidRPr="00A706CF">
        <w:t>o advokacii, ve znění pozdějších předpisů mezi smluvními stranami</w:t>
      </w:r>
    </w:p>
    <w:p w14:paraId="4871D600" w14:textId="77777777" w:rsidR="004533C0" w:rsidRPr="00A706CF" w:rsidRDefault="004533C0">
      <w:pPr>
        <w:pStyle w:val="Zkladntext"/>
        <w:kinsoku w:val="0"/>
        <w:overflowPunct w:val="0"/>
        <w:rPr>
          <w:sz w:val="24"/>
          <w:szCs w:val="24"/>
        </w:rPr>
      </w:pPr>
    </w:p>
    <w:p w14:paraId="522BA134" w14:textId="77777777" w:rsidR="00A706CF" w:rsidRPr="00A706CF" w:rsidRDefault="00A706CF">
      <w:pPr>
        <w:pStyle w:val="Zkladntext"/>
        <w:kinsoku w:val="0"/>
        <w:overflowPunct w:val="0"/>
        <w:spacing w:before="167" w:line="427" w:lineRule="auto"/>
        <w:ind w:left="158" w:right="1728"/>
        <w:rPr>
          <w:rFonts w:cs="CIDFont+F1"/>
          <w:b/>
          <w:color w:val="222222"/>
        </w:rPr>
      </w:pPr>
      <w:r w:rsidRPr="00A706CF">
        <w:rPr>
          <w:rFonts w:cs="CIDFont+F1"/>
          <w:b/>
          <w:color w:val="222222"/>
        </w:rPr>
        <w:t>Centrum dopravního výzkumu, v. v. i.</w:t>
      </w:r>
    </w:p>
    <w:p w14:paraId="6ED4349C" w14:textId="77777777" w:rsidR="004533C0" w:rsidRPr="00A706CF" w:rsidRDefault="004533C0">
      <w:pPr>
        <w:pStyle w:val="Zkladntext"/>
        <w:kinsoku w:val="0"/>
        <w:overflowPunct w:val="0"/>
        <w:spacing w:before="167" w:line="427" w:lineRule="auto"/>
        <w:ind w:left="158" w:right="1728"/>
      </w:pPr>
      <w:r w:rsidRPr="00A706CF">
        <w:t xml:space="preserve">IČO: </w:t>
      </w:r>
      <w:r w:rsidR="00A706CF" w:rsidRPr="00A706CF">
        <w:rPr>
          <w:rFonts w:cs="CIDFont+F1"/>
        </w:rPr>
        <w:t>44994575</w:t>
      </w:r>
    </w:p>
    <w:p w14:paraId="5DF33404" w14:textId="77777777" w:rsidR="00A706CF" w:rsidRDefault="00A706CF">
      <w:pPr>
        <w:pStyle w:val="Zkladntext"/>
        <w:kinsoku w:val="0"/>
        <w:overflowPunct w:val="0"/>
        <w:spacing w:before="191" w:line="432" w:lineRule="auto"/>
        <w:ind w:left="158" w:right="4648"/>
        <w:rPr>
          <w:rFonts w:cs="CIDFont+F1"/>
          <w:color w:val="222222"/>
        </w:rPr>
      </w:pPr>
      <w:r w:rsidRPr="00A706CF">
        <w:t xml:space="preserve">sídlem: </w:t>
      </w:r>
      <w:r w:rsidRPr="00A706CF">
        <w:rPr>
          <w:rFonts w:cs="CIDFont+F1"/>
          <w:color w:val="222222"/>
        </w:rPr>
        <w:t>Líšeňská 2657/</w:t>
      </w:r>
      <w:proofErr w:type="gramStart"/>
      <w:r w:rsidRPr="00A706CF">
        <w:rPr>
          <w:rFonts w:cs="CIDFont+F1"/>
          <w:color w:val="222222"/>
        </w:rPr>
        <w:t>33a</w:t>
      </w:r>
      <w:proofErr w:type="gramEnd"/>
      <w:r w:rsidRPr="00A706CF">
        <w:rPr>
          <w:rFonts w:cs="CIDFont+F1"/>
          <w:color w:val="222222"/>
        </w:rPr>
        <w:t>, 636 00 Brno</w:t>
      </w:r>
    </w:p>
    <w:p w14:paraId="561F544B" w14:textId="77777777" w:rsidR="003140C9" w:rsidRPr="00A706CF" w:rsidRDefault="003140C9">
      <w:pPr>
        <w:pStyle w:val="Zkladntext"/>
        <w:kinsoku w:val="0"/>
        <w:overflowPunct w:val="0"/>
        <w:spacing w:before="191" w:line="432" w:lineRule="auto"/>
        <w:ind w:left="158" w:right="4648"/>
      </w:pPr>
      <w:r>
        <w:rPr>
          <w:rFonts w:cs="CIDFont+F1"/>
          <w:color w:val="222222"/>
        </w:rPr>
        <w:t xml:space="preserve">jednající: </w:t>
      </w:r>
      <w:r w:rsidRPr="00F36DF7">
        <w:rPr>
          <w:rFonts w:cs="CIDFont+F1"/>
          <w:b/>
          <w:color w:val="222222"/>
        </w:rPr>
        <w:t xml:space="preserve">Ing. Jindřich Frič, </w:t>
      </w:r>
      <w:proofErr w:type="spellStart"/>
      <w:r w:rsidRPr="00F36DF7">
        <w:rPr>
          <w:rFonts w:cs="CIDFont+F1"/>
          <w:b/>
          <w:color w:val="222222"/>
        </w:rPr>
        <w:t>Ph</w:t>
      </w:r>
      <w:proofErr w:type="spellEnd"/>
      <w:r w:rsidRPr="00F36DF7">
        <w:rPr>
          <w:rFonts w:cs="CIDFont+F1"/>
          <w:b/>
          <w:color w:val="222222"/>
        </w:rPr>
        <w:t>. D.</w:t>
      </w:r>
      <w:r w:rsidR="009C37BB">
        <w:rPr>
          <w:rFonts w:cs="CIDFont+F1"/>
          <w:b/>
          <w:color w:val="222222"/>
        </w:rPr>
        <w:t>, MBA</w:t>
      </w:r>
    </w:p>
    <w:p w14:paraId="0AF1AF18" w14:textId="77777777" w:rsidR="004533C0" w:rsidRPr="00A706CF" w:rsidRDefault="004533C0">
      <w:pPr>
        <w:pStyle w:val="Zkladntext"/>
        <w:kinsoku w:val="0"/>
        <w:overflowPunct w:val="0"/>
        <w:spacing w:before="191" w:line="432" w:lineRule="auto"/>
        <w:ind w:left="158" w:right="4648"/>
      </w:pPr>
      <w:r w:rsidRPr="00A706CF">
        <w:t xml:space="preserve"> (dále jen „</w:t>
      </w:r>
      <w:r w:rsidRPr="00A706CF">
        <w:rPr>
          <w:b/>
          <w:bCs/>
        </w:rPr>
        <w:t>klient</w:t>
      </w:r>
      <w:r w:rsidRPr="00A706CF">
        <w:t>“)</w:t>
      </w:r>
    </w:p>
    <w:p w14:paraId="74D6EA22" w14:textId="77777777" w:rsidR="004533C0" w:rsidRPr="00A706CF" w:rsidRDefault="004533C0">
      <w:pPr>
        <w:pStyle w:val="Zkladntext"/>
        <w:kinsoku w:val="0"/>
        <w:overflowPunct w:val="0"/>
      </w:pPr>
    </w:p>
    <w:p w14:paraId="73E0FFF4" w14:textId="77777777" w:rsidR="004533C0" w:rsidRPr="00A706CF" w:rsidRDefault="004533C0">
      <w:pPr>
        <w:pStyle w:val="Zkladntext"/>
        <w:kinsoku w:val="0"/>
        <w:overflowPunct w:val="0"/>
        <w:spacing w:before="162"/>
        <w:ind w:left="52"/>
        <w:jc w:val="center"/>
      </w:pPr>
      <w:r w:rsidRPr="00A706CF">
        <w:t>a</w:t>
      </w:r>
    </w:p>
    <w:p w14:paraId="19C8192C" w14:textId="77777777" w:rsidR="004533C0" w:rsidRPr="00A706CF" w:rsidRDefault="004533C0">
      <w:pPr>
        <w:pStyle w:val="Zkladntext"/>
        <w:kinsoku w:val="0"/>
        <w:overflowPunct w:val="0"/>
      </w:pPr>
    </w:p>
    <w:p w14:paraId="2C7A6542" w14:textId="77777777" w:rsidR="004533C0" w:rsidRPr="00A706CF" w:rsidRDefault="004533C0">
      <w:pPr>
        <w:pStyle w:val="Zkladntext"/>
        <w:kinsoku w:val="0"/>
        <w:overflowPunct w:val="0"/>
        <w:spacing w:before="4"/>
      </w:pPr>
    </w:p>
    <w:p w14:paraId="6E8B5842" w14:textId="77777777" w:rsidR="004533C0" w:rsidRPr="00A706CF" w:rsidRDefault="00A706CF">
      <w:pPr>
        <w:pStyle w:val="Nadpis1"/>
        <w:kinsoku w:val="0"/>
        <w:overflowPunct w:val="0"/>
        <w:ind w:left="158" w:firstLine="0"/>
      </w:pPr>
      <w:r w:rsidRPr="00A706CF">
        <w:t>Mgr. František Kubečka, LL. M., advokát</w:t>
      </w:r>
    </w:p>
    <w:p w14:paraId="72C5E086" w14:textId="77777777" w:rsidR="00A706CF" w:rsidRPr="00A706CF" w:rsidRDefault="004533C0">
      <w:pPr>
        <w:pStyle w:val="Zkladntext"/>
        <w:kinsoku w:val="0"/>
        <w:overflowPunct w:val="0"/>
        <w:spacing w:before="189" w:line="429" w:lineRule="auto"/>
        <w:ind w:left="158" w:right="4148"/>
      </w:pPr>
      <w:r w:rsidRPr="00A706CF">
        <w:t xml:space="preserve">se sídlem </w:t>
      </w:r>
      <w:r w:rsidR="00A706CF" w:rsidRPr="00A706CF">
        <w:t>Golčova 485</w:t>
      </w:r>
      <w:r w:rsidRPr="00A706CF">
        <w:t xml:space="preserve">, </w:t>
      </w:r>
      <w:r w:rsidR="00A706CF" w:rsidRPr="00A706CF">
        <w:t>Kunratice</w:t>
      </w:r>
      <w:r w:rsidRPr="00A706CF">
        <w:t>, 14</w:t>
      </w:r>
      <w:r w:rsidR="00A706CF" w:rsidRPr="00A706CF">
        <w:t>8</w:t>
      </w:r>
      <w:r w:rsidRPr="00A706CF">
        <w:t xml:space="preserve"> 00 Praha 4 </w:t>
      </w:r>
    </w:p>
    <w:p w14:paraId="2C435AF5" w14:textId="77777777" w:rsidR="004533C0" w:rsidRPr="00A706CF" w:rsidRDefault="004533C0">
      <w:pPr>
        <w:pStyle w:val="Zkladntext"/>
        <w:kinsoku w:val="0"/>
        <w:overflowPunct w:val="0"/>
        <w:spacing w:before="189" w:line="429" w:lineRule="auto"/>
        <w:ind w:left="158" w:right="4148"/>
      </w:pPr>
      <w:r w:rsidRPr="00A706CF">
        <w:t xml:space="preserve">IČO: </w:t>
      </w:r>
      <w:r w:rsidR="00A706CF" w:rsidRPr="00A706CF">
        <w:rPr>
          <w:rFonts w:cs="CIDFont+F1"/>
        </w:rPr>
        <w:t>87059754</w:t>
      </w:r>
    </w:p>
    <w:p w14:paraId="2F054099" w14:textId="77777777" w:rsidR="004533C0" w:rsidRPr="00A706CF" w:rsidRDefault="00A706CF">
      <w:pPr>
        <w:pStyle w:val="Zkladntext"/>
        <w:kinsoku w:val="0"/>
        <w:overflowPunct w:val="0"/>
        <w:spacing w:line="243" w:lineRule="exact"/>
        <w:ind w:left="158"/>
      </w:pPr>
      <w:r w:rsidRPr="00A706CF">
        <w:t xml:space="preserve"> </w:t>
      </w:r>
      <w:r w:rsidR="004533C0" w:rsidRPr="00A706CF">
        <w:t>(dále jen „</w:t>
      </w:r>
      <w:r w:rsidR="004533C0" w:rsidRPr="00A706CF">
        <w:rPr>
          <w:b/>
          <w:bCs/>
        </w:rPr>
        <w:t>advokát</w:t>
      </w:r>
      <w:r w:rsidR="004533C0" w:rsidRPr="00A706CF">
        <w:t>“)</w:t>
      </w:r>
    </w:p>
    <w:p w14:paraId="778BEE04" w14:textId="77777777" w:rsidR="004533C0" w:rsidRPr="00A706CF" w:rsidRDefault="004533C0">
      <w:pPr>
        <w:pStyle w:val="Zkladntext"/>
        <w:kinsoku w:val="0"/>
        <w:overflowPunct w:val="0"/>
        <w:spacing w:before="191"/>
        <w:ind w:left="990" w:right="939"/>
        <w:jc w:val="center"/>
      </w:pPr>
      <w:r w:rsidRPr="00A706CF">
        <w:t>(dále jen „</w:t>
      </w:r>
      <w:r w:rsidRPr="00A706CF">
        <w:rPr>
          <w:b/>
          <w:bCs/>
        </w:rPr>
        <w:t>smlouva</w:t>
      </w:r>
      <w:r w:rsidRPr="00A706CF">
        <w:t>“)</w:t>
      </w:r>
    </w:p>
    <w:p w14:paraId="4E3717BF" w14:textId="77777777" w:rsidR="004533C0" w:rsidRPr="00A706CF" w:rsidRDefault="004533C0">
      <w:pPr>
        <w:pStyle w:val="Zkladntext"/>
        <w:kinsoku w:val="0"/>
        <w:overflowPunct w:val="0"/>
        <w:rPr>
          <w:sz w:val="24"/>
          <w:szCs w:val="24"/>
        </w:rPr>
      </w:pPr>
    </w:p>
    <w:p w14:paraId="3296E3D0" w14:textId="77777777" w:rsidR="004533C0" w:rsidRPr="00A706CF" w:rsidRDefault="004533C0">
      <w:pPr>
        <w:pStyle w:val="Zkladntext"/>
        <w:kinsoku w:val="0"/>
        <w:overflowPunct w:val="0"/>
        <w:spacing w:before="4"/>
        <w:rPr>
          <w:sz w:val="32"/>
          <w:szCs w:val="32"/>
        </w:rPr>
      </w:pPr>
    </w:p>
    <w:p w14:paraId="61AE6BD7" w14:textId="77777777" w:rsidR="004533C0" w:rsidRPr="00A706CF" w:rsidRDefault="004533C0">
      <w:pPr>
        <w:pStyle w:val="Nadpis1"/>
        <w:kinsoku w:val="0"/>
        <w:overflowPunct w:val="0"/>
        <w:ind w:left="990" w:right="940" w:firstLine="0"/>
        <w:jc w:val="center"/>
      </w:pPr>
      <w:r w:rsidRPr="00A706CF">
        <w:t>Preambule</w:t>
      </w:r>
    </w:p>
    <w:p w14:paraId="7B6C09AB" w14:textId="77777777" w:rsidR="004533C0" w:rsidRPr="00A706CF" w:rsidRDefault="004533C0">
      <w:pPr>
        <w:pStyle w:val="Zkladntext"/>
        <w:kinsoku w:val="0"/>
        <w:overflowPunct w:val="0"/>
        <w:spacing w:before="191" w:line="309" w:lineRule="auto"/>
        <w:ind w:left="158" w:right="102"/>
        <w:jc w:val="both"/>
      </w:pPr>
      <w:r w:rsidRPr="00A706CF">
        <w:t xml:space="preserve">Klient prohlašuje, že splňuje veškeré podmínky a požadavky v této smlouvě stanovené a je oprávněn tuto smlouvu </w:t>
      </w:r>
      <w:r w:rsidR="00A706CF" w:rsidRPr="00A706CF">
        <w:t>uzavřít a řádně</w:t>
      </w:r>
      <w:r w:rsidRPr="00A706CF">
        <w:t xml:space="preserve"> plnit závazky v </w:t>
      </w:r>
      <w:r w:rsidR="00A706CF" w:rsidRPr="00A706CF">
        <w:t>ní obsažené</w:t>
      </w:r>
      <w:r w:rsidRPr="00A706CF">
        <w:t xml:space="preserve">.  </w:t>
      </w:r>
      <w:r w:rsidR="00A706CF" w:rsidRPr="00A706CF">
        <w:t>Advokát prohlašuje</w:t>
      </w:r>
      <w:r w:rsidRPr="00A706CF">
        <w:t xml:space="preserve">, že splňuje veškeré </w:t>
      </w:r>
      <w:r w:rsidR="00A706CF" w:rsidRPr="00A706CF">
        <w:t>podmínky a požadavky</w:t>
      </w:r>
      <w:r w:rsidRPr="00A706CF">
        <w:t xml:space="preserve"> v této smlouvě stanovené a je oprávněn tuto smlouvu uzavřít a řádně plnit závazky v ní obsažené.</w:t>
      </w:r>
    </w:p>
    <w:p w14:paraId="7ABBDAE8" w14:textId="77777777" w:rsidR="004533C0" w:rsidRPr="00A706CF" w:rsidRDefault="004533C0">
      <w:pPr>
        <w:pStyle w:val="Zkladntext"/>
        <w:kinsoku w:val="0"/>
        <w:overflowPunct w:val="0"/>
        <w:rPr>
          <w:sz w:val="24"/>
          <w:szCs w:val="24"/>
        </w:rPr>
      </w:pPr>
    </w:p>
    <w:p w14:paraId="13C9E4CE" w14:textId="77777777" w:rsidR="004533C0" w:rsidRPr="00A706CF" w:rsidRDefault="004533C0">
      <w:pPr>
        <w:pStyle w:val="Zkladntext"/>
        <w:kinsoku w:val="0"/>
        <w:overflowPunct w:val="0"/>
        <w:spacing w:before="2"/>
        <w:rPr>
          <w:sz w:val="26"/>
          <w:szCs w:val="26"/>
        </w:rPr>
      </w:pPr>
    </w:p>
    <w:p w14:paraId="435B6351" w14:textId="77777777" w:rsidR="004533C0" w:rsidRPr="00A706CF" w:rsidRDefault="004533C0">
      <w:pPr>
        <w:pStyle w:val="Nadpis1"/>
        <w:numPr>
          <w:ilvl w:val="0"/>
          <w:numId w:val="6"/>
        </w:numPr>
        <w:tabs>
          <w:tab w:val="left" w:pos="3640"/>
        </w:tabs>
        <w:kinsoku w:val="0"/>
        <w:overflowPunct w:val="0"/>
      </w:pPr>
      <w:r w:rsidRPr="00A706CF">
        <w:t>Účel a předmět</w:t>
      </w:r>
      <w:r w:rsidRPr="00A706CF">
        <w:rPr>
          <w:spacing w:val="-1"/>
        </w:rPr>
        <w:t xml:space="preserve"> </w:t>
      </w:r>
      <w:r w:rsidRPr="00A706CF">
        <w:t>smlouvy</w:t>
      </w:r>
    </w:p>
    <w:p w14:paraId="23FDE1E9" w14:textId="77777777" w:rsidR="004533C0" w:rsidRPr="00A706CF" w:rsidRDefault="004533C0">
      <w:pPr>
        <w:pStyle w:val="Odstavecseseznamem"/>
        <w:numPr>
          <w:ilvl w:val="0"/>
          <w:numId w:val="5"/>
        </w:numPr>
        <w:tabs>
          <w:tab w:val="left" w:pos="587"/>
        </w:tabs>
        <w:kinsoku w:val="0"/>
        <w:overflowPunct w:val="0"/>
        <w:spacing w:before="192" w:line="309" w:lineRule="auto"/>
        <w:ind w:right="122"/>
        <w:rPr>
          <w:spacing w:val="3"/>
          <w:sz w:val="22"/>
          <w:szCs w:val="22"/>
        </w:rPr>
      </w:pPr>
      <w:r w:rsidRPr="00A706CF">
        <w:rPr>
          <w:sz w:val="22"/>
          <w:szCs w:val="22"/>
        </w:rPr>
        <w:t xml:space="preserve">Účelem této smlouvy je definice práv a povinností smluvních </w:t>
      </w:r>
      <w:r w:rsidR="00A706CF" w:rsidRPr="00A706CF">
        <w:rPr>
          <w:sz w:val="22"/>
          <w:szCs w:val="22"/>
        </w:rPr>
        <w:t>stran při</w:t>
      </w:r>
      <w:r w:rsidRPr="00A706CF">
        <w:rPr>
          <w:sz w:val="22"/>
          <w:szCs w:val="22"/>
        </w:rPr>
        <w:t xml:space="preserve"> poskytování právních služeb dle potřeby klienta, které budou směrovat k dosažení cíle, jímž je realizace </w:t>
      </w:r>
      <w:r w:rsidR="00A706CF">
        <w:rPr>
          <w:sz w:val="22"/>
          <w:szCs w:val="22"/>
        </w:rPr>
        <w:t>poskytnutí právní služby</w:t>
      </w:r>
      <w:r w:rsidRPr="00A706CF">
        <w:rPr>
          <w:sz w:val="22"/>
          <w:szCs w:val="22"/>
        </w:rPr>
        <w:t xml:space="preserve"> </w:t>
      </w:r>
      <w:r w:rsidR="00A706CF">
        <w:rPr>
          <w:sz w:val="22"/>
          <w:szCs w:val="22"/>
        </w:rPr>
        <w:t>definované níže.</w:t>
      </w:r>
    </w:p>
    <w:p w14:paraId="5DD0660F" w14:textId="77777777" w:rsidR="004533C0" w:rsidRPr="00A706CF" w:rsidRDefault="004533C0">
      <w:pPr>
        <w:pStyle w:val="Odstavecseseznamem"/>
        <w:numPr>
          <w:ilvl w:val="0"/>
          <w:numId w:val="5"/>
        </w:numPr>
        <w:tabs>
          <w:tab w:val="left" w:pos="587"/>
        </w:tabs>
        <w:kinsoku w:val="0"/>
        <w:overflowPunct w:val="0"/>
        <w:spacing w:before="122"/>
        <w:ind w:hanging="429"/>
        <w:rPr>
          <w:sz w:val="22"/>
          <w:szCs w:val="22"/>
        </w:rPr>
      </w:pPr>
      <w:r w:rsidRPr="00A706CF">
        <w:rPr>
          <w:sz w:val="22"/>
          <w:szCs w:val="22"/>
        </w:rPr>
        <w:t>Jedná se o právní služby spočívající zejména</w:t>
      </w:r>
      <w:r w:rsidRPr="00A706CF">
        <w:rPr>
          <w:spacing w:val="40"/>
          <w:sz w:val="22"/>
          <w:szCs w:val="22"/>
        </w:rPr>
        <w:t xml:space="preserve"> </w:t>
      </w:r>
      <w:r w:rsidRPr="00A706CF">
        <w:rPr>
          <w:sz w:val="22"/>
          <w:szCs w:val="22"/>
        </w:rPr>
        <w:t>v/ve:</w:t>
      </w:r>
    </w:p>
    <w:p w14:paraId="1EE8330E" w14:textId="77777777" w:rsidR="004533C0" w:rsidRPr="00A706CF" w:rsidRDefault="004533C0">
      <w:pPr>
        <w:pStyle w:val="Zkladntext"/>
        <w:kinsoku w:val="0"/>
        <w:overflowPunct w:val="0"/>
        <w:rPr>
          <w:sz w:val="17"/>
          <w:szCs w:val="17"/>
        </w:rPr>
      </w:pPr>
    </w:p>
    <w:p w14:paraId="4CFB5F40" w14:textId="77777777" w:rsidR="004533C0" w:rsidRPr="00A706CF" w:rsidRDefault="004533C0">
      <w:pPr>
        <w:pStyle w:val="Zkladntext"/>
        <w:kinsoku w:val="0"/>
        <w:overflowPunct w:val="0"/>
        <w:spacing w:before="101"/>
        <w:ind w:left="990" w:right="936"/>
        <w:jc w:val="center"/>
        <w:sectPr w:rsidR="004533C0" w:rsidRPr="00A706CF" w:rsidSect="00036E6D">
          <w:type w:val="continuous"/>
          <w:pgSz w:w="11910" w:h="16840"/>
          <w:pgMar w:top="1440" w:right="1180" w:bottom="280" w:left="1260" w:header="708" w:footer="708" w:gutter="0"/>
          <w:cols w:space="708"/>
          <w:noEndnote/>
        </w:sectPr>
      </w:pPr>
    </w:p>
    <w:p w14:paraId="6281F8CF" w14:textId="77777777" w:rsidR="004533C0" w:rsidRPr="00A706CF" w:rsidRDefault="00A706CF" w:rsidP="003140C9">
      <w:pPr>
        <w:widowControl/>
        <w:numPr>
          <w:ilvl w:val="1"/>
          <w:numId w:val="5"/>
        </w:numPr>
        <w:spacing w:line="276" w:lineRule="auto"/>
        <w:jc w:val="both"/>
        <w:rPr>
          <w:rFonts w:cs="CIDFont+F1"/>
        </w:rPr>
      </w:pPr>
      <w:r w:rsidRPr="00A706CF">
        <w:rPr>
          <w:rFonts w:cs="CIDFont+F1"/>
        </w:rPr>
        <w:lastRenderedPageBreak/>
        <w:t>Metodika implementace autonomních vozidel využívajících virtuálních kolejí – kapitola</w:t>
      </w:r>
      <w:r w:rsidR="00F36DF7">
        <w:rPr>
          <w:rFonts w:cs="CIDFont+F1"/>
        </w:rPr>
        <w:t>,</w:t>
      </w:r>
      <w:r w:rsidRPr="00A706CF">
        <w:rPr>
          <w:rFonts w:cs="CIDFont+F1"/>
        </w:rPr>
        <w:t xml:space="preserve"> </w:t>
      </w:r>
      <w:r w:rsidR="003140C9">
        <w:rPr>
          <w:rFonts w:cs="CIDFont+F1"/>
        </w:rPr>
        <w:t>formo</w:t>
      </w:r>
      <w:r>
        <w:rPr>
          <w:rFonts w:cs="CIDFont+F1"/>
        </w:rPr>
        <w:t>u právního rozboru</w:t>
      </w:r>
      <w:r w:rsidR="00F36DF7">
        <w:rPr>
          <w:rFonts w:cs="CIDFont+F1"/>
        </w:rPr>
        <w:t xml:space="preserve"> ve smyslu § 1 odst. 2 zákona o advokacii),</w:t>
      </w:r>
      <w:r>
        <w:rPr>
          <w:rFonts w:cs="CIDFont+F1"/>
        </w:rPr>
        <w:t xml:space="preserve"> </w:t>
      </w:r>
      <w:r w:rsidRPr="00A706CF">
        <w:rPr>
          <w:rFonts w:cs="CIDFont+F1"/>
        </w:rPr>
        <w:t xml:space="preserve">týkající se legislativy umožňující (zakazující) užití virtuální koleje de lege lata a de lege </w:t>
      </w:r>
      <w:proofErr w:type="spellStart"/>
      <w:r w:rsidRPr="00A706CF">
        <w:rPr>
          <w:rFonts w:cs="CIDFont+F1"/>
        </w:rPr>
        <w:t>ferenda</w:t>
      </w:r>
      <w:proofErr w:type="spellEnd"/>
      <w:r w:rsidRPr="00A706CF">
        <w:rPr>
          <w:rFonts w:cs="CIDFont+F1"/>
        </w:rPr>
        <w:t>, definice věcně příslušného státního orgánu, definice odpovědnosti za užití virtuální koleje</w:t>
      </w:r>
      <w:r w:rsidR="004533C0" w:rsidRPr="00A706CF">
        <w:t>;</w:t>
      </w:r>
    </w:p>
    <w:p w14:paraId="2F32FFE2" w14:textId="77777777" w:rsidR="004533C0" w:rsidRPr="00A706CF" w:rsidRDefault="004533C0" w:rsidP="00A706CF">
      <w:pPr>
        <w:pStyle w:val="Odstavecseseznamem"/>
        <w:tabs>
          <w:tab w:val="left" w:pos="1292"/>
        </w:tabs>
        <w:kinsoku w:val="0"/>
        <w:overflowPunct w:val="0"/>
        <w:spacing w:before="118" w:line="424" w:lineRule="auto"/>
        <w:ind w:left="1306" w:right="4457" w:firstLine="0"/>
        <w:rPr>
          <w:sz w:val="22"/>
          <w:szCs w:val="22"/>
        </w:rPr>
      </w:pPr>
      <w:r w:rsidRPr="00A706CF">
        <w:rPr>
          <w:sz w:val="22"/>
          <w:szCs w:val="22"/>
        </w:rPr>
        <w:t xml:space="preserve">(dále </w:t>
      </w:r>
      <w:r w:rsidRPr="00A706CF">
        <w:rPr>
          <w:spacing w:val="2"/>
          <w:sz w:val="22"/>
          <w:szCs w:val="22"/>
        </w:rPr>
        <w:t xml:space="preserve">společně </w:t>
      </w:r>
      <w:r w:rsidRPr="00A706CF">
        <w:rPr>
          <w:sz w:val="22"/>
          <w:szCs w:val="22"/>
        </w:rPr>
        <w:t xml:space="preserve">jen </w:t>
      </w:r>
      <w:r w:rsidRPr="00A706CF">
        <w:rPr>
          <w:spacing w:val="2"/>
          <w:sz w:val="22"/>
          <w:szCs w:val="22"/>
        </w:rPr>
        <w:t>„</w:t>
      </w:r>
      <w:r w:rsidRPr="00A706CF">
        <w:rPr>
          <w:b/>
          <w:bCs/>
          <w:spacing w:val="2"/>
          <w:sz w:val="22"/>
          <w:szCs w:val="22"/>
        </w:rPr>
        <w:t>právní</w:t>
      </w:r>
      <w:r w:rsidRPr="00A706CF">
        <w:rPr>
          <w:b/>
          <w:bCs/>
          <w:spacing w:val="26"/>
          <w:sz w:val="22"/>
          <w:szCs w:val="22"/>
        </w:rPr>
        <w:t xml:space="preserve"> </w:t>
      </w:r>
      <w:r w:rsidR="00A706CF">
        <w:rPr>
          <w:b/>
          <w:bCs/>
          <w:sz w:val="22"/>
          <w:szCs w:val="22"/>
        </w:rPr>
        <w:t>služba/y</w:t>
      </w:r>
      <w:r w:rsidRPr="00A706CF">
        <w:rPr>
          <w:sz w:val="22"/>
          <w:szCs w:val="22"/>
        </w:rPr>
        <w:t>“)</w:t>
      </w:r>
    </w:p>
    <w:p w14:paraId="528F3D0B" w14:textId="77777777" w:rsidR="004533C0" w:rsidRDefault="004533C0">
      <w:pPr>
        <w:pStyle w:val="Odstavecseseznamem"/>
        <w:numPr>
          <w:ilvl w:val="0"/>
          <w:numId w:val="5"/>
        </w:numPr>
        <w:tabs>
          <w:tab w:val="left" w:pos="587"/>
        </w:tabs>
        <w:kinsoku w:val="0"/>
        <w:overflowPunct w:val="0"/>
        <w:spacing w:before="4" w:line="309" w:lineRule="auto"/>
        <w:ind w:right="110"/>
        <w:rPr>
          <w:sz w:val="22"/>
          <w:szCs w:val="22"/>
        </w:rPr>
      </w:pPr>
      <w:r w:rsidRPr="00A706CF">
        <w:rPr>
          <w:sz w:val="22"/>
          <w:szCs w:val="22"/>
        </w:rPr>
        <w:t xml:space="preserve">Předmětem této smlouvy je závazek advokáta poskytovat klientovi právní služby a závazek </w:t>
      </w:r>
      <w:r w:rsidR="00A706CF" w:rsidRPr="00A706CF">
        <w:rPr>
          <w:sz w:val="22"/>
          <w:szCs w:val="22"/>
        </w:rPr>
        <w:t>klienta za</w:t>
      </w:r>
      <w:r w:rsidRPr="00A706CF">
        <w:rPr>
          <w:sz w:val="22"/>
          <w:szCs w:val="22"/>
        </w:rPr>
        <w:t xml:space="preserve"> řádně a včasně </w:t>
      </w:r>
      <w:r w:rsidRPr="00A706CF">
        <w:rPr>
          <w:spacing w:val="2"/>
          <w:sz w:val="22"/>
          <w:szCs w:val="22"/>
        </w:rPr>
        <w:t xml:space="preserve">poskytnuté </w:t>
      </w:r>
      <w:r w:rsidRPr="00A706CF">
        <w:rPr>
          <w:sz w:val="22"/>
          <w:szCs w:val="22"/>
        </w:rPr>
        <w:t>právní služby zaplatit smluvenou</w:t>
      </w:r>
      <w:r w:rsidRPr="00A706CF">
        <w:rPr>
          <w:spacing w:val="51"/>
          <w:sz w:val="22"/>
          <w:szCs w:val="22"/>
        </w:rPr>
        <w:t xml:space="preserve"> </w:t>
      </w:r>
      <w:r w:rsidRPr="00A706CF">
        <w:rPr>
          <w:sz w:val="22"/>
          <w:szCs w:val="22"/>
        </w:rPr>
        <w:t>odměnu.</w:t>
      </w:r>
    </w:p>
    <w:p w14:paraId="5C25B4D2" w14:textId="77777777" w:rsidR="004533C0" w:rsidRPr="004533C0" w:rsidRDefault="00A706CF" w:rsidP="004533C0">
      <w:pPr>
        <w:pStyle w:val="Odstavecseseznamem"/>
        <w:numPr>
          <w:ilvl w:val="0"/>
          <w:numId w:val="5"/>
        </w:numPr>
        <w:tabs>
          <w:tab w:val="left" w:pos="587"/>
        </w:tabs>
        <w:kinsoku w:val="0"/>
        <w:overflowPunct w:val="0"/>
        <w:spacing w:before="4" w:line="309" w:lineRule="auto"/>
        <w:ind w:right="110"/>
      </w:pPr>
      <w:r>
        <w:rPr>
          <w:sz w:val="22"/>
          <w:szCs w:val="22"/>
        </w:rPr>
        <w:t xml:space="preserve">Právní služba bude poskytnutá v rozsahu 20 hodin a jejím výsledkem bude </w:t>
      </w:r>
      <w:r w:rsidR="004533C0">
        <w:rPr>
          <w:sz w:val="22"/>
          <w:szCs w:val="22"/>
        </w:rPr>
        <w:t xml:space="preserve">kapitola metodiky v rozsahu </w:t>
      </w:r>
      <w:proofErr w:type="gramStart"/>
      <w:r w:rsidR="004533C0">
        <w:rPr>
          <w:sz w:val="22"/>
          <w:szCs w:val="22"/>
        </w:rPr>
        <w:t>3 – 4</w:t>
      </w:r>
      <w:proofErr w:type="gramEnd"/>
      <w:r w:rsidR="004533C0">
        <w:rPr>
          <w:sz w:val="22"/>
          <w:szCs w:val="22"/>
        </w:rPr>
        <w:t xml:space="preserve"> normostran textu.</w:t>
      </w:r>
    </w:p>
    <w:p w14:paraId="2D96D6B9" w14:textId="77777777" w:rsidR="004533C0" w:rsidRPr="00A706CF" w:rsidRDefault="004533C0">
      <w:pPr>
        <w:pStyle w:val="Zkladntext"/>
        <w:kinsoku w:val="0"/>
        <w:overflowPunct w:val="0"/>
        <w:rPr>
          <w:sz w:val="26"/>
          <w:szCs w:val="26"/>
        </w:rPr>
      </w:pPr>
    </w:p>
    <w:p w14:paraId="0EB84968" w14:textId="77777777" w:rsidR="004533C0" w:rsidRPr="00A706CF" w:rsidRDefault="004533C0">
      <w:pPr>
        <w:pStyle w:val="Nadpis1"/>
        <w:numPr>
          <w:ilvl w:val="0"/>
          <w:numId w:val="6"/>
        </w:numPr>
        <w:tabs>
          <w:tab w:val="left" w:pos="3640"/>
        </w:tabs>
        <w:kinsoku w:val="0"/>
        <w:overflowPunct w:val="0"/>
        <w:ind w:hanging="594"/>
      </w:pPr>
      <w:r w:rsidRPr="00A706CF">
        <w:t>Realizace předmětu</w:t>
      </w:r>
      <w:r w:rsidRPr="00A706CF">
        <w:rPr>
          <w:spacing w:val="-4"/>
        </w:rPr>
        <w:t xml:space="preserve"> </w:t>
      </w:r>
      <w:r w:rsidRPr="00A706CF">
        <w:t>plnění</w:t>
      </w:r>
    </w:p>
    <w:p w14:paraId="4EE4D839" w14:textId="77777777" w:rsidR="004533C0" w:rsidRPr="00A706CF" w:rsidRDefault="004533C0">
      <w:pPr>
        <w:pStyle w:val="Zkladntext"/>
        <w:kinsoku w:val="0"/>
        <w:overflowPunct w:val="0"/>
        <w:spacing w:before="192" w:line="309" w:lineRule="auto"/>
        <w:ind w:left="586" w:right="106" w:hanging="428"/>
        <w:jc w:val="both"/>
      </w:pPr>
      <w:r w:rsidRPr="00A706CF">
        <w:t xml:space="preserve">1. </w:t>
      </w:r>
      <w:r w:rsidR="00A706CF">
        <w:tab/>
      </w:r>
      <w:r w:rsidRPr="00A706CF">
        <w:t>Advokát se zavazuje zajis</w:t>
      </w:r>
      <w:r w:rsidR="003140C9">
        <w:t xml:space="preserve">tit po dobu účinnosti této smlouvy poskytování právních služeb </w:t>
      </w:r>
      <w:r w:rsidRPr="00A706CF">
        <w:t xml:space="preserve">způsobem a v místě (zejména </w:t>
      </w:r>
      <w:r w:rsidR="003140C9">
        <w:t xml:space="preserve">online, popřípadě </w:t>
      </w:r>
      <w:r w:rsidRPr="00A706CF">
        <w:t xml:space="preserve">v sídle advokáta či v sídle </w:t>
      </w:r>
      <w:r w:rsidR="003140C9">
        <w:t xml:space="preserve">klienta nebo jeho </w:t>
      </w:r>
      <w:proofErr w:type="spellStart"/>
      <w:r w:rsidRPr="00A706CF">
        <w:rPr>
          <w:spacing w:val="2"/>
        </w:rPr>
        <w:t>technicko-ekonomických</w:t>
      </w:r>
      <w:proofErr w:type="spellEnd"/>
      <w:r w:rsidRPr="00A706CF">
        <w:rPr>
          <w:spacing w:val="2"/>
        </w:rPr>
        <w:t xml:space="preserve"> </w:t>
      </w:r>
      <w:r w:rsidR="003140C9">
        <w:t>poradců klienta) v souladu s požadavky</w:t>
      </w:r>
      <w:r w:rsidRPr="00A706CF">
        <w:t xml:space="preserve"> a </w:t>
      </w:r>
      <w:r w:rsidRPr="00A706CF">
        <w:rPr>
          <w:spacing w:val="2"/>
        </w:rPr>
        <w:t>potřebami klienta</w:t>
      </w:r>
      <w:r w:rsidR="003140C9">
        <w:t>, dle jeho pokynů a</w:t>
      </w:r>
      <w:r w:rsidRPr="00A706CF">
        <w:t xml:space="preserve"> v souladu s podmínkami stanovenými touto</w:t>
      </w:r>
      <w:r w:rsidRPr="00A706CF">
        <w:rPr>
          <w:spacing w:val="23"/>
        </w:rPr>
        <w:t xml:space="preserve"> </w:t>
      </w:r>
      <w:r w:rsidRPr="00A706CF">
        <w:t>smlouvou.</w:t>
      </w:r>
    </w:p>
    <w:p w14:paraId="3C47DA73" w14:textId="77777777" w:rsidR="004533C0" w:rsidRPr="00A706CF" w:rsidRDefault="004533C0">
      <w:pPr>
        <w:pStyle w:val="Zkladntext"/>
        <w:kinsoku w:val="0"/>
        <w:overflowPunct w:val="0"/>
        <w:rPr>
          <w:sz w:val="24"/>
          <w:szCs w:val="24"/>
        </w:rPr>
      </w:pPr>
    </w:p>
    <w:p w14:paraId="2B943C27" w14:textId="77777777" w:rsidR="004533C0" w:rsidRPr="00A706CF" w:rsidRDefault="004533C0">
      <w:pPr>
        <w:pStyle w:val="Zkladntext"/>
        <w:kinsoku w:val="0"/>
        <w:overflowPunct w:val="0"/>
        <w:spacing w:before="1"/>
        <w:rPr>
          <w:sz w:val="26"/>
          <w:szCs w:val="26"/>
        </w:rPr>
      </w:pPr>
    </w:p>
    <w:p w14:paraId="70D47DDB" w14:textId="77777777" w:rsidR="004533C0" w:rsidRPr="00A706CF" w:rsidRDefault="004533C0">
      <w:pPr>
        <w:pStyle w:val="Nadpis1"/>
        <w:numPr>
          <w:ilvl w:val="0"/>
          <w:numId w:val="6"/>
        </w:numPr>
        <w:tabs>
          <w:tab w:val="left" w:pos="3517"/>
        </w:tabs>
        <w:kinsoku w:val="0"/>
        <w:overflowPunct w:val="0"/>
        <w:ind w:left="3517" w:hanging="1028"/>
      </w:pPr>
      <w:r w:rsidRPr="00A706CF">
        <w:t>Odměna a hotové výdaje</w:t>
      </w:r>
      <w:r w:rsidRPr="00A706CF">
        <w:rPr>
          <w:spacing w:val="-6"/>
        </w:rPr>
        <w:t xml:space="preserve"> </w:t>
      </w:r>
      <w:r w:rsidRPr="00A706CF">
        <w:t>advokáta</w:t>
      </w:r>
    </w:p>
    <w:p w14:paraId="22ED24A9" w14:textId="77777777" w:rsidR="004533C0" w:rsidRPr="00A706CF" w:rsidRDefault="004533C0">
      <w:pPr>
        <w:pStyle w:val="Odstavecseseznamem"/>
        <w:numPr>
          <w:ilvl w:val="0"/>
          <w:numId w:val="4"/>
        </w:numPr>
        <w:tabs>
          <w:tab w:val="left" w:pos="587"/>
        </w:tabs>
        <w:kinsoku w:val="0"/>
        <w:overflowPunct w:val="0"/>
        <w:spacing w:before="191" w:line="309" w:lineRule="auto"/>
        <w:ind w:right="108"/>
        <w:rPr>
          <w:sz w:val="22"/>
          <w:szCs w:val="22"/>
        </w:rPr>
      </w:pPr>
      <w:r w:rsidRPr="00A706CF">
        <w:rPr>
          <w:sz w:val="22"/>
          <w:szCs w:val="22"/>
        </w:rPr>
        <w:t xml:space="preserve">Smluvní odměna za poskytování právních služeb má časový charakter, přičemž dohodnutá sazba odměny za jednotku (1 hodinu) poskytování právních služeb činí </w:t>
      </w:r>
      <w:proofErr w:type="gramStart"/>
      <w:r w:rsidR="00A706CF">
        <w:rPr>
          <w:sz w:val="22"/>
          <w:szCs w:val="22"/>
        </w:rPr>
        <w:t>3</w:t>
      </w:r>
      <w:r w:rsidRPr="00A706CF">
        <w:rPr>
          <w:sz w:val="22"/>
          <w:szCs w:val="22"/>
        </w:rPr>
        <w:t>.</w:t>
      </w:r>
      <w:r w:rsidR="00A706CF">
        <w:rPr>
          <w:sz w:val="22"/>
          <w:szCs w:val="22"/>
        </w:rPr>
        <w:t>200</w:t>
      </w:r>
      <w:r w:rsidRPr="00A706CF">
        <w:rPr>
          <w:sz w:val="22"/>
          <w:szCs w:val="22"/>
        </w:rPr>
        <w:t>,-</w:t>
      </w:r>
      <w:proofErr w:type="gramEnd"/>
      <w:r w:rsidRPr="00A706CF">
        <w:rPr>
          <w:sz w:val="22"/>
          <w:szCs w:val="22"/>
        </w:rPr>
        <w:t xml:space="preserve"> Kč (dále jen </w:t>
      </w:r>
      <w:r w:rsidRPr="00A706CF">
        <w:rPr>
          <w:spacing w:val="2"/>
          <w:sz w:val="22"/>
          <w:szCs w:val="22"/>
        </w:rPr>
        <w:t>„</w:t>
      </w:r>
      <w:r w:rsidRPr="00A706CF">
        <w:rPr>
          <w:b/>
          <w:bCs/>
          <w:spacing w:val="2"/>
          <w:sz w:val="22"/>
          <w:szCs w:val="22"/>
        </w:rPr>
        <w:t>odměna</w:t>
      </w:r>
      <w:r w:rsidRPr="00A706CF">
        <w:rPr>
          <w:spacing w:val="2"/>
          <w:sz w:val="22"/>
          <w:szCs w:val="22"/>
        </w:rPr>
        <w:t xml:space="preserve">“). </w:t>
      </w:r>
    </w:p>
    <w:p w14:paraId="7EA422A9" w14:textId="77777777" w:rsidR="004533C0" w:rsidRPr="00A706CF" w:rsidRDefault="004533C0">
      <w:pPr>
        <w:pStyle w:val="Odstavecseseznamem"/>
        <w:numPr>
          <w:ilvl w:val="0"/>
          <w:numId w:val="4"/>
        </w:numPr>
        <w:tabs>
          <w:tab w:val="left" w:pos="587"/>
        </w:tabs>
        <w:kinsoku w:val="0"/>
        <w:overflowPunct w:val="0"/>
        <w:spacing w:before="125" w:line="309" w:lineRule="auto"/>
        <w:ind w:right="108"/>
        <w:rPr>
          <w:sz w:val="22"/>
          <w:szCs w:val="22"/>
        </w:rPr>
      </w:pPr>
      <w:r w:rsidRPr="00A706CF">
        <w:rPr>
          <w:sz w:val="22"/>
          <w:szCs w:val="22"/>
        </w:rPr>
        <w:t>Odměna advokáta zahrnuj</w:t>
      </w:r>
      <w:r w:rsidR="00A706CF">
        <w:rPr>
          <w:sz w:val="22"/>
          <w:szCs w:val="22"/>
        </w:rPr>
        <w:t xml:space="preserve">e veškeré náklady nutné k řádné realizaci právních </w:t>
      </w:r>
      <w:r w:rsidRPr="00A706CF">
        <w:rPr>
          <w:sz w:val="22"/>
          <w:szCs w:val="22"/>
        </w:rPr>
        <w:t xml:space="preserve">služeb.  </w:t>
      </w:r>
      <w:r w:rsidR="00A706CF" w:rsidRPr="00A706CF">
        <w:rPr>
          <w:sz w:val="22"/>
          <w:szCs w:val="22"/>
        </w:rPr>
        <w:t>Kromě odměny</w:t>
      </w:r>
      <w:r w:rsidRPr="00A706CF">
        <w:rPr>
          <w:sz w:val="22"/>
          <w:szCs w:val="22"/>
        </w:rPr>
        <w:t xml:space="preserve"> se klient zavazuje uhradit advokátovi vynaložené hotové </w:t>
      </w:r>
      <w:r w:rsidRPr="00A706CF">
        <w:rPr>
          <w:spacing w:val="4"/>
          <w:sz w:val="22"/>
          <w:szCs w:val="22"/>
        </w:rPr>
        <w:t xml:space="preserve">výdaje </w:t>
      </w:r>
      <w:r w:rsidRPr="00A706CF">
        <w:rPr>
          <w:sz w:val="22"/>
          <w:szCs w:val="22"/>
        </w:rPr>
        <w:t xml:space="preserve">související s právními </w:t>
      </w:r>
      <w:r w:rsidR="00A706CF" w:rsidRPr="00A706CF">
        <w:rPr>
          <w:sz w:val="22"/>
          <w:szCs w:val="22"/>
        </w:rPr>
        <w:t>službami, a to zejména</w:t>
      </w:r>
      <w:r w:rsidRPr="00A706CF">
        <w:rPr>
          <w:sz w:val="22"/>
          <w:szCs w:val="22"/>
        </w:rPr>
        <w:t xml:space="preserve"> náklady na </w:t>
      </w:r>
      <w:r w:rsidR="00A706CF" w:rsidRPr="00A706CF">
        <w:rPr>
          <w:sz w:val="22"/>
          <w:szCs w:val="22"/>
        </w:rPr>
        <w:t>poštovné, kolky</w:t>
      </w:r>
      <w:r w:rsidRPr="00A706CF">
        <w:rPr>
          <w:sz w:val="22"/>
          <w:szCs w:val="22"/>
        </w:rPr>
        <w:t xml:space="preserve">, </w:t>
      </w:r>
      <w:r w:rsidRPr="00A706CF">
        <w:rPr>
          <w:spacing w:val="2"/>
          <w:sz w:val="22"/>
          <w:szCs w:val="22"/>
        </w:rPr>
        <w:t xml:space="preserve">soudní </w:t>
      </w:r>
      <w:r w:rsidRPr="00A706CF">
        <w:rPr>
          <w:sz w:val="22"/>
          <w:szCs w:val="22"/>
        </w:rPr>
        <w:t xml:space="preserve">a notářské </w:t>
      </w:r>
      <w:r w:rsidR="00A706CF" w:rsidRPr="00A706CF">
        <w:rPr>
          <w:sz w:val="22"/>
          <w:szCs w:val="22"/>
        </w:rPr>
        <w:t>poplatky</w:t>
      </w:r>
      <w:r w:rsidRPr="00A706CF">
        <w:rPr>
          <w:sz w:val="22"/>
          <w:szCs w:val="22"/>
        </w:rPr>
        <w:t xml:space="preserve">, překlady, </w:t>
      </w:r>
      <w:r w:rsidRPr="00A706CF">
        <w:rPr>
          <w:spacing w:val="2"/>
          <w:sz w:val="22"/>
          <w:szCs w:val="22"/>
        </w:rPr>
        <w:t xml:space="preserve">posudky </w:t>
      </w:r>
      <w:r w:rsidRPr="00A706CF">
        <w:rPr>
          <w:sz w:val="22"/>
          <w:szCs w:val="22"/>
        </w:rPr>
        <w:t xml:space="preserve">a cestovné, </w:t>
      </w:r>
      <w:r w:rsidRPr="00A706CF">
        <w:rPr>
          <w:spacing w:val="3"/>
          <w:sz w:val="22"/>
          <w:szCs w:val="22"/>
        </w:rPr>
        <w:t xml:space="preserve">vzniknou-li </w:t>
      </w:r>
      <w:r w:rsidRPr="00A706CF">
        <w:rPr>
          <w:sz w:val="22"/>
          <w:szCs w:val="22"/>
        </w:rPr>
        <w:t xml:space="preserve">tyto výdaje. Tyto účelně vynaložené </w:t>
      </w:r>
      <w:r w:rsidRPr="00A706CF">
        <w:rPr>
          <w:spacing w:val="3"/>
          <w:sz w:val="22"/>
          <w:szCs w:val="22"/>
        </w:rPr>
        <w:t xml:space="preserve">hotové </w:t>
      </w:r>
      <w:r w:rsidRPr="00A706CF">
        <w:rPr>
          <w:sz w:val="22"/>
          <w:szCs w:val="22"/>
        </w:rPr>
        <w:t xml:space="preserve">výdaje </w:t>
      </w:r>
      <w:r w:rsidRPr="00A706CF">
        <w:rPr>
          <w:spacing w:val="2"/>
          <w:sz w:val="22"/>
          <w:szCs w:val="22"/>
        </w:rPr>
        <w:t xml:space="preserve">budou </w:t>
      </w:r>
      <w:r w:rsidRPr="00A706CF">
        <w:rPr>
          <w:sz w:val="22"/>
          <w:szCs w:val="22"/>
        </w:rPr>
        <w:t>předem konzultovány a odsouhlaseny oprávněnou osobou</w:t>
      </w:r>
      <w:r w:rsidRPr="00A706CF">
        <w:rPr>
          <w:spacing w:val="10"/>
          <w:sz w:val="22"/>
          <w:szCs w:val="22"/>
        </w:rPr>
        <w:t xml:space="preserve"> </w:t>
      </w:r>
      <w:r w:rsidRPr="00A706CF">
        <w:rPr>
          <w:sz w:val="22"/>
          <w:szCs w:val="22"/>
        </w:rPr>
        <w:t>klienta.</w:t>
      </w:r>
    </w:p>
    <w:p w14:paraId="79D2A13B" w14:textId="77777777" w:rsidR="004533C0" w:rsidRDefault="004533C0">
      <w:pPr>
        <w:pStyle w:val="Odstavecseseznamem"/>
        <w:numPr>
          <w:ilvl w:val="0"/>
          <w:numId w:val="4"/>
        </w:numPr>
        <w:tabs>
          <w:tab w:val="left" w:pos="587"/>
        </w:tabs>
        <w:kinsoku w:val="0"/>
        <w:overflowPunct w:val="0"/>
        <w:spacing w:before="124" w:line="312" w:lineRule="auto"/>
        <w:ind w:right="123"/>
        <w:rPr>
          <w:sz w:val="22"/>
          <w:szCs w:val="22"/>
        </w:rPr>
      </w:pPr>
      <w:r w:rsidRPr="00A706CF">
        <w:rPr>
          <w:sz w:val="22"/>
          <w:szCs w:val="22"/>
        </w:rPr>
        <w:t>Odměna s případnými zaplacenými hotovými výdaji budou advokátem klientovi vyúčtovány</w:t>
      </w:r>
      <w:r>
        <w:rPr>
          <w:sz w:val="22"/>
          <w:szCs w:val="22"/>
        </w:rPr>
        <w:t xml:space="preserve"> takto:</w:t>
      </w:r>
      <w:r w:rsidRPr="00A706CF">
        <w:rPr>
          <w:sz w:val="22"/>
          <w:szCs w:val="22"/>
        </w:rPr>
        <w:t xml:space="preserve"> </w:t>
      </w:r>
    </w:p>
    <w:p w14:paraId="20804DBF" w14:textId="77777777" w:rsidR="004533C0" w:rsidRDefault="004533C0" w:rsidP="004533C0">
      <w:pPr>
        <w:pStyle w:val="Odstavecseseznamem"/>
        <w:numPr>
          <w:ilvl w:val="0"/>
          <w:numId w:val="7"/>
        </w:numPr>
        <w:tabs>
          <w:tab w:val="left" w:pos="587"/>
        </w:tabs>
        <w:kinsoku w:val="0"/>
        <w:overflowPunct w:val="0"/>
        <w:spacing w:before="124" w:line="312" w:lineRule="auto"/>
        <w:ind w:right="123"/>
        <w:rPr>
          <w:sz w:val="22"/>
          <w:szCs w:val="22"/>
        </w:rPr>
      </w:pPr>
      <w:r>
        <w:rPr>
          <w:sz w:val="22"/>
          <w:szCs w:val="22"/>
        </w:rPr>
        <w:t xml:space="preserve">záloha na právní službu za 15 hodin právní služby bude vyúčtována advokátem klientovi do </w:t>
      </w:r>
      <w:proofErr w:type="gramStart"/>
      <w:r>
        <w:rPr>
          <w:sz w:val="22"/>
          <w:szCs w:val="22"/>
        </w:rPr>
        <w:t>30-ti</w:t>
      </w:r>
      <w:proofErr w:type="gramEnd"/>
      <w:r>
        <w:rPr>
          <w:sz w:val="22"/>
          <w:szCs w:val="22"/>
        </w:rPr>
        <w:t xml:space="preserve"> ode dne zveřejnění smlouvy v registru smluv</w:t>
      </w:r>
    </w:p>
    <w:p w14:paraId="75334EDB" w14:textId="77777777" w:rsidR="004533C0" w:rsidRDefault="004533C0" w:rsidP="004533C0">
      <w:pPr>
        <w:pStyle w:val="Odstavecseseznamem"/>
        <w:numPr>
          <w:ilvl w:val="0"/>
          <w:numId w:val="7"/>
        </w:numPr>
        <w:tabs>
          <w:tab w:val="left" w:pos="587"/>
        </w:tabs>
        <w:kinsoku w:val="0"/>
        <w:overflowPunct w:val="0"/>
        <w:spacing w:before="124" w:line="312" w:lineRule="auto"/>
        <w:ind w:right="123"/>
        <w:rPr>
          <w:sz w:val="22"/>
          <w:szCs w:val="22"/>
        </w:rPr>
      </w:pPr>
      <w:r>
        <w:rPr>
          <w:sz w:val="22"/>
          <w:szCs w:val="22"/>
        </w:rPr>
        <w:t xml:space="preserve">doplatek odměny za právní služby </w:t>
      </w:r>
      <w:r w:rsidR="003140C9">
        <w:rPr>
          <w:sz w:val="22"/>
          <w:szCs w:val="22"/>
        </w:rPr>
        <w:t>za</w:t>
      </w:r>
      <w:r>
        <w:rPr>
          <w:sz w:val="22"/>
          <w:szCs w:val="22"/>
        </w:rPr>
        <w:t xml:space="preserve"> 5 hodin právní služby bude vyúčtována advokátem klientovi 4 týdny ode dne zahájení poskytování právní služby  </w:t>
      </w:r>
    </w:p>
    <w:p w14:paraId="4C6529C9" w14:textId="77777777" w:rsidR="004533C0" w:rsidRPr="00A706CF" w:rsidRDefault="004533C0" w:rsidP="004533C0">
      <w:pPr>
        <w:pStyle w:val="Odstavecseseznamem"/>
        <w:numPr>
          <w:ilvl w:val="0"/>
          <w:numId w:val="7"/>
        </w:numPr>
        <w:tabs>
          <w:tab w:val="left" w:pos="587"/>
        </w:tabs>
        <w:kinsoku w:val="0"/>
        <w:overflowPunct w:val="0"/>
        <w:spacing w:before="124" w:line="312" w:lineRule="auto"/>
        <w:ind w:right="123"/>
        <w:rPr>
          <w:sz w:val="22"/>
          <w:szCs w:val="22"/>
        </w:rPr>
      </w:pPr>
      <w:r>
        <w:rPr>
          <w:sz w:val="22"/>
          <w:szCs w:val="22"/>
        </w:rPr>
        <w:t>případné hotové výdaje budou advokátem vyúčtovány klientem neprodleně po tom</w:t>
      </w:r>
      <w:r w:rsidR="003140C9">
        <w:rPr>
          <w:sz w:val="22"/>
          <w:szCs w:val="22"/>
        </w:rPr>
        <w:t>,</w:t>
      </w:r>
      <w:r>
        <w:rPr>
          <w:sz w:val="22"/>
          <w:szCs w:val="22"/>
        </w:rPr>
        <w:t xml:space="preserve"> co budou odsouhlaseny oprávněnou osobou</w:t>
      </w:r>
    </w:p>
    <w:p w14:paraId="6000D22B" w14:textId="77777777" w:rsidR="004533C0" w:rsidRPr="00A706CF" w:rsidRDefault="004533C0">
      <w:pPr>
        <w:pStyle w:val="Odstavecseseznamem"/>
        <w:numPr>
          <w:ilvl w:val="0"/>
          <w:numId w:val="4"/>
        </w:numPr>
        <w:tabs>
          <w:tab w:val="left" w:pos="587"/>
        </w:tabs>
        <w:kinsoku w:val="0"/>
        <w:overflowPunct w:val="0"/>
        <w:spacing w:before="122" w:line="312" w:lineRule="auto"/>
        <w:ind w:right="126"/>
        <w:rPr>
          <w:spacing w:val="2"/>
          <w:sz w:val="22"/>
          <w:szCs w:val="22"/>
        </w:rPr>
      </w:pPr>
      <w:r w:rsidRPr="00A706CF">
        <w:rPr>
          <w:sz w:val="22"/>
          <w:szCs w:val="22"/>
        </w:rPr>
        <w:t xml:space="preserve">Délka </w:t>
      </w:r>
      <w:r w:rsidRPr="00A706CF">
        <w:rPr>
          <w:spacing w:val="2"/>
          <w:sz w:val="22"/>
          <w:szCs w:val="22"/>
        </w:rPr>
        <w:t xml:space="preserve">splatnosti </w:t>
      </w:r>
      <w:r w:rsidRPr="00A706CF">
        <w:rPr>
          <w:sz w:val="22"/>
          <w:szCs w:val="22"/>
        </w:rPr>
        <w:t xml:space="preserve">faktur je </w:t>
      </w:r>
      <w:r w:rsidRPr="00A706CF">
        <w:rPr>
          <w:spacing w:val="2"/>
          <w:sz w:val="22"/>
          <w:szCs w:val="22"/>
        </w:rPr>
        <w:t xml:space="preserve">stanovena </w:t>
      </w:r>
      <w:r w:rsidRPr="00A706CF">
        <w:rPr>
          <w:sz w:val="22"/>
          <w:szCs w:val="22"/>
        </w:rPr>
        <w:t xml:space="preserve">na </w:t>
      </w:r>
      <w:r>
        <w:rPr>
          <w:sz w:val="22"/>
          <w:szCs w:val="22"/>
        </w:rPr>
        <w:t>5</w:t>
      </w:r>
      <w:r w:rsidR="003140C9">
        <w:rPr>
          <w:sz w:val="22"/>
          <w:szCs w:val="22"/>
        </w:rPr>
        <w:t xml:space="preserve"> dnů od okamžiku, </w:t>
      </w:r>
      <w:r w:rsidRPr="00A706CF">
        <w:rPr>
          <w:sz w:val="22"/>
          <w:szCs w:val="22"/>
        </w:rPr>
        <w:t xml:space="preserve">kdy klient </w:t>
      </w:r>
      <w:proofErr w:type="gramStart"/>
      <w:r w:rsidRPr="00A706CF">
        <w:rPr>
          <w:spacing w:val="2"/>
          <w:sz w:val="22"/>
          <w:szCs w:val="22"/>
        </w:rPr>
        <w:t>obdrží</w:t>
      </w:r>
      <w:proofErr w:type="gramEnd"/>
      <w:r w:rsidRPr="00A706CF">
        <w:rPr>
          <w:spacing w:val="2"/>
          <w:sz w:val="22"/>
          <w:szCs w:val="22"/>
        </w:rPr>
        <w:t xml:space="preserve"> </w:t>
      </w:r>
      <w:r w:rsidR="003140C9">
        <w:rPr>
          <w:sz w:val="22"/>
          <w:szCs w:val="22"/>
        </w:rPr>
        <w:t xml:space="preserve">od </w:t>
      </w:r>
      <w:r w:rsidRPr="00A706CF">
        <w:rPr>
          <w:sz w:val="22"/>
          <w:szCs w:val="22"/>
        </w:rPr>
        <w:t xml:space="preserve">advokáta fakturu se všemi sjednanými </w:t>
      </w:r>
      <w:r w:rsidRPr="00A706CF">
        <w:rPr>
          <w:spacing w:val="2"/>
          <w:sz w:val="22"/>
          <w:szCs w:val="22"/>
        </w:rPr>
        <w:t xml:space="preserve">náležitostmi </w:t>
      </w:r>
      <w:r w:rsidRPr="00A706CF">
        <w:rPr>
          <w:sz w:val="22"/>
          <w:szCs w:val="22"/>
        </w:rPr>
        <w:t xml:space="preserve">a za podmínek v této smlouvě </w:t>
      </w:r>
      <w:r w:rsidRPr="00A706CF">
        <w:rPr>
          <w:spacing w:val="2"/>
          <w:sz w:val="22"/>
          <w:szCs w:val="22"/>
        </w:rPr>
        <w:t>uvedených.</w:t>
      </w:r>
    </w:p>
    <w:p w14:paraId="1A8BA6C5" w14:textId="77777777" w:rsidR="004533C0" w:rsidRPr="00A706CF" w:rsidRDefault="004533C0">
      <w:pPr>
        <w:pStyle w:val="Odstavecseseznamem"/>
        <w:numPr>
          <w:ilvl w:val="0"/>
          <w:numId w:val="4"/>
        </w:numPr>
        <w:tabs>
          <w:tab w:val="left" w:pos="587"/>
        </w:tabs>
        <w:kinsoku w:val="0"/>
        <w:overflowPunct w:val="0"/>
        <w:spacing w:before="122" w:line="312" w:lineRule="auto"/>
        <w:ind w:right="126"/>
        <w:rPr>
          <w:spacing w:val="2"/>
          <w:sz w:val="22"/>
          <w:szCs w:val="22"/>
        </w:rPr>
        <w:sectPr w:rsidR="004533C0" w:rsidRPr="00A706CF" w:rsidSect="00036E6D">
          <w:footerReference w:type="default" r:id="rId7"/>
          <w:pgSz w:w="11910" w:h="16840"/>
          <w:pgMar w:top="960" w:right="1180" w:bottom="940" w:left="1260" w:header="0" w:footer="756" w:gutter="0"/>
          <w:pgNumType w:start="2"/>
          <w:cols w:space="708"/>
          <w:noEndnote/>
        </w:sectPr>
      </w:pPr>
    </w:p>
    <w:p w14:paraId="7A89A3A9" w14:textId="77777777" w:rsidR="004533C0" w:rsidRPr="00A706CF" w:rsidRDefault="004533C0">
      <w:pPr>
        <w:pStyle w:val="Odstavecseseznamem"/>
        <w:numPr>
          <w:ilvl w:val="0"/>
          <w:numId w:val="4"/>
        </w:numPr>
        <w:tabs>
          <w:tab w:val="left" w:pos="587"/>
        </w:tabs>
        <w:kinsoku w:val="0"/>
        <w:overflowPunct w:val="0"/>
        <w:spacing w:before="87" w:line="309" w:lineRule="auto"/>
        <w:ind w:right="107"/>
        <w:rPr>
          <w:sz w:val="22"/>
          <w:szCs w:val="22"/>
        </w:rPr>
      </w:pPr>
      <w:r w:rsidRPr="00A706CF">
        <w:rPr>
          <w:sz w:val="22"/>
          <w:szCs w:val="22"/>
        </w:rPr>
        <w:lastRenderedPageBreak/>
        <w:t xml:space="preserve">Faktury musí obsahovat náležitosti daňového dokladu (faktury) stanoveného v § 26 a </w:t>
      </w:r>
      <w:r w:rsidRPr="00A706CF">
        <w:rPr>
          <w:spacing w:val="5"/>
          <w:sz w:val="22"/>
          <w:szCs w:val="22"/>
        </w:rPr>
        <w:t xml:space="preserve">násl. </w:t>
      </w:r>
      <w:r w:rsidRPr="00A706CF">
        <w:rPr>
          <w:sz w:val="22"/>
          <w:szCs w:val="22"/>
        </w:rPr>
        <w:t xml:space="preserve">zákona č. 235/2004 Sb., o dani z přidané hodnoty, ve znění pozdějších předpisů. </w:t>
      </w:r>
      <w:r w:rsidRPr="00A706CF">
        <w:rPr>
          <w:spacing w:val="3"/>
          <w:sz w:val="22"/>
          <w:szCs w:val="22"/>
        </w:rPr>
        <w:t xml:space="preserve">Nebude-li </w:t>
      </w:r>
      <w:r w:rsidRPr="00A706CF">
        <w:rPr>
          <w:sz w:val="22"/>
          <w:szCs w:val="22"/>
        </w:rPr>
        <w:t xml:space="preserve">daňový doklad (faktura) obsahovat </w:t>
      </w:r>
      <w:r w:rsidRPr="00A706CF">
        <w:rPr>
          <w:spacing w:val="2"/>
          <w:sz w:val="22"/>
          <w:szCs w:val="22"/>
        </w:rPr>
        <w:t xml:space="preserve">stanovené </w:t>
      </w:r>
      <w:r w:rsidRPr="00A706CF">
        <w:rPr>
          <w:sz w:val="22"/>
          <w:szCs w:val="22"/>
        </w:rPr>
        <w:t xml:space="preserve">náležitosti je klient oprávněn fakturu vrátit k přepracování. V tomto případě neplatí původní lhůta splatnosti, ale celá lhůta splatnosti </w:t>
      </w:r>
      <w:proofErr w:type="gramStart"/>
      <w:r w:rsidRPr="00A706CF">
        <w:rPr>
          <w:sz w:val="22"/>
          <w:szCs w:val="22"/>
        </w:rPr>
        <w:t>běží</w:t>
      </w:r>
      <w:proofErr w:type="gramEnd"/>
      <w:r w:rsidRPr="00A706CF">
        <w:rPr>
          <w:sz w:val="22"/>
          <w:szCs w:val="22"/>
        </w:rPr>
        <w:t xml:space="preserve"> znovu </w:t>
      </w:r>
      <w:r w:rsidRPr="00A706CF">
        <w:rPr>
          <w:spacing w:val="2"/>
          <w:sz w:val="22"/>
          <w:szCs w:val="22"/>
        </w:rPr>
        <w:t xml:space="preserve">ode </w:t>
      </w:r>
      <w:r w:rsidRPr="00A706CF">
        <w:rPr>
          <w:sz w:val="22"/>
          <w:szCs w:val="22"/>
        </w:rPr>
        <w:t>dne doručení opravené nebo nově vystavené</w:t>
      </w:r>
      <w:r w:rsidRPr="00A706CF">
        <w:rPr>
          <w:spacing w:val="18"/>
          <w:sz w:val="22"/>
          <w:szCs w:val="22"/>
        </w:rPr>
        <w:t xml:space="preserve"> </w:t>
      </w:r>
      <w:r w:rsidRPr="00A706CF">
        <w:rPr>
          <w:sz w:val="22"/>
          <w:szCs w:val="22"/>
        </w:rPr>
        <w:t>faktury.</w:t>
      </w:r>
    </w:p>
    <w:p w14:paraId="0D589145" w14:textId="77777777" w:rsidR="004533C0" w:rsidRPr="00A706CF" w:rsidRDefault="004533C0">
      <w:pPr>
        <w:pStyle w:val="Zkladntext"/>
        <w:kinsoku w:val="0"/>
        <w:overflowPunct w:val="0"/>
        <w:rPr>
          <w:sz w:val="24"/>
          <w:szCs w:val="24"/>
        </w:rPr>
      </w:pPr>
    </w:p>
    <w:p w14:paraId="19C9B5BF" w14:textId="77777777" w:rsidR="004533C0" w:rsidRPr="00A706CF" w:rsidRDefault="004533C0">
      <w:pPr>
        <w:pStyle w:val="Zkladntext"/>
        <w:kinsoku w:val="0"/>
        <w:overflowPunct w:val="0"/>
        <w:spacing w:before="1"/>
        <w:rPr>
          <w:sz w:val="26"/>
          <w:szCs w:val="26"/>
        </w:rPr>
      </w:pPr>
    </w:p>
    <w:p w14:paraId="6A4E2445" w14:textId="77777777" w:rsidR="004533C0" w:rsidRPr="00A706CF" w:rsidRDefault="004533C0">
      <w:pPr>
        <w:pStyle w:val="Nadpis1"/>
        <w:numPr>
          <w:ilvl w:val="0"/>
          <w:numId w:val="6"/>
        </w:numPr>
        <w:tabs>
          <w:tab w:val="left" w:pos="3990"/>
        </w:tabs>
        <w:kinsoku w:val="0"/>
        <w:overflowPunct w:val="0"/>
        <w:ind w:left="3989" w:hanging="999"/>
      </w:pPr>
      <w:r w:rsidRPr="00A706CF">
        <w:t>Další práva a</w:t>
      </w:r>
      <w:r w:rsidRPr="00A706CF">
        <w:rPr>
          <w:spacing w:val="-2"/>
        </w:rPr>
        <w:t xml:space="preserve"> </w:t>
      </w:r>
      <w:r w:rsidRPr="00A706CF">
        <w:t>povinnosti</w:t>
      </w:r>
    </w:p>
    <w:p w14:paraId="52D25AA2" w14:textId="77777777" w:rsidR="004533C0" w:rsidRPr="00A706CF" w:rsidRDefault="004533C0">
      <w:pPr>
        <w:pStyle w:val="Odstavecseseznamem"/>
        <w:numPr>
          <w:ilvl w:val="0"/>
          <w:numId w:val="3"/>
        </w:numPr>
        <w:tabs>
          <w:tab w:val="left" w:pos="587"/>
        </w:tabs>
        <w:kinsoku w:val="0"/>
        <w:overflowPunct w:val="0"/>
        <w:spacing w:before="192" w:line="309" w:lineRule="auto"/>
        <w:ind w:right="112"/>
        <w:rPr>
          <w:sz w:val="22"/>
          <w:szCs w:val="22"/>
        </w:rPr>
      </w:pPr>
      <w:r w:rsidRPr="00A706CF">
        <w:rPr>
          <w:sz w:val="22"/>
          <w:szCs w:val="22"/>
        </w:rPr>
        <w:t xml:space="preserve">Klient se zavazuje </w:t>
      </w:r>
      <w:r w:rsidRPr="00A706CF">
        <w:rPr>
          <w:spacing w:val="2"/>
          <w:sz w:val="22"/>
          <w:szCs w:val="22"/>
        </w:rPr>
        <w:t xml:space="preserve">poskytovat </w:t>
      </w:r>
      <w:r w:rsidRPr="00A706CF">
        <w:rPr>
          <w:sz w:val="22"/>
          <w:szCs w:val="22"/>
        </w:rPr>
        <w:t>advokátovi průběžně včasné, úplné, pravdivé a přehledné</w:t>
      </w:r>
      <w:r w:rsidRPr="00A706CF">
        <w:rPr>
          <w:spacing w:val="2"/>
          <w:sz w:val="22"/>
          <w:szCs w:val="22"/>
        </w:rPr>
        <w:t xml:space="preserve"> </w:t>
      </w:r>
      <w:r w:rsidRPr="00A706CF">
        <w:rPr>
          <w:sz w:val="22"/>
          <w:szCs w:val="22"/>
        </w:rPr>
        <w:t>informace a současně mu předklá</w:t>
      </w:r>
      <w:r>
        <w:rPr>
          <w:sz w:val="22"/>
          <w:szCs w:val="22"/>
        </w:rPr>
        <w:t>dat veškerý spisový materiál a podklady nezbytné k výkonu činnosti</w:t>
      </w:r>
      <w:r w:rsidRPr="00A706CF">
        <w:rPr>
          <w:sz w:val="22"/>
          <w:szCs w:val="22"/>
        </w:rPr>
        <w:t xml:space="preserve"> advokáta podle této smlouvy. Advokát neodpovídá za škodu vzniklou v důsledku nesplnění této povinnosti</w:t>
      </w:r>
      <w:r w:rsidRPr="00A706CF">
        <w:rPr>
          <w:spacing w:val="4"/>
          <w:sz w:val="22"/>
          <w:szCs w:val="22"/>
        </w:rPr>
        <w:t xml:space="preserve"> </w:t>
      </w:r>
      <w:r w:rsidRPr="00A706CF">
        <w:rPr>
          <w:sz w:val="22"/>
          <w:szCs w:val="22"/>
        </w:rPr>
        <w:t>klientem.</w:t>
      </w:r>
    </w:p>
    <w:p w14:paraId="6AEBE472" w14:textId="17790F06" w:rsidR="004533C0" w:rsidRPr="004533C0" w:rsidRDefault="004533C0">
      <w:pPr>
        <w:pStyle w:val="Odstavecseseznamem"/>
        <w:numPr>
          <w:ilvl w:val="0"/>
          <w:numId w:val="3"/>
        </w:numPr>
        <w:tabs>
          <w:tab w:val="left" w:pos="587"/>
        </w:tabs>
        <w:kinsoku w:val="0"/>
        <w:overflowPunct w:val="0"/>
        <w:spacing w:before="116" w:line="309" w:lineRule="auto"/>
        <w:ind w:right="105"/>
        <w:rPr>
          <w:sz w:val="22"/>
          <w:szCs w:val="22"/>
        </w:rPr>
      </w:pPr>
      <w:r w:rsidRPr="004533C0">
        <w:rPr>
          <w:sz w:val="22"/>
          <w:szCs w:val="22"/>
        </w:rPr>
        <w:t xml:space="preserve">Komunikace mezi smluvními stranami bude </w:t>
      </w:r>
      <w:r w:rsidRPr="004533C0">
        <w:rPr>
          <w:spacing w:val="2"/>
          <w:sz w:val="22"/>
          <w:szCs w:val="22"/>
        </w:rPr>
        <w:t xml:space="preserve">prováděna </w:t>
      </w:r>
      <w:r w:rsidRPr="004533C0">
        <w:rPr>
          <w:sz w:val="22"/>
          <w:szCs w:val="22"/>
        </w:rPr>
        <w:t xml:space="preserve">prostřednictvím oprávněných osob, kterými jsou za klienta: </w:t>
      </w:r>
      <w:proofErr w:type="spellStart"/>
      <w:r w:rsidR="004E3BC9">
        <w:rPr>
          <w:sz w:val="22"/>
          <w:szCs w:val="22"/>
        </w:rPr>
        <w:t>xxxxxxxxxx</w:t>
      </w:r>
      <w:proofErr w:type="spellEnd"/>
    </w:p>
    <w:p w14:paraId="76A7E352" w14:textId="77777777" w:rsidR="004533C0" w:rsidRPr="00A706CF" w:rsidRDefault="004533C0">
      <w:pPr>
        <w:pStyle w:val="Odstavecseseznamem"/>
        <w:numPr>
          <w:ilvl w:val="0"/>
          <w:numId w:val="3"/>
        </w:numPr>
        <w:tabs>
          <w:tab w:val="left" w:pos="587"/>
        </w:tabs>
        <w:kinsoku w:val="0"/>
        <w:overflowPunct w:val="0"/>
        <w:spacing w:before="122" w:line="309" w:lineRule="auto"/>
        <w:ind w:right="111"/>
        <w:rPr>
          <w:sz w:val="22"/>
          <w:szCs w:val="22"/>
        </w:rPr>
      </w:pPr>
      <w:r w:rsidRPr="00A706CF">
        <w:rPr>
          <w:sz w:val="22"/>
          <w:szCs w:val="22"/>
        </w:rPr>
        <w:t xml:space="preserve">Advokát je povinen chránit a prosazovat práva a </w:t>
      </w:r>
      <w:r w:rsidRPr="00A706CF">
        <w:rPr>
          <w:spacing w:val="2"/>
          <w:sz w:val="22"/>
          <w:szCs w:val="22"/>
        </w:rPr>
        <w:t xml:space="preserve">oprávněné </w:t>
      </w:r>
      <w:r w:rsidRPr="00A706CF">
        <w:rPr>
          <w:sz w:val="22"/>
          <w:szCs w:val="22"/>
        </w:rPr>
        <w:t xml:space="preserve">zájmy klienta a </w:t>
      </w:r>
      <w:r w:rsidRPr="00A706CF">
        <w:rPr>
          <w:spacing w:val="2"/>
          <w:sz w:val="22"/>
          <w:szCs w:val="22"/>
        </w:rPr>
        <w:t xml:space="preserve">řídit </w:t>
      </w:r>
      <w:r w:rsidRPr="00A706CF">
        <w:rPr>
          <w:sz w:val="22"/>
          <w:szCs w:val="22"/>
        </w:rPr>
        <w:t>se jeho pokyny. Advokát je povinen jednat čestně a svědomitě, je povinen využívat důsledně všechny zákonné prostředky a v jejich rámci uplatnit v zájmu klienta vše, co podle svého přesvědčení pokládá za prospěšné.</w:t>
      </w:r>
    </w:p>
    <w:p w14:paraId="21C8AF03" w14:textId="77777777" w:rsidR="004533C0" w:rsidRPr="00A706CF" w:rsidRDefault="004533C0">
      <w:pPr>
        <w:pStyle w:val="Odstavecseseznamem"/>
        <w:numPr>
          <w:ilvl w:val="0"/>
          <w:numId w:val="3"/>
        </w:numPr>
        <w:tabs>
          <w:tab w:val="left" w:pos="587"/>
        </w:tabs>
        <w:kinsoku w:val="0"/>
        <w:overflowPunct w:val="0"/>
        <w:spacing w:before="124" w:line="309" w:lineRule="auto"/>
        <w:ind w:right="121"/>
        <w:rPr>
          <w:sz w:val="22"/>
          <w:szCs w:val="22"/>
        </w:rPr>
      </w:pPr>
      <w:r w:rsidRPr="00A706CF">
        <w:rPr>
          <w:sz w:val="22"/>
          <w:szCs w:val="22"/>
        </w:rPr>
        <w:t xml:space="preserve">Klient se zavazuje </w:t>
      </w:r>
      <w:r w:rsidRPr="00A706CF">
        <w:rPr>
          <w:spacing w:val="2"/>
          <w:sz w:val="22"/>
          <w:szCs w:val="22"/>
        </w:rPr>
        <w:t xml:space="preserve">požadovat </w:t>
      </w:r>
      <w:r w:rsidRPr="00A706CF">
        <w:rPr>
          <w:sz w:val="22"/>
          <w:szCs w:val="22"/>
        </w:rPr>
        <w:t xml:space="preserve">po advokátovi poskytnutí právních služeb v rozumných časových termínech. Toto se </w:t>
      </w:r>
      <w:r w:rsidRPr="00A706CF">
        <w:rPr>
          <w:spacing w:val="2"/>
          <w:sz w:val="22"/>
          <w:szCs w:val="22"/>
        </w:rPr>
        <w:t xml:space="preserve">netýká </w:t>
      </w:r>
      <w:r w:rsidRPr="00A706CF">
        <w:rPr>
          <w:sz w:val="22"/>
          <w:szCs w:val="22"/>
        </w:rPr>
        <w:t>naléhavých případů, kterými se pro účely této</w:t>
      </w:r>
      <w:r>
        <w:rPr>
          <w:sz w:val="22"/>
          <w:szCs w:val="22"/>
        </w:rPr>
        <w:t xml:space="preserve"> smlouvy rozumí situace,</w:t>
      </w:r>
      <w:r w:rsidRPr="00A706CF">
        <w:rPr>
          <w:sz w:val="22"/>
          <w:szCs w:val="22"/>
        </w:rPr>
        <w:t xml:space="preserve"> kdy klient potřebuje bezodkladně poskytnout právní službu a jejím </w:t>
      </w:r>
      <w:r w:rsidRPr="00A706CF">
        <w:rPr>
          <w:spacing w:val="2"/>
          <w:sz w:val="22"/>
          <w:szCs w:val="22"/>
        </w:rPr>
        <w:t xml:space="preserve">neposkytnutím </w:t>
      </w:r>
      <w:r w:rsidRPr="00A706CF">
        <w:rPr>
          <w:sz w:val="22"/>
          <w:szCs w:val="22"/>
        </w:rPr>
        <w:t xml:space="preserve">klientovi hrozí vážná újma na jeho </w:t>
      </w:r>
      <w:r w:rsidRPr="00A706CF">
        <w:rPr>
          <w:spacing w:val="2"/>
          <w:sz w:val="22"/>
          <w:szCs w:val="22"/>
        </w:rPr>
        <w:t xml:space="preserve">právech, </w:t>
      </w:r>
      <w:r w:rsidRPr="00A706CF">
        <w:rPr>
          <w:sz w:val="22"/>
          <w:szCs w:val="22"/>
        </w:rPr>
        <w:t>či právem chráněných</w:t>
      </w:r>
      <w:r w:rsidRPr="00A706CF">
        <w:rPr>
          <w:spacing w:val="42"/>
          <w:sz w:val="22"/>
          <w:szCs w:val="22"/>
        </w:rPr>
        <w:t xml:space="preserve"> </w:t>
      </w:r>
      <w:r w:rsidRPr="00A706CF">
        <w:rPr>
          <w:sz w:val="22"/>
          <w:szCs w:val="22"/>
        </w:rPr>
        <w:t>zájmech.</w:t>
      </w:r>
    </w:p>
    <w:p w14:paraId="2AEEC10F" w14:textId="77777777" w:rsidR="004533C0" w:rsidRPr="00A706CF" w:rsidRDefault="004533C0">
      <w:pPr>
        <w:pStyle w:val="Odstavecseseznamem"/>
        <w:numPr>
          <w:ilvl w:val="0"/>
          <w:numId w:val="3"/>
        </w:numPr>
        <w:tabs>
          <w:tab w:val="left" w:pos="587"/>
        </w:tabs>
        <w:kinsoku w:val="0"/>
        <w:overflowPunct w:val="0"/>
        <w:spacing w:before="123" w:line="309" w:lineRule="auto"/>
        <w:ind w:right="115"/>
        <w:rPr>
          <w:spacing w:val="2"/>
          <w:sz w:val="22"/>
          <w:szCs w:val="22"/>
        </w:rPr>
      </w:pPr>
      <w:r w:rsidRPr="00A706CF">
        <w:rPr>
          <w:sz w:val="22"/>
          <w:szCs w:val="22"/>
        </w:rPr>
        <w:t xml:space="preserve">Advokát je odpovědný za svou činnost v rozsahu dle zvláštních právních </w:t>
      </w:r>
      <w:r w:rsidRPr="00A706CF">
        <w:rPr>
          <w:spacing w:val="2"/>
          <w:sz w:val="22"/>
          <w:szCs w:val="22"/>
        </w:rPr>
        <w:t xml:space="preserve">předpisů, </w:t>
      </w:r>
      <w:r w:rsidRPr="00A706CF">
        <w:rPr>
          <w:sz w:val="22"/>
          <w:szCs w:val="22"/>
        </w:rPr>
        <w:t>přičemž je za škodu způsobenou pří výkonu advokacie pojištěn</w:t>
      </w:r>
      <w:r>
        <w:rPr>
          <w:sz w:val="22"/>
          <w:szCs w:val="22"/>
        </w:rPr>
        <w:t>.</w:t>
      </w:r>
    </w:p>
    <w:p w14:paraId="2471346B" w14:textId="77777777" w:rsidR="004533C0" w:rsidRPr="00A706CF" w:rsidRDefault="004533C0">
      <w:pPr>
        <w:pStyle w:val="Zkladntext"/>
        <w:kinsoku w:val="0"/>
        <w:overflowPunct w:val="0"/>
        <w:rPr>
          <w:sz w:val="24"/>
          <w:szCs w:val="24"/>
        </w:rPr>
      </w:pPr>
    </w:p>
    <w:p w14:paraId="25F4A9CA" w14:textId="77777777" w:rsidR="004533C0" w:rsidRPr="00A706CF" w:rsidRDefault="004533C0">
      <w:pPr>
        <w:pStyle w:val="Zkladntext"/>
        <w:kinsoku w:val="0"/>
        <w:overflowPunct w:val="0"/>
        <w:spacing w:before="10"/>
        <w:rPr>
          <w:sz w:val="25"/>
          <w:szCs w:val="25"/>
        </w:rPr>
      </w:pPr>
    </w:p>
    <w:p w14:paraId="362277B6" w14:textId="77777777" w:rsidR="004533C0" w:rsidRPr="00A706CF" w:rsidRDefault="004533C0">
      <w:pPr>
        <w:pStyle w:val="Nadpis1"/>
        <w:numPr>
          <w:ilvl w:val="0"/>
          <w:numId w:val="6"/>
        </w:numPr>
        <w:tabs>
          <w:tab w:val="left" w:pos="3618"/>
        </w:tabs>
        <w:kinsoku w:val="0"/>
        <w:overflowPunct w:val="0"/>
        <w:ind w:left="3617" w:hanging="913"/>
      </w:pPr>
      <w:r w:rsidRPr="00A706CF">
        <w:t>Doba trvání smlouvy a její</w:t>
      </w:r>
      <w:r w:rsidRPr="00A706CF">
        <w:rPr>
          <w:spacing w:val="-7"/>
        </w:rPr>
        <w:t xml:space="preserve"> </w:t>
      </w:r>
      <w:r w:rsidRPr="00A706CF">
        <w:t>zánik</w:t>
      </w:r>
    </w:p>
    <w:p w14:paraId="635745F9" w14:textId="77777777" w:rsidR="004533C0" w:rsidRDefault="004533C0" w:rsidP="004533C0">
      <w:pPr>
        <w:pStyle w:val="Odstavecseseznamem"/>
        <w:numPr>
          <w:ilvl w:val="0"/>
          <w:numId w:val="2"/>
        </w:numPr>
        <w:tabs>
          <w:tab w:val="left" w:pos="587"/>
        </w:tabs>
        <w:kinsoku w:val="0"/>
        <w:overflowPunct w:val="0"/>
        <w:spacing w:before="123" w:line="309" w:lineRule="auto"/>
        <w:ind w:right="105" w:hanging="429"/>
        <w:rPr>
          <w:sz w:val="22"/>
          <w:szCs w:val="22"/>
        </w:rPr>
      </w:pPr>
      <w:r>
        <w:rPr>
          <w:sz w:val="22"/>
          <w:szCs w:val="22"/>
        </w:rPr>
        <w:t>Zahájení právní služby počíná běžet dnem následujícím po úhradě zálohy na právní služby podle této smlouvy.</w:t>
      </w:r>
    </w:p>
    <w:p w14:paraId="26245EE4" w14:textId="77777777" w:rsidR="004533C0" w:rsidRDefault="004533C0" w:rsidP="004533C0">
      <w:pPr>
        <w:pStyle w:val="Odstavecseseznamem"/>
        <w:numPr>
          <w:ilvl w:val="0"/>
          <w:numId w:val="2"/>
        </w:numPr>
        <w:tabs>
          <w:tab w:val="left" w:pos="587"/>
        </w:tabs>
        <w:kinsoku w:val="0"/>
        <w:overflowPunct w:val="0"/>
        <w:spacing w:before="123" w:line="309" w:lineRule="auto"/>
        <w:ind w:right="105" w:hanging="429"/>
        <w:rPr>
          <w:sz w:val="22"/>
          <w:szCs w:val="22"/>
        </w:rPr>
      </w:pPr>
      <w:r w:rsidRPr="004533C0">
        <w:rPr>
          <w:sz w:val="22"/>
          <w:szCs w:val="22"/>
        </w:rPr>
        <w:t>Tato smlouva se uzavírá na dobu určitou, a to na dobu 6</w:t>
      </w:r>
      <w:r w:rsidR="003140C9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3140C9">
        <w:rPr>
          <w:sz w:val="22"/>
          <w:szCs w:val="22"/>
        </w:rPr>
        <w:t xml:space="preserve"> </w:t>
      </w:r>
      <w:r w:rsidRPr="004533C0">
        <w:rPr>
          <w:sz w:val="22"/>
          <w:szCs w:val="22"/>
        </w:rPr>
        <w:t xml:space="preserve">ti týdnů ode dne zahájení právní služby.  </w:t>
      </w:r>
    </w:p>
    <w:p w14:paraId="5C5906DA" w14:textId="77777777" w:rsidR="004533C0" w:rsidRPr="004533C0" w:rsidRDefault="004533C0" w:rsidP="004533C0">
      <w:pPr>
        <w:pStyle w:val="Odstavecseseznamem"/>
        <w:numPr>
          <w:ilvl w:val="0"/>
          <w:numId w:val="2"/>
        </w:numPr>
        <w:tabs>
          <w:tab w:val="left" w:pos="587"/>
        </w:tabs>
        <w:kinsoku w:val="0"/>
        <w:overflowPunct w:val="0"/>
        <w:spacing w:before="123" w:line="309" w:lineRule="auto"/>
        <w:ind w:right="105" w:hanging="429"/>
        <w:rPr>
          <w:sz w:val="22"/>
          <w:szCs w:val="22"/>
        </w:rPr>
      </w:pPr>
      <w:r>
        <w:rPr>
          <w:sz w:val="22"/>
          <w:szCs w:val="22"/>
        </w:rPr>
        <w:t>Advokát odevzdá výsledek právní služby v době 6</w:t>
      </w:r>
      <w:r w:rsidR="003140C9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3140C9">
        <w:rPr>
          <w:sz w:val="22"/>
          <w:szCs w:val="22"/>
        </w:rPr>
        <w:t xml:space="preserve"> </w:t>
      </w:r>
      <w:r>
        <w:rPr>
          <w:sz w:val="22"/>
          <w:szCs w:val="22"/>
        </w:rPr>
        <w:t>ti týdnů ode dne zahájení právní služby</w:t>
      </w:r>
      <w:r w:rsidR="003140C9">
        <w:rPr>
          <w:sz w:val="22"/>
          <w:szCs w:val="22"/>
        </w:rPr>
        <w:t>.</w:t>
      </w:r>
    </w:p>
    <w:p w14:paraId="5E68B19C" w14:textId="77777777" w:rsidR="004533C0" w:rsidRPr="00A706CF" w:rsidRDefault="004533C0">
      <w:pPr>
        <w:pStyle w:val="Odstavecseseznamem"/>
        <w:numPr>
          <w:ilvl w:val="0"/>
          <w:numId w:val="2"/>
        </w:numPr>
        <w:tabs>
          <w:tab w:val="left" w:pos="587"/>
        </w:tabs>
        <w:kinsoku w:val="0"/>
        <w:overflowPunct w:val="0"/>
        <w:spacing w:before="123"/>
        <w:ind w:hanging="429"/>
        <w:rPr>
          <w:sz w:val="22"/>
          <w:szCs w:val="22"/>
        </w:rPr>
      </w:pPr>
      <w:r w:rsidRPr="004533C0">
        <w:rPr>
          <w:sz w:val="22"/>
          <w:szCs w:val="22"/>
        </w:rPr>
        <w:t>Smluvn</w:t>
      </w:r>
      <w:r w:rsidRPr="004533C0">
        <w:rPr>
          <w:spacing w:val="10"/>
          <w:sz w:val="22"/>
          <w:szCs w:val="22"/>
        </w:rPr>
        <w:t xml:space="preserve">í </w:t>
      </w:r>
      <w:r w:rsidRPr="004533C0">
        <w:rPr>
          <w:sz w:val="22"/>
          <w:szCs w:val="22"/>
        </w:rPr>
        <w:t>stran</w:t>
      </w:r>
      <w:r w:rsidRPr="004533C0">
        <w:rPr>
          <w:spacing w:val="9"/>
          <w:sz w:val="22"/>
          <w:szCs w:val="22"/>
        </w:rPr>
        <w:t xml:space="preserve">y </w:t>
      </w:r>
      <w:r w:rsidRPr="004533C0">
        <w:rPr>
          <w:sz w:val="22"/>
          <w:szCs w:val="22"/>
        </w:rPr>
        <w:t>jso</w:t>
      </w:r>
      <w:r w:rsidRPr="004533C0">
        <w:rPr>
          <w:spacing w:val="10"/>
          <w:sz w:val="22"/>
          <w:szCs w:val="22"/>
        </w:rPr>
        <w:t xml:space="preserve">u </w:t>
      </w:r>
      <w:r w:rsidRPr="004533C0">
        <w:rPr>
          <w:sz w:val="22"/>
          <w:szCs w:val="22"/>
        </w:rPr>
        <w:t>oprávněn</w:t>
      </w:r>
      <w:r w:rsidRPr="004533C0">
        <w:rPr>
          <w:spacing w:val="9"/>
          <w:sz w:val="22"/>
          <w:szCs w:val="22"/>
        </w:rPr>
        <w:t xml:space="preserve">y </w:t>
      </w:r>
      <w:r w:rsidRPr="004533C0">
        <w:rPr>
          <w:sz w:val="22"/>
          <w:szCs w:val="22"/>
        </w:rPr>
        <w:t>odstoupi</w:t>
      </w:r>
      <w:r w:rsidRPr="004533C0">
        <w:rPr>
          <w:spacing w:val="11"/>
          <w:sz w:val="22"/>
          <w:szCs w:val="22"/>
        </w:rPr>
        <w:t xml:space="preserve">t </w:t>
      </w:r>
      <w:r w:rsidRPr="004533C0">
        <w:rPr>
          <w:sz w:val="22"/>
          <w:szCs w:val="22"/>
        </w:rPr>
        <w:t>o</w:t>
      </w:r>
      <w:r w:rsidRPr="004533C0">
        <w:rPr>
          <w:spacing w:val="10"/>
          <w:sz w:val="22"/>
          <w:szCs w:val="22"/>
        </w:rPr>
        <w:t xml:space="preserve">d </w:t>
      </w:r>
      <w:r w:rsidRPr="004533C0">
        <w:rPr>
          <w:sz w:val="22"/>
          <w:szCs w:val="22"/>
        </w:rPr>
        <w:t>tét</w:t>
      </w:r>
      <w:r w:rsidRPr="004533C0">
        <w:rPr>
          <w:spacing w:val="10"/>
          <w:sz w:val="22"/>
          <w:szCs w:val="22"/>
        </w:rPr>
        <w:t xml:space="preserve">o </w:t>
      </w:r>
      <w:r w:rsidRPr="004533C0">
        <w:rPr>
          <w:sz w:val="22"/>
          <w:szCs w:val="22"/>
        </w:rPr>
        <w:t>smlouv</w:t>
      </w:r>
      <w:r w:rsidRPr="004533C0">
        <w:rPr>
          <w:spacing w:val="9"/>
          <w:sz w:val="22"/>
          <w:szCs w:val="22"/>
        </w:rPr>
        <w:t xml:space="preserve">y </w:t>
      </w:r>
      <w:r w:rsidRPr="004533C0">
        <w:rPr>
          <w:sz w:val="22"/>
          <w:szCs w:val="22"/>
        </w:rPr>
        <w:t>z</w:t>
      </w:r>
      <w:r w:rsidRPr="004533C0">
        <w:rPr>
          <w:spacing w:val="9"/>
          <w:sz w:val="22"/>
          <w:szCs w:val="22"/>
        </w:rPr>
        <w:t xml:space="preserve">e </w:t>
      </w:r>
      <w:r w:rsidRPr="004533C0">
        <w:rPr>
          <w:sz w:val="22"/>
          <w:szCs w:val="22"/>
        </w:rPr>
        <w:t>zákone</w:t>
      </w:r>
      <w:r w:rsidRPr="004533C0">
        <w:rPr>
          <w:spacing w:val="10"/>
          <w:sz w:val="22"/>
          <w:szCs w:val="22"/>
        </w:rPr>
        <w:t xml:space="preserve">m </w:t>
      </w:r>
      <w:r w:rsidRPr="004533C0">
        <w:rPr>
          <w:sz w:val="22"/>
          <w:szCs w:val="22"/>
        </w:rPr>
        <w:t>stanovenýc</w:t>
      </w:r>
      <w:r w:rsidRPr="004533C0">
        <w:rPr>
          <w:spacing w:val="11"/>
          <w:sz w:val="22"/>
          <w:szCs w:val="22"/>
        </w:rPr>
        <w:t xml:space="preserve">h </w:t>
      </w:r>
      <w:r w:rsidRPr="004533C0">
        <w:rPr>
          <w:sz w:val="22"/>
          <w:szCs w:val="22"/>
        </w:rPr>
        <w:t>důvodů.</w:t>
      </w:r>
    </w:p>
    <w:p w14:paraId="71729465" w14:textId="77777777" w:rsidR="004533C0" w:rsidRPr="00A706CF" w:rsidRDefault="004533C0">
      <w:pPr>
        <w:pStyle w:val="Odstavecseseznamem"/>
        <w:numPr>
          <w:ilvl w:val="0"/>
          <w:numId w:val="2"/>
        </w:numPr>
        <w:tabs>
          <w:tab w:val="left" w:pos="587"/>
        </w:tabs>
        <w:kinsoku w:val="0"/>
        <w:overflowPunct w:val="0"/>
        <w:spacing w:before="191" w:line="312" w:lineRule="auto"/>
        <w:ind w:right="122"/>
        <w:rPr>
          <w:sz w:val="22"/>
          <w:szCs w:val="22"/>
        </w:rPr>
      </w:pPr>
      <w:r w:rsidRPr="00A706CF">
        <w:rPr>
          <w:sz w:val="22"/>
          <w:szCs w:val="22"/>
        </w:rPr>
        <w:t>Po zániku smlouvy se ad</w:t>
      </w:r>
      <w:r>
        <w:rPr>
          <w:sz w:val="22"/>
          <w:szCs w:val="22"/>
        </w:rPr>
        <w:t>vokát zavazuje předat klientovi veškerou dokumentaci, týkající se</w:t>
      </w:r>
      <w:r w:rsidRPr="00A706CF">
        <w:rPr>
          <w:sz w:val="22"/>
          <w:szCs w:val="22"/>
        </w:rPr>
        <w:t xml:space="preserve"> předmětu této</w:t>
      </w:r>
      <w:r w:rsidRPr="00A706CF">
        <w:rPr>
          <w:spacing w:val="11"/>
          <w:sz w:val="22"/>
          <w:szCs w:val="22"/>
        </w:rPr>
        <w:t xml:space="preserve"> </w:t>
      </w:r>
      <w:r w:rsidRPr="00A706CF">
        <w:rPr>
          <w:sz w:val="22"/>
          <w:szCs w:val="22"/>
        </w:rPr>
        <w:t>smlouvy.</w:t>
      </w:r>
    </w:p>
    <w:p w14:paraId="53B3E804" w14:textId="77777777" w:rsidR="004533C0" w:rsidRPr="00A706CF" w:rsidRDefault="004533C0">
      <w:pPr>
        <w:pStyle w:val="Odstavecseseznamem"/>
        <w:numPr>
          <w:ilvl w:val="0"/>
          <w:numId w:val="2"/>
        </w:numPr>
        <w:tabs>
          <w:tab w:val="left" w:pos="587"/>
        </w:tabs>
        <w:kinsoku w:val="0"/>
        <w:overflowPunct w:val="0"/>
        <w:spacing w:before="191" w:line="312" w:lineRule="auto"/>
        <w:ind w:right="122"/>
        <w:rPr>
          <w:sz w:val="22"/>
          <w:szCs w:val="22"/>
        </w:rPr>
        <w:sectPr w:rsidR="004533C0" w:rsidRPr="00A706CF" w:rsidSect="00036E6D">
          <w:pgSz w:w="11910" w:h="16840"/>
          <w:pgMar w:top="960" w:right="1180" w:bottom="940" w:left="1260" w:header="0" w:footer="756" w:gutter="0"/>
          <w:cols w:space="708"/>
          <w:noEndnote/>
        </w:sectPr>
      </w:pPr>
    </w:p>
    <w:p w14:paraId="37D8CF13" w14:textId="77777777" w:rsidR="004533C0" w:rsidRPr="00A706CF" w:rsidRDefault="004533C0">
      <w:pPr>
        <w:pStyle w:val="Nadpis1"/>
        <w:numPr>
          <w:ilvl w:val="0"/>
          <w:numId w:val="6"/>
        </w:numPr>
        <w:tabs>
          <w:tab w:val="left" w:pos="4098"/>
        </w:tabs>
        <w:kinsoku w:val="0"/>
        <w:overflowPunct w:val="0"/>
        <w:spacing w:before="87"/>
        <w:ind w:left="4097" w:hanging="999"/>
      </w:pPr>
      <w:r w:rsidRPr="00A706CF">
        <w:lastRenderedPageBreak/>
        <w:t>Závěrečná</w:t>
      </w:r>
      <w:r w:rsidRPr="00A706CF">
        <w:rPr>
          <w:spacing w:val="-1"/>
        </w:rPr>
        <w:t xml:space="preserve"> </w:t>
      </w:r>
      <w:r w:rsidRPr="00A706CF">
        <w:t>ustanovení</w:t>
      </w:r>
    </w:p>
    <w:p w14:paraId="138CDBC7" w14:textId="77777777" w:rsidR="004533C0" w:rsidRPr="00A706CF" w:rsidRDefault="004533C0">
      <w:pPr>
        <w:pStyle w:val="Odstavecseseznamem"/>
        <w:numPr>
          <w:ilvl w:val="0"/>
          <w:numId w:val="1"/>
        </w:numPr>
        <w:tabs>
          <w:tab w:val="left" w:pos="587"/>
        </w:tabs>
        <w:kinsoku w:val="0"/>
        <w:overflowPunct w:val="0"/>
        <w:spacing w:before="174" w:line="300" w:lineRule="auto"/>
        <w:ind w:right="125"/>
        <w:rPr>
          <w:sz w:val="22"/>
          <w:szCs w:val="22"/>
        </w:rPr>
      </w:pPr>
      <w:r w:rsidRPr="00A706CF">
        <w:rPr>
          <w:sz w:val="22"/>
          <w:szCs w:val="22"/>
        </w:rPr>
        <w:t xml:space="preserve">Tuto smlouvu lze </w:t>
      </w:r>
      <w:r w:rsidRPr="00A706CF">
        <w:rPr>
          <w:spacing w:val="2"/>
          <w:sz w:val="22"/>
          <w:szCs w:val="22"/>
        </w:rPr>
        <w:t xml:space="preserve">doplňovat </w:t>
      </w:r>
      <w:r w:rsidRPr="00A706CF">
        <w:rPr>
          <w:sz w:val="22"/>
          <w:szCs w:val="22"/>
        </w:rPr>
        <w:t>nebo měnit pouze formou písemných dodatků odsouhlasených oběma smluvními</w:t>
      </w:r>
      <w:r w:rsidRPr="00A706CF">
        <w:rPr>
          <w:spacing w:val="4"/>
          <w:sz w:val="22"/>
          <w:szCs w:val="22"/>
        </w:rPr>
        <w:t xml:space="preserve"> </w:t>
      </w:r>
      <w:r w:rsidRPr="00A706CF">
        <w:rPr>
          <w:sz w:val="22"/>
          <w:szCs w:val="22"/>
        </w:rPr>
        <w:t>stranami.</w:t>
      </w:r>
    </w:p>
    <w:p w14:paraId="1DD82CE6" w14:textId="77777777" w:rsidR="004533C0" w:rsidRDefault="004533C0">
      <w:pPr>
        <w:pStyle w:val="Odstavecseseznamem"/>
        <w:numPr>
          <w:ilvl w:val="0"/>
          <w:numId w:val="1"/>
        </w:numPr>
        <w:tabs>
          <w:tab w:val="left" w:pos="587"/>
        </w:tabs>
        <w:kinsoku w:val="0"/>
        <w:overflowPunct w:val="0"/>
        <w:spacing w:before="115" w:line="304" w:lineRule="auto"/>
        <w:ind w:right="114"/>
        <w:rPr>
          <w:spacing w:val="4"/>
          <w:sz w:val="22"/>
          <w:szCs w:val="22"/>
        </w:rPr>
      </w:pPr>
      <w:r w:rsidRPr="00A706CF">
        <w:rPr>
          <w:sz w:val="22"/>
          <w:szCs w:val="22"/>
        </w:rPr>
        <w:t xml:space="preserve">Tato smlouva </w:t>
      </w:r>
      <w:r w:rsidRPr="00A706CF">
        <w:rPr>
          <w:spacing w:val="2"/>
          <w:sz w:val="22"/>
          <w:szCs w:val="22"/>
        </w:rPr>
        <w:t xml:space="preserve">nabývá platnosti </w:t>
      </w:r>
      <w:r w:rsidR="003140C9">
        <w:rPr>
          <w:sz w:val="22"/>
          <w:szCs w:val="22"/>
        </w:rPr>
        <w:t>okamžikem jejího podpisu zástupci obou smluvních</w:t>
      </w:r>
      <w:r w:rsidRPr="00A706CF">
        <w:rPr>
          <w:sz w:val="22"/>
          <w:szCs w:val="22"/>
        </w:rPr>
        <w:t xml:space="preserve"> stran. Účinnosti nabývá tato smlouva nejdříve dnem </w:t>
      </w:r>
      <w:r w:rsidRPr="00A706CF">
        <w:rPr>
          <w:spacing w:val="2"/>
          <w:sz w:val="22"/>
          <w:szCs w:val="22"/>
        </w:rPr>
        <w:t xml:space="preserve">jejího </w:t>
      </w:r>
      <w:r w:rsidRPr="00A706CF">
        <w:rPr>
          <w:sz w:val="22"/>
          <w:szCs w:val="22"/>
        </w:rPr>
        <w:t xml:space="preserve">zveřejnění v registru </w:t>
      </w:r>
      <w:r w:rsidRPr="00A706CF">
        <w:rPr>
          <w:spacing w:val="2"/>
          <w:sz w:val="22"/>
          <w:szCs w:val="22"/>
        </w:rPr>
        <w:t xml:space="preserve">smluv </w:t>
      </w:r>
      <w:r w:rsidR="003140C9">
        <w:rPr>
          <w:sz w:val="22"/>
          <w:szCs w:val="22"/>
        </w:rPr>
        <w:t>v souladu se</w:t>
      </w:r>
      <w:r w:rsidRPr="00A706CF">
        <w:rPr>
          <w:sz w:val="22"/>
          <w:szCs w:val="22"/>
        </w:rPr>
        <w:t xml:space="preserve"> zákonem č. 340/2015, o registru smluv. Zveřejnění </w:t>
      </w:r>
      <w:r w:rsidR="003140C9">
        <w:rPr>
          <w:sz w:val="22"/>
          <w:szCs w:val="22"/>
        </w:rPr>
        <w:t xml:space="preserve">smlouvy </w:t>
      </w:r>
      <w:r w:rsidRPr="00A706CF">
        <w:rPr>
          <w:sz w:val="22"/>
          <w:szCs w:val="22"/>
        </w:rPr>
        <w:t>zajistí</w:t>
      </w:r>
      <w:r w:rsidRPr="00A706CF">
        <w:rPr>
          <w:spacing w:val="8"/>
          <w:sz w:val="22"/>
          <w:szCs w:val="22"/>
        </w:rPr>
        <w:t xml:space="preserve"> </w:t>
      </w:r>
      <w:r w:rsidRPr="00A706CF">
        <w:rPr>
          <w:spacing w:val="4"/>
          <w:sz w:val="22"/>
          <w:szCs w:val="22"/>
        </w:rPr>
        <w:t>klient.</w:t>
      </w:r>
    </w:p>
    <w:p w14:paraId="093F3199" w14:textId="77777777" w:rsidR="003140C9" w:rsidRPr="00A706CF" w:rsidRDefault="003140C9">
      <w:pPr>
        <w:pStyle w:val="Odstavecseseznamem"/>
        <w:numPr>
          <w:ilvl w:val="0"/>
          <w:numId w:val="1"/>
        </w:numPr>
        <w:tabs>
          <w:tab w:val="left" w:pos="587"/>
        </w:tabs>
        <w:kinsoku w:val="0"/>
        <w:overflowPunct w:val="0"/>
        <w:spacing w:before="115" w:line="304" w:lineRule="auto"/>
        <w:ind w:right="114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Obě smluvní strany souhlasí se zveřejněním smlouvy v registru smluv.</w:t>
      </w:r>
    </w:p>
    <w:p w14:paraId="585E7D58" w14:textId="77777777" w:rsidR="004533C0" w:rsidRPr="003140C9" w:rsidRDefault="004533C0" w:rsidP="003140C9">
      <w:pPr>
        <w:pStyle w:val="Odstavecseseznamem"/>
        <w:numPr>
          <w:ilvl w:val="0"/>
          <w:numId w:val="1"/>
        </w:numPr>
        <w:tabs>
          <w:tab w:val="left" w:pos="587"/>
        </w:tabs>
        <w:kinsoku w:val="0"/>
        <w:overflowPunct w:val="0"/>
        <w:spacing w:before="108" w:line="300" w:lineRule="auto"/>
        <w:ind w:right="122"/>
        <w:rPr>
          <w:sz w:val="20"/>
          <w:szCs w:val="20"/>
        </w:rPr>
      </w:pPr>
      <w:r w:rsidRPr="00A706CF">
        <w:rPr>
          <w:sz w:val="22"/>
          <w:szCs w:val="22"/>
        </w:rPr>
        <w:t xml:space="preserve">Tato smlouva je </w:t>
      </w:r>
      <w:r w:rsidRPr="003140C9">
        <w:rPr>
          <w:spacing w:val="2"/>
          <w:sz w:val="22"/>
          <w:szCs w:val="22"/>
        </w:rPr>
        <w:t xml:space="preserve">sepsána </w:t>
      </w:r>
      <w:r w:rsidRPr="00A706CF">
        <w:rPr>
          <w:sz w:val="22"/>
          <w:szCs w:val="22"/>
        </w:rPr>
        <w:t xml:space="preserve">ve </w:t>
      </w:r>
      <w:r w:rsidR="003140C9">
        <w:rPr>
          <w:sz w:val="22"/>
          <w:szCs w:val="22"/>
        </w:rPr>
        <w:t>dvou</w:t>
      </w:r>
      <w:r w:rsidRPr="00A706CF">
        <w:rPr>
          <w:sz w:val="22"/>
          <w:szCs w:val="22"/>
        </w:rPr>
        <w:t xml:space="preserve"> stej</w:t>
      </w:r>
      <w:r w:rsidR="003140C9">
        <w:rPr>
          <w:sz w:val="22"/>
          <w:szCs w:val="22"/>
        </w:rPr>
        <w:t xml:space="preserve">nopisech, z nichž každá smluvní strana </w:t>
      </w:r>
      <w:proofErr w:type="gramStart"/>
      <w:r w:rsidR="003140C9">
        <w:rPr>
          <w:sz w:val="22"/>
          <w:szCs w:val="22"/>
        </w:rPr>
        <w:t>obdrží</w:t>
      </w:r>
      <w:proofErr w:type="gramEnd"/>
      <w:r w:rsidR="003140C9">
        <w:rPr>
          <w:sz w:val="22"/>
          <w:szCs w:val="22"/>
        </w:rPr>
        <w:t xml:space="preserve"> jeden. </w:t>
      </w:r>
    </w:p>
    <w:p w14:paraId="3BFB6CBD" w14:textId="77777777" w:rsidR="003140C9" w:rsidRPr="003140C9" w:rsidRDefault="003140C9" w:rsidP="003140C9">
      <w:pPr>
        <w:pStyle w:val="Odstavecseseznamem"/>
        <w:tabs>
          <w:tab w:val="left" w:pos="587"/>
        </w:tabs>
        <w:kinsoku w:val="0"/>
        <w:overflowPunct w:val="0"/>
        <w:spacing w:before="108" w:line="300" w:lineRule="auto"/>
        <w:ind w:right="122" w:firstLine="0"/>
        <w:rPr>
          <w:sz w:val="22"/>
          <w:szCs w:val="22"/>
        </w:rPr>
      </w:pPr>
    </w:p>
    <w:p w14:paraId="37876B59" w14:textId="77777777" w:rsidR="004533C0" w:rsidRPr="003140C9" w:rsidRDefault="004533C0">
      <w:pPr>
        <w:pStyle w:val="Zkladntext"/>
        <w:kinsoku w:val="0"/>
        <w:overflowPunct w:val="0"/>
      </w:pPr>
    </w:p>
    <w:p w14:paraId="612E0341" w14:textId="77777777" w:rsidR="004533C0" w:rsidRPr="003140C9" w:rsidRDefault="004533C0">
      <w:pPr>
        <w:pStyle w:val="Zkladntext"/>
        <w:kinsoku w:val="0"/>
        <w:overflowPunct w:val="0"/>
        <w:spacing w:before="7"/>
      </w:pPr>
    </w:p>
    <w:tbl>
      <w:tblPr>
        <w:tblW w:w="9378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6"/>
        <w:gridCol w:w="4862"/>
      </w:tblGrid>
      <w:tr w:rsidR="004533C0" w:rsidRPr="00715CA6" w14:paraId="3CCC1738" w14:textId="77777777" w:rsidTr="003140C9">
        <w:trPr>
          <w:trHeight w:val="784"/>
        </w:trPr>
        <w:tc>
          <w:tcPr>
            <w:tcW w:w="45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3FD138" w14:textId="77777777" w:rsidR="004533C0" w:rsidRPr="00715CA6" w:rsidRDefault="004533C0" w:rsidP="003140C9">
            <w:pPr>
              <w:pStyle w:val="TableParagraph"/>
              <w:tabs>
                <w:tab w:val="right" w:leader="dot" w:pos="2385"/>
              </w:tabs>
              <w:kinsoku w:val="0"/>
              <w:overflowPunct w:val="0"/>
              <w:ind w:right="53"/>
              <w:rPr>
                <w:rFonts w:eastAsiaTheme="minorEastAsia"/>
                <w:sz w:val="22"/>
                <w:szCs w:val="22"/>
              </w:rPr>
            </w:pPr>
            <w:r w:rsidRPr="00715CA6">
              <w:rPr>
                <w:rFonts w:eastAsiaTheme="minorEastAsia"/>
                <w:sz w:val="22"/>
                <w:szCs w:val="22"/>
              </w:rPr>
              <w:t>V</w:t>
            </w:r>
            <w:r w:rsidRPr="00715CA6">
              <w:rPr>
                <w:rFonts w:eastAsiaTheme="minorEastAsia"/>
                <w:spacing w:val="5"/>
                <w:sz w:val="22"/>
                <w:szCs w:val="22"/>
              </w:rPr>
              <w:t xml:space="preserve"> </w:t>
            </w:r>
            <w:r w:rsidR="003140C9" w:rsidRPr="00715CA6">
              <w:rPr>
                <w:rFonts w:eastAsiaTheme="minorEastAsia"/>
                <w:sz w:val="22"/>
                <w:szCs w:val="22"/>
              </w:rPr>
              <w:t>Brně</w:t>
            </w:r>
            <w:r w:rsidRPr="00715CA6">
              <w:rPr>
                <w:rFonts w:eastAsiaTheme="minorEastAsia"/>
                <w:spacing w:val="8"/>
                <w:sz w:val="22"/>
                <w:szCs w:val="22"/>
              </w:rPr>
              <w:t xml:space="preserve"> </w:t>
            </w:r>
            <w:r w:rsidRPr="00715CA6">
              <w:rPr>
                <w:rFonts w:eastAsiaTheme="minorEastAsia"/>
                <w:sz w:val="22"/>
                <w:szCs w:val="22"/>
              </w:rPr>
              <w:t>dne</w:t>
            </w:r>
            <w:r w:rsidR="003140C9" w:rsidRPr="00715CA6">
              <w:rPr>
                <w:rFonts w:eastAsiaTheme="minorEastAsia"/>
                <w:sz w:val="22"/>
                <w:szCs w:val="22"/>
              </w:rPr>
              <w:t xml:space="preserve"> </w:t>
            </w:r>
            <w:r w:rsidRPr="00715CA6">
              <w:rPr>
                <w:rFonts w:eastAsiaTheme="minorEastAsia"/>
                <w:sz w:val="22"/>
                <w:szCs w:val="22"/>
              </w:rPr>
              <w:tab/>
            </w:r>
            <w:r w:rsidR="003140C9" w:rsidRPr="00715CA6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4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A2DCE" w14:textId="77777777" w:rsidR="004533C0" w:rsidRPr="00715CA6" w:rsidRDefault="004533C0" w:rsidP="003140C9">
            <w:pPr>
              <w:pStyle w:val="TableParagraph"/>
              <w:tabs>
                <w:tab w:val="right" w:leader="dot" w:pos="2435"/>
              </w:tabs>
              <w:kinsoku w:val="0"/>
              <w:overflowPunct w:val="0"/>
              <w:ind w:left="50"/>
              <w:rPr>
                <w:rFonts w:eastAsiaTheme="minorEastAsia"/>
                <w:sz w:val="22"/>
                <w:szCs w:val="22"/>
              </w:rPr>
            </w:pPr>
            <w:r w:rsidRPr="00715CA6">
              <w:rPr>
                <w:rFonts w:eastAsiaTheme="minorEastAsia"/>
                <w:sz w:val="22"/>
                <w:szCs w:val="22"/>
              </w:rPr>
              <w:t>V</w:t>
            </w:r>
            <w:r w:rsidRPr="00715CA6">
              <w:rPr>
                <w:rFonts w:eastAsiaTheme="minorEastAsia"/>
                <w:spacing w:val="5"/>
                <w:sz w:val="22"/>
                <w:szCs w:val="22"/>
              </w:rPr>
              <w:t xml:space="preserve"> </w:t>
            </w:r>
            <w:r w:rsidRPr="00715CA6">
              <w:rPr>
                <w:rFonts w:eastAsiaTheme="minorEastAsia"/>
                <w:sz w:val="22"/>
                <w:szCs w:val="22"/>
              </w:rPr>
              <w:t>Praze</w:t>
            </w:r>
            <w:r w:rsidRPr="00715CA6">
              <w:rPr>
                <w:rFonts w:eastAsiaTheme="minorEastAsia"/>
                <w:spacing w:val="8"/>
                <w:sz w:val="22"/>
                <w:szCs w:val="22"/>
              </w:rPr>
              <w:t xml:space="preserve"> </w:t>
            </w:r>
            <w:r w:rsidRPr="00715CA6">
              <w:rPr>
                <w:rFonts w:eastAsiaTheme="minorEastAsia"/>
                <w:sz w:val="22"/>
                <w:szCs w:val="22"/>
              </w:rPr>
              <w:t>dne</w:t>
            </w:r>
            <w:r w:rsidRPr="00715CA6">
              <w:rPr>
                <w:rFonts w:eastAsiaTheme="minorEastAsia"/>
                <w:sz w:val="22"/>
                <w:szCs w:val="22"/>
              </w:rPr>
              <w:tab/>
              <w:t>20</w:t>
            </w:r>
            <w:r w:rsidR="003140C9" w:rsidRPr="00715CA6">
              <w:rPr>
                <w:rFonts w:eastAsiaTheme="minorEastAsia"/>
                <w:sz w:val="22"/>
                <w:szCs w:val="22"/>
              </w:rPr>
              <w:t>24</w:t>
            </w:r>
          </w:p>
        </w:tc>
      </w:tr>
      <w:tr w:rsidR="004533C0" w:rsidRPr="00715CA6" w14:paraId="14CAD747" w14:textId="77777777" w:rsidTr="003140C9">
        <w:trPr>
          <w:trHeight w:val="878"/>
        </w:trPr>
        <w:tc>
          <w:tcPr>
            <w:tcW w:w="45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3A1F2" w14:textId="77777777" w:rsidR="004533C0" w:rsidRPr="00715CA6" w:rsidRDefault="004533C0">
            <w:pPr>
              <w:pStyle w:val="TableParagraph"/>
              <w:kinsoku w:val="0"/>
              <w:overflowPunct w:val="0"/>
              <w:jc w:val="left"/>
              <w:rPr>
                <w:rFonts w:eastAsiaTheme="minorEastAsia"/>
                <w:sz w:val="22"/>
                <w:szCs w:val="22"/>
              </w:rPr>
            </w:pPr>
          </w:p>
          <w:p w14:paraId="2C88C29E" w14:textId="77777777" w:rsidR="004533C0" w:rsidRPr="00715CA6" w:rsidRDefault="004533C0">
            <w:pPr>
              <w:pStyle w:val="TableParagraph"/>
              <w:kinsoku w:val="0"/>
              <w:overflowPunct w:val="0"/>
              <w:spacing w:before="8"/>
              <w:jc w:val="left"/>
              <w:rPr>
                <w:rFonts w:eastAsiaTheme="minorEastAsia"/>
                <w:sz w:val="22"/>
                <w:szCs w:val="22"/>
              </w:rPr>
            </w:pPr>
          </w:p>
          <w:p w14:paraId="159EEB10" w14:textId="77777777" w:rsidR="004533C0" w:rsidRPr="00715CA6" w:rsidRDefault="004533C0">
            <w:pPr>
              <w:pStyle w:val="TableParagraph"/>
              <w:kinsoku w:val="0"/>
              <w:overflowPunct w:val="0"/>
              <w:ind w:right="48"/>
              <w:rPr>
                <w:rFonts w:eastAsiaTheme="minorEastAsia"/>
                <w:sz w:val="22"/>
                <w:szCs w:val="22"/>
              </w:rPr>
            </w:pPr>
            <w:r w:rsidRPr="00715CA6">
              <w:rPr>
                <w:rFonts w:eastAsiaTheme="minorEastAsia"/>
                <w:sz w:val="22"/>
                <w:szCs w:val="22"/>
              </w:rPr>
              <w:t>____________________________________</w:t>
            </w:r>
          </w:p>
        </w:tc>
        <w:tc>
          <w:tcPr>
            <w:tcW w:w="4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C791E" w14:textId="77777777" w:rsidR="004533C0" w:rsidRPr="00715CA6" w:rsidRDefault="004533C0">
            <w:pPr>
              <w:pStyle w:val="TableParagraph"/>
              <w:kinsoku w:val="0"/>
              <w:overflowPunct w:val="0"/>
              <w:jc w:val="left"/>
              <w:rPr>
                <w:rFonts w:eastAsiaTheme="minorEastAsia"/>
                <w:sz w:val="22"/>
                <w:szCs w:val="22"/>
              </w:rPr>
            </w:pPr>
          </w:p>
          <w:p w14:paraId="4FAF1F22" w14:textId="77777777" w:rsidR="004533C0" w:rsidRPr="00715CA6" w:rsidRDefault="004533C0">
            <w:pPr>
              <w:pStyle w:val="TableParagraph"/>
              <w:kinsoku w:val="0"/>
              <w:overflowPunct w:val="0"/>
              <w:spacing w:before="8"/>
              <w:jc w:val="left"/>
              <w:rPr>
                <w:rFonts w:eastAsiaTheme="minorEastAsia"/>
                <w:sz w:val="22"/>
                <w:szCs w:val="22"/>
              </w:rPr>
            </w:pPr>
          </w:p>
          <w:p w14:paraId="0C4A2DC7" w14:textId="77777777" w:rsidR="004533C0" w:rsidRPr="00715CA6" w:rsidRDefault="004533C0">
            <w:pPr>
              <w:pStyle w:val="TableParagraph"/>
              <w:kinsoku w:val="0"/>
              <w:overflowPunct w:val="0"/>
              <w:ind w:left="54"/>
              <w:rPr>
                <w:rFonts w:eastAsiaTheme="minorEastAsia"/>
                <w:sz w:val="22"/>
                <w:szCs w:val="22"/>
              </w:rPr>
            </w:pPr>
            <w:r w:rsidRPr="00715CA6">
              <w:rPr>
                <w:rFonts w:eastAsiaTheme="minorEastAsia"/>
                <w:sz w:val="22"/>
                <w:szCs w:val="22"/>
              </w:rPr>
              <w:t>____________________________________</w:t>
            </w:r>
          </w:p>
        </w:tc>
      </w:tr>
      <w:tr w:rsidR="004533C0" w:rsidRPr="00715CA6" w14:paraId="4ABD292C" w14:textId="77777777" w:rsidTr="003140C9">
        <w:trPr>
          <w:trHeight w:val="439"/>
        </w:trPr>
        <w:tc>
          <w:tcPr>
            <w:tcW w:w="45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18A2C" w14:textId="77777777" w:rsidR="004533C0" w:rsidRPr="00715CA6" w:rsidRDefault="003140C9">
            <w:pPr>
              <w:pStyle w:val="TableParagraph"/>
              <w:kinsoku w:val="0"/>
              <w:overflowPunct w:val="0"/>
              <w:spacing w:before="95"/>
              <w:ind w:right="55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715CA6">
              <w:rPr>
                <w:rFonts w:eastAsiaTheme="minorEastAsia" w:cs="CIDFont+F1"/>
                <w:b/>
                <w:color w:val="222222"/>
                <w:sz w:val="22"/>
                <w:szCs w:val="22"/>
              </w:rPr>
              <w:t>Centrum dopravního výzkumu, v. v. i.</w:t>
            </w:r>
          </w:p>
        </w:tc>
        <w:tc>
          <w:tcPr>
            <w:tcW w:w="4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E897B" w14:textId="77777777" w:rsidR="004533C0" w:rsidRPr="00715CA6" w:rsidRDefault="004533C0">
            <w:pPr>
              <w:pStyle w:val="TableParagraph"/>
              <w:kinsoku w:val="0"/>
              <w:overflowPunct w:val="0"/>
              <w:spacing w:before="97"/>
              <w:ind w:left="52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</w:tr>
      <w:tr w:rsidR="004533C0" w:rsidRPr="00715CA6" w14:paraId="76CA5288" w14:textId="77777777" w:rsidTr="003140C9">
        <w:trPr>
          <w:trHeight w:val="786"/>
        </w:trPr>
        <w:tc>
          <w:tcPr>
            <w:tcW w:w="45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E14FA1" w14:textId="77777777" w:rsidR="003140C9" w:rsidRPr="00715CA6" w:rsidRDefault="003140C9">
            <w:pPr>
              <w:pStyle w:val="TableParagraph"/>
              <w:kinsoku w:val="0"/>
              <w:overflowPunct w:val="0"/>
              <w:spacing w:before="194" w:line="230" w:lineRule="exact"/>
              <w:ind w:right="119"/>
              <w:rPr>
                <w:rFonts w:eastAsiaTheme="minorEastAsia" w:cs="CIDFont+F1"/>
                <w:color w:val="222222"/>
                <w:sz w:val="22"/>
                <w:szCs w:val="22"/>
              </w:rPr>
            </w:pPr>
            <w:r w:rsidRPr="00715CA6">
              <w:rPr>
                <w:rFonts w:eastAsiaTheme="minorEastAsia" w:cs="CIDFont+F1"/>
                <w:color w:val="222222"/>
                <w:sz w:val="22"/>
                <w:szCs w:val="22"/>
              </w:rPr>
              <w:t xml:space="preserve">Ing. Jindřich Frič, </w:t>
            </w:r>
            <w:proofErr w:type="spellStart"/>
            <w:r w:rsidRPr="00715CA6">
              <w:rPr>
                <w:rFonts w:eastAsiaTheme="minorEastAsia" w:cs="CIDFont+F1"/>
                <w:color w:val="222222"/>
                <w:sz w:val="22"/>
                <w:szCs w:val="22"/>
              </w:rPr>
              <w:t>Ph</w:t>
            </w:r>
            <w:proofErr w:type="spellEnd"/>
            <w:r w:rsidRPr="00715CA6">
              <w:rPr>
                <w:rFonts w:eastAsiaTheme="minorEastAsia" w:cs="CIDFont+F1"/>
                <w:color w:val="222222"/>
                <w:sz w:val="22"/>
                <w:szCs w:val="22"/>
              </w:rPr>
              <w:t>. D.</w:t>
            </w:r>
            <w:r w:rsidR="009C37BB">
              <w:rPr>
                <w:rFonts w:eastAsiaTheme="minorEastAsia" w:cs="CIDFont+F1"/>
                <w:color w:val="222222"/>
                <w:sz w:val="22"/>
                <w:szCs w:val="22"/>
              </w:rPr>
              <w:t>, MBA</w:t>
            </w:r>
          </w:p>
          <w:p w14:paraId="3FB8BABD" w14:textId="77777777" w:rsidR="004533C0" w:rsidRPr="00715CA6" w:rsidRDefault="003140C9">
            <w:pPr>
              <w:pStyle w:val="TableParagraph"/>
              <w:kinsoku w:val="0"/>
              <w:overflowPunct w:val="0"/>
              <w:spacing w:before="194" w:line="230" w:lineRule="exact"/>
              <w:ind w:right="119"/>
              <w:rPr>
                <w:rFonts w:eastAsiaTheme="minorEastAsia"/>
                <w:sz w:val="22"/>
                <w:szCs w:val="22"/>
              </w:rPr>
            </w:pPr>
            <w:r w:rsidRPr="00715CA6">
              <w:rPr>
                <w:rFonts w:eastAsiaTheme="minorEastAsia"/>
                <w:sz w:val="22"/>
                <w:szCs w:val="22"/>
              </w:rPr>
              <w:t>ředitel</w:t>
            </w:r>
          </w:p>
        </w:tc>
        <w:tc>
          <w:tcPr>
            <w:tcW w:w="48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0CA0A" w14:textId="77777777" w:rsidR="004533C0" w:rsidRPr="00715CA6" w:rsidRDefault="003140C9">
            <w:pPr>
              <w:pStyle w:val="TableParagraph"/>
              <w:kinsoku w:val="0"/>
              <w:overflowPunct w:val="0"/>
              <w:spacing w:before="97"/>
              <w:ind w:left="47"/>
              <w:rPr>
                <w:rFonts w:eastAsiaTheme="minorEastAsia"/>
                <w:sz w:val="22"/>
                <w:szCs w:val="22"/>
              </w:rPr>
            </w:pPr>
            <w:r w:rsidRPr="00715CA6">
              <w:rPr>
                <w:rFonts w:eastAsiaTheme="minorEastAsia"/>
                <w:sz w:val="22"/>
                <w:szCs w:val="22"/>
              </w:rPr>
              <w:t>Mgr. František Kubečka, LL. M.</w:t>
            </w:r>
          </w:p>
          <w:p w14:paraId="46B3B241" w14:textId="77777777" w:rsidR="004533C0" w:rsidRPr="00715CA6" w:rsidRDefault="003140C9">
            <w:pPr>
              <w:pStyle w:val="TableParagraph"/>
              <w:kinsoku w:val="0"/>
              <w:overflowPunct w:val="0"/>
              <w:spacing w:before="194" w:line="228" w:lineRule="exact"/>
              <w:ind w:left="52"/>
              <w:rPr>
                <w:rFonts w:eastAsiaTheme="minorEastAsia"/>
                <w:sz w:val="22"/>
                <w:szCs w:val="22"/>
              </w:rPr>
            </w:pPr>
            <w:r w:rsidRPr="00715CA6">
              <w:rPr>
                <w:rFonts w:eastAsiaTheme="minorEastAsia"/>
                <w:sz w:val="22"/>
                <w:szCs w:val="22"/>
              </w:rPr>
              <w:t>advokát</w:t>
            </w:r>
          </w:p>
        </w:tc>
      </w:tr>
    </w:tbl>
    <w:p w14:paraId="4ACD3353" w14:textId="77777777" w:rsidR="004533C0" w:rsidRPr="00A706CF" w:rsidRDefault="004533C0"/>
    <w:sectPr w:rsidR="004533C0" w:rsidRPr="00A706CF">
      <w:pgSz w:w="11910" w:h="16840"/>
      <w:pgMar w:top="960" w:right="1180" w:bottom="940" w:left="1260" w:header="0" w:footer="75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C367" w14:textId="77777777" w:rsidR="00036E6D" w:rsidRDefault="00036E6D">
      <w:r>
        <w:separator/>
      </w:r>
    </w:p>
  </w:endnote>
  <w:endnote w:type="continuationSeparator" w:id="0">
    <w:p w14:paraId="34A8F763" w14:textId="77777777" w:rsidR="00036E6D" w:rsidRDefault="000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6A8F" w14:textId="5328DB39" w:rsidR="004533C0" w:rsidRDefault="00410EFA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AEEA1F6" wp14:editId="778562B6">
              <wp:simplePos x="0" y="0"/>
              <wp:positionH relativeFrom="page">
                <wp:posOffset>3459480</wp:posOffset>
              </wp:positionH>
              <wp:positionV relativeFrom="page">
                <wp:posOffset>10072370</wp:posOffset>
              </wp:positionV>
              <wp:extent cx="727075" cy="183515"/>
              <wp:effectExtent l="0" t="0" r="0" b="0"/>
              <wp:wrapNone/>
              <wp:docPr id="14837270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B1FDC" w14:textId="77777777" w:rsidR="004533C0" w:rsidRDefault="004533C0" w:rsidP="003140C9">
                          <w:pPr>
                            <w:pStyle w:val="Zkladntext"/>
                            <w:kinsoku w:val="0"/>
                            <w:overflowPunct w:val="0"/>
                            <w:spacing w:before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EA1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4pt;margin-top:793.1pt;width:57.25pt;height:1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" o:allowincell="f" filled="f" stroked="f">
              <v:textbox inset="0,0,0,0">
                <w:txbxContent>
                  <w:p w14:paraId="4A1B1FDC" w14:textId="77777777" w:rsidR="004533C0" w:rsidRDefault="004533C0" w:rsidP="003140C9">
                    <w:pPr>
                      <w:pStyle w:val="Zkladntext"/>
                      <w:kinsoku w:val="0"/>
                      <w:overflowPunct w:val="0"/>
                      <w:spacing w:before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6679" w14:textId="77777777" w:rsidR="00036E6D" w:rsidRDefault="00036E6D">
      <w:r>
        <w:separator/>
      </w:r>
    </w:p>
  </w:footnote>
  <w:footnote w:type="continuationSeparator" w:id="0">
    <w:p w14:paraId="0A5B2E7A" w14:textId="77777777" w:rsidR="00036E6D" w:rsidRDefault="0003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upperRoman"/>
      <w:lvlText w:val="%1."/>
      <w:lvlJc w:val="left"/>
      <w:pPr>
        <w:ind w:left="3639" w:hanging="507"/>
      </w:pPr>
      <w:rPr>
        <w:rFonts w:ascii="Garamond" w:hAnsi="Garamond" w:cs="Garamond"/>
        <w:b/>
        <w:bCs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4222" w:hanging="507"/>
      </w:pPr>
    </w:lvl>
    <w:lvl w:ilvl="2">
      <w:numFmt w:val="bullet"/>
      <w:lvlText w:val="•"/>
      <w:lvlJc w:val="left"/>
      <w:pPr>
        <w:ind w:left="4805" w:hanging="507"/>
      </w:pPr>
    </w:lvl>
    <w:lvl w:ilvl="3">
      <w:numFmt w:val="bullet"/>
      <w:lvlText w:val="•"/>
      <w:lvlJc w:val="left"/>
      <w:pPr>
        <w:ind w:left="5387" w:hanging="507"/>
      </w:pPr>
    </w:lvl>
    <w:lvl w:ilvl="4">
      <w:numFmt w:val="bullet"/>
      <w:lvlText w:val="•"/>
      <w:lvlJc w:val="left"/>
      <w:pPr>
        <w:ind w:left="5970" w:hanging="507"/>
      </w:pPr>
    </w:lvl>
    <w:lvl w:ilvl="5">
      <w:numFmt w:val="bullet"/>
      <w:lvlText w:val="•"/>
      <w:lvlJc w:val="left"/>
      <w:pPr>
        <w:ind w:left="6553" w:hanging="507"/>
      </w:pPr>
    </w:lvl>
    <w:lvl w:ilvl="6">
      <w:numFmt w:val="bullet"/>
      <w:lvlText w:val="•"/>
      <w:lvlJc w:val="left"/>
      <w:pPr>
        <w:ind w:left="7135" w:hanging="507"/>
      </w:pPr>
    </w:lvl>
    <w:lvl w:ilvl="7">
      <w:numFmt w:val="bullet"/>
      <w:lvlText w:val="•"/>
      <w:lvlJc w:val="left"/>
      <w:pPr>
        <w:ind w:left="7718" w:hanging="507"/>
      </w:pPr>
    </w:lvl>
    <w:lvl w:ilvl="8">
      <w:numFmt w:val="bullet"/>
      <w:lvlText w:val="•"/>
      <w:lvlJc w:val="left"/>
      <w:pPr>
        <w:ind w:left="8301" w:hanging="507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586" w:hanging="428"/>
      </w:pPr>
      <w:rPr>
        <w:rFonts w:ascii="Garamond" w:hAnsi="Garamond" w:cs="Garamond"/>
        <w:b w:val="0"/>
        <w:bCs w:val="0"/>
        <w:spacing w:val="0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1291" w:hanging="425"/>
      </w:pPr>
      <w:rPr>
        <w:rFonts w:ascii="Garamond" w:hAnsi="Garamond" w:cs="Garamond"/>
        <w:b w:val="0"/>
        <w:bCs w:val="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2207" w:hanging="425"/>
      </w:pPr>
    </w:lvl>
    <w:lvl w:ilvl="3">
      <w:numFmt w:val="bullet"/>
      <w:lvlText w:val="•"/>
      <w:lvlJc w:val="left"/>
      <w:pPr>
        <w:ind w:left="3114" w:hanging="425"/>
      </w:pPr>
    </w:lvl>
    <w:lvl w:ilvl="4">
      <w:numFmt w:val="bullet"/>
      <w:lvlText w:val="•"/>
      <w:lvlJc w:val="left"/>
      <w:pPr>
        <w:ind w:left="4022" w:hanging="425"/>
      </w:pPr>
    </w:lvl>
    <w:lvl w:ilvl="5">
      <w:numFmt w:val="bullet"/>
      <w:lvlText w:val="•"/>
      <w:lvlJc w:val="left"/>
      <w:pPr>
        <w:ind w:left="4929" w:hanging="425"/>
      </w:pPr>
    </w:lvl>
    <w:lvl w:ilvl="6">
      <w:numFmt w:val="bullet"/>
      <w:lvlText w:val="•"/>
      <w:lvlJc w:val="left"/>
      <w:pPr>
        <w:ind w:left="5836" w:hanging="425"/>
      </w:pPr>
    </w:lvl>
    <w:lvl w:ilvl="7">
      <w:numFmt w:val="bullet"/>
      <w:lvlText w:val="•"/>
      <w:lvlJc w:val="left"/>
      <w:pPr>
        <w:ind w:left="6744" w:hanging="425"/>
      </w:pPr>
    </w:lvl>
    <w:lvl w:ilvl="8">
      <w:numFmt w:val="bullet"/>
      <w:lvlText w:val="•"/>
      <w:lvlJc w:val="left"/>
      <w:pPr>
        <w:ind w:left="7651" w:hanging="425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586" w:hanging="428"/>
      </w:pPr>
      <w:rPr>
        <w:rFonts w:ascii="Garamond" w:hAnsi="Garamond" w:cs="Garamond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68" w:hanging="428"/>
      </w:pPr>
    </w:lvl>
    <w:lvl w:ilvl="2">
      <w:numFmt w:val="bullet"/>
      <w:lvlText w:val="•"/>
      <w:lvlJc w:val="left"/>
      <w:pPr>
        <w:ind w:left="2357" w:hanging="428"/>
      </w:pPr>
    </w:lvl>
    <w:lvl w:ilvl="3">
      <w:numFmt w:val="bullet"/>
      <w:lvlText w:val="•"/>
      <w:lvlJc w:val="left"/>
      <w:pPr>
        <w:ind w:left="3245" w:hanging="428"/>
      </w:pPr>
    </w:lvl>
    <w:lvl w:ilvl="4">
      <w:numFmt w:val="bullet"/>
      <w:lvlText w:val="•"/>
      <w:lvlJc w:val="left"/>
      <w:pPr>
        <w:ind w:left="4134" w:hanging="428"/>
      </w:pPr>
    </w:lvl>
    <w:lvl w:ilvl="5">
      <w:numFmt w:val="bullet"/>
      <w:lvlText w:val="•"/>
      <w:lvlJc w:val="left"/>
      <w:pPr>
        <w:ind w:left="5023" w:hanging="428"/>
      </w:pPr>
    </w:lvl>
    <w:lvl w:ilvl="6">
      <w:numFmt w:val="bullet"/>
      <w:lvlText w:val="•"/>
      <w:lvlJc w:val="left"/>
      <w:pPr>
        <w:ind w:left="5911" w:hanging="428"/>
      </w:pPr>
    </w:lvl>
    <w:lvl w:ilvl="7">
      <w:numFmt w:val="bullet"/>
      <w:lvlText w:val="•"/>
      <w:lvlJc w:val="left"/>
      <w:pPr>
        <w:ind w:left="6800" w:hanging="428"/>
      </w:pPr>
    </w:lvl>
    <w:lvl w:ilvl="8">
      <w:numFmt w:val="bullet"/>
      <w:lvlText w:val="•"/>
      <w:lvlJc w:val="left"/>
      <w:pPr>
        <w:ind w:left="7689" w:hanging="428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586" w:hanging="428"/>
      </w:pPr>
      <w:rPr>
        <w:rFonts w:ascii="Garamond" w:hAnsi="Garamond" w:cs="Garamond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68" w:hanging="428"/>
      </w:pPr>
    </w:lvl>
    <w:lvl w:ilvl="2">
      <w:numFmt w:val="bullet"/>
      <w:lvlText w:val="•"/>
      <w:lvlJc w:val="left"/>
      <w:pPr>
        <w:ind w:left="2357" w:hanging="428"/>
      </w:pPr>
    </w:lvl>
    <w:lvl w:ilvl="3">
      <w:numFmt w:val="bullet"/>
      <w:lvlText w:val="•"/>
      <w:lvlJc w:val="left"/>
      <w:pPr>
        <w:ind w:left="3245" w:hanging="428"/>
      </w:pPr>
    </w:lvl>
    <w:lvl w:ilvl="4">
      <w:numFmt w:val="bullet"/>
      <w:lvlText w:val="•"/>
      <w:lvlJc w:val="left"/>
      <w:pPr>
        <w:ind w:left="4134" w:hanging="428"/>
      </w:pPr>
    </w:lvl>
    <w:lvl w:ilvl="5">
      <w:numFmt w:val="bullet"/>
      <w:lvlText w:val="•"/>
      <w:lvlJc w:val="left"/>
      <w:pPr>
        <w:ind w:left="5023" w:hanging="428"/>
      </w:pPr>
    </w:lvl>
    <w:lvl w:ilvl="6">
      <w:numFmt w:val="bullet"/>
      <w:lvlText w:val="•"/>
      <w:lvlJc w:val="left"/>
      <w:pPr>
        <w:ind w:left="5911" w:hanging="428"/>
      </w:pPr>
    </w:lvl>
    <w:lvl w:ilvl="7">
      <w:numFmt w:val="bullet"/>
      <w:lvlText w:val="•"/>
      <w:lvlJc w:val="left"/>
      <w:pPr>
        <w:ind w:left="6800" w:hanging="428"/>
      </w:pPr>
    </w:lvl>
    <w:lvl w:ilvl="8">
      <w:numFmt w:val="bullet"/>
      <w:lvlText w:val="•"/>
      <w:lvlJc w:val="left"/>
      <w:pPr>
        <w:ind w:left="7689" w:hanging="428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586" w:hanging="428"/>
      </w:pPr>
      <w:rPr>
        <w:rFonts w:ascii="Garamond" w:hAnsi="Garamond" w:cs="Garamond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68" w:hanging="428"/>
      </w:pPr>
    </w:lvl>
    <w:lvl w:ilvl="2">
      <w:numFmt w:val="bullet"/>
      <w:lvlText w:val="•"/>
      <w:lvlJc w:val="left"/>
      <w:pPr>
        <w:ind w:left="2357" w:hanging="428"/>
      </w:pPr>
    </w:lvl>
    <w:lvl w:ilvl="3">
      <w:numFmt w:val="bullet"/>
      <w:lvlText w:val="•"/>
      <w:lvlJc w:val="left"/>
      <w:pPr>
        <w:ind w:left="3245" w:hanging="428"/>
      </w:pPr>
    </w:lvl>
    <w:lvl w:ilvl="4">
      <w:numFmt w:val="bullet"/>
      <w:lvlText w:val="•"/>
      <w:lvlJc w:val="left"/>
      <w:pPr>
        <w:ind w:left="4134" w:hanging="428"/>
      </w:pPr>
    </w:lvl>
    <w:lvl w:ilvl="5">
      <w:numFmt w:val="bullet"/>
      <w:lvlText w:val="•"/>
      <w:lvlJc w:val="left"/>
      <w:pPr>
        <w:ind w:left="5023" w:hanging="428"/>
      </w:pPr>
    </w:lvl>
    <w:lvl w:ilvl="6">
      <w:numFmt w:val="bullet"/>
      <w:lvlText w:val="•"/>
      <w:lvlJc w:val="left"/>
      <w:pPr>
        <w:ind w:left="5911" w:hanging="428"/>
      </w:pPr>
    </w:lvl>
    <w:lvl w:ilvl="7">
      <w:numFmt w:val="bullet"/>
      <w:lvlText w:val="•"/>
      <w:lvlJc w:val="left"/>
      <w:pPr>
        <w:ind w:left="6800" w:hanging="428"/>
      </w:pPr>
    </w:lvl>
    <w:lvl w:ilvl="8">
      <w:numFmt w:val="bullet"/>
      <w:lvlText w:val="•"/>
      <w:lvlJc w:val="left"/>
      <w:pPr>
        <w:ind w:left="7689" w:hanging="428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586" w:hanging="428"/>
      </w:pPr>
      <w:rPr>
        <w:rFonts w:ascii="Garamond" w:hAnsi="Garamond" w:cs="Garamond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68" w:hanging="428"/>
      </w:pPr>
    </w:lvl>
    <w:lvl w:ilvl="2">
      <w:numFmt w:val="bullet"/>
      <w:lvlText w:val="•"/>
      <w:lvlJc w:val="left"/>
      <w:pPr>
        <w:ind w:left="2357" w:hanging="428"/>
      </w:pPr>
    </w:lvl>
    <w:lvl w:ilvl="3">
      <w:numFmt w:val="bullet"/>
      <w:lvlText w:val="•"/>
      <w:lvlJc w:val="left"/>
      <w:pPr>
        <w:ind w:left="3245" w:hanging="428"/>
      </w:pPr>
    </w:lvl>
    <w:lvl w:ilvl="4">
      <w:numFmt w:val="bullet"/>
      <w:lvlText w:val="•"/>
      <w:lvlJc w:val="left"/>
      <w:pPr>
        <w:ind w:left="4134" w:hanging="428"/>
      </w:pPr>
    </w:lvl>
    <w:lvl w:ilvl="5">
      <w:numFmt w:val="bullet"/>
      <w:lvlText w:val="•"/>
      <w:lvlJc w:val="left"/>
      <w:pPr>
        <w:ind w:left="5023" w:hanging="428"/>
      </w:pPr>
    </w:lvl>
    <w:lvl w:ilvl="6">
      <w:numFmt w:val="bullet"/>
      <w:lvlText w:val="•"/>
      <w:lvlJc w:val="left"/>
      <w:pPr>
        <w:ind w:left="5911" w:hanging="428"/>
      </w:pPr>
    </w:lvl>
    <w:lvl w:ilvl="7">
      <w:numFmt w:val="bullet"/>
      <w:lvlText w:val="•"/>
      <w:lvlJc w:val="left"/>
      <w:pPr>
        <w:ind w:left="6800" w:hanging="428"/>
      </w:pPr>
    </w:lvl>
    <w:lvl w:ilvl="8">
      <w:numFmt w:val="bullet"/>
      <w:lvlText w:val="•"/>
      <w:lvlJc w:val="left"/>
      <w:pPr>
        <w:ind w:left="7689" w:hanging="428"/>
      </w:pPr>
    </w:lvl>
  </w:abstractNum>
  <w:abstractNum w:abstractNumId="6" w15:restartNumberingAfterBreak="0">
    <w:nsid w:val="438B6874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 w16cid:durableId="1078136448">
    <w:abstractNumId w:val="5"/>
  </w:num>
  <w:num w:numId="2" w16cid:durableId="1730617895">
    <w:abstractNumId w:val="4"/>
  </w:num>
  <w:num w:numId="3" w16cid:durableId="1790735490">
    <w:abstractNumId w:val="3"/>
  </w:num>
  <w:num w:numId="4" w16cid:durableId="2136289036">
    <w:abstractNumId w:val="2"/>
  </w:num>
  <w:num w:numId="5" w16cid:durableId="307244527">
    <w:abstractNumId w:val="1"/>
  </w:num>
  <w:num w:numId="6" w16cid:durableId="1937790146">
    <w:abstractNumId w:val="0"/>
  </w:num>
  <w:num w:numId="7" w16cid:durableId="1676497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CF"/>
    <w:rsid w:val="00007509"/>
    <w:rsid w:val="00036E6D"/>
    <w:rsid w:val="003140C9"/>
    <w:rsid w:val="003D64C9"/>
    <w:rsid w:val="00410EFA"/>
    <w:rsid w:val="004533C0"/>
    <w:rsid w:val="004E3BC9"/>
    <w:rsid w:val="00690A18"/>
    <w:rsid w:val="00715CA6"/>
    <w:rsid w:val="00756424"/>
    <w:rsid w:val="009C37BB"/>
    <w:rsid w:val="00A706CF"/>
    <w:rsid w:val="00F36DF7"/>
    <w:rsid w:val="00F6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162B3F"/>
  <w14:defaultImageDpi w14:val="0"/>
  <w15:docId w15:val="{B8B925AB-14B3-410B-B93E-2EE11BDC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</w:pPr>
    <w:rPr>
      <w:rFonts w:ascii="Garamond" w:hAnsi="Garamond" w:cs="Garamond"/>
      <w:sz w:val="22"/>
      <w:szCs w:val="22"/>
    </w:rPr>
  </w:style>
  <w:style w:type="paragraph" w:styleId="Nadpis1">
    <w:name w:val="heading 1"/>
    <w:basedOn w:val="Normln"/>
    <w:link w:val="Nadpis1Char"/>
    <w:uiPriority w:val="1"/>
    <w:qFormat/>
    <w:pPr>
      <w:ind w:left="3639" w:hanging="999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Garamond" w:hAnsi="Garamond" w:cs="Garamond"/>
    </w:rPr>
  </w:style>
  <w:style w:type="paragraph" w:styleId="Odstavecseseznamem">
    <w:name w:val="List Paragraph"/>
    <w:basedOn w:val="Normln"/>
    <w:uiPriority w:val="1"/>
    <w:qFormat/>
    <w:pPr>
      <w:ind w:left="586" w:hanging="428"/>
      <w:jc w:val="both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pPr>
      <w:jc w:val="center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3140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140C9"/>
    <w:rPr>
      <w:rFonts w:ascii="Garamond" w:hAnsi="Garamond" w:cs="Garamond"/>
    </w:rPr>
  </w:style>
  <w:style w:type="paragraph" w:styleId="Zpat">
    <w:name w:val="footer"/>
    <w:basedOn w:val="Normln"/>
    <w:link w:val="ZpatChar"/>
    <w:uiPriority w:val="99"/>
    <w:semiHidden/>
    <w:unhideWhenUsed/>
    <w:rsid w:val="003140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140C9"/>
    <w:rPr>
      <w:rFonts w:ascii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934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Kubečka</dc:creator>
  <cp:keywords/>
  <dc:description/>
  <cp:lastModifiedBy>Klára Ibrmajerová</cp:lastModifiedBy>
  <cp:revision>3</cp:revision>
  <dcterms:created xsi:type="dcterms:W3CDTF">2024-03-18T07:47:00Z</dcterms:created>
  <dcterms:modified xsi:type="dcterms:W3CDTF">2024-03-18T07:50:00Z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