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EB" w:rsidRPr="00507DA6" w:rsidRDefault="0090787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507DA6">
        <w:rPr>
          <w:rFonts w:ascii="Calibri" w:eastAsia="Calibri" w:hAnsi="Calibri" w:cs="Calibri"/>
          <w:b/>
          <w:sz w:val="44"/>
          <w:szCs w:val="44"/>
        </w:rPr>
        <w:t>Smlouva o partnerství a spolupráci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1985" w:hanging="1985"/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 xml:space="preserve">Koordinátor (dále jen „koordinátor“): 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  <w:r w:rsidRPr="00507DA6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:rsidR="00393BEB" w:rsidRPr="00507DA6" w:rsidRDefault="00393BEB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>Název: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  <w:t xml:space="preserve">Centrála cestovního ruchu – Jižní </w:t>
      </w:r>
      <w:proofErr w:type="gramStart"/>
      <w:r w:rsidRPr="00507DA6">
        <w:rPr>
          <w:rFonts w:ascii="Calibri" w:eastAsia="Calibri" w:hAnsi="Calibri" w:cs="Calibri"/>
          <w:b/>
          <w:sz w:val="22"/>
          <w:szCs w:val="22"/>
        </w:rPr>
        <w:t xml:space="preserve">Morava, </w:t>
      </w:r>
      <w:proofErr w:type="spellStart"/>
      <w:r w:rsidRPr="00507DA6">
        <w:rPr>
          <w:rFonts w:ascii="Calibri" w:eastAsia="Calibri" w:hAnsi="Calibri" w:cs="Calibri"/>
          <w:b/>
          <w:sz w:val="22"/>
          <w:szCs w:val="22"/>
        </w:rPr>
        <w:t>z.s.</w:t>
      </w:r>
      <w:proofErr w:type="gramEnd"/>
      <w:r w:rsidRPr="00507DA6">
        <w:rPr>
          <w:rFonts w:ascii="Calibri" w:eastAsia="Calibri" w:hAnsi="Calibri" w:cs="Calibri"/>
          <w:b/>
          <w:sz w:val="22"/>
          <w:szCs w:val="22"/>
        </w:rPr>
        <w:t>p.o</w:t>
      </w:r>
      <w:proofErr w:type="spellEnd"/>
      <w:r w:rsidRPr="00507DA6">
        <w:rPr>
          <w:rFonts w:ascii="Calibri" w:eastAsia="Calibri" w:hAnsi="Calibri" w:cs="Calibri"/>
          <w:b/>
          <w:sz w:val="22"/>
          <w:szCs w:val="22"/>
        </w:rPr>
        <w:t>.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Sídlo:</w:t>
      </w:r>
      <w:r w:rsidRPr="00507DA6">
        <w:rPr>
          <w:rFonts w:ascii="Calibri" w:eastAsia="Calibri" w:hAnsi="Calibri" w:cs="Calibri"/>
          <w:sz w:val="22"/>
          <w:szCs w:val="22"/>
        </w:rPr>
        <w:tab/>
        <w:t>Radnická 2, 602 00 Brno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Právní forma:</w:t>
      </w:r>
      <w:r w:rsidRPr="00507DA6">
        <w:rPr>
          <w:rFonts w:ascii="Calibri" w:eastAsia="Calibri" w:hAnsi="Calibri" w:cs="Calibri"/>
          <w:sz w:val="22"/>
          <w:szCs w:val="22"/>
        </w:rPr>
        <w:tab/>
        <w:t>zájmové sdružení právnických osob, zapsána ve spolkovém rejstříku,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spisová značka L19544 u Krajského soudu v Brně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IČ:</w:t>
      </w:r>
      <w:r w:rsidRPr="00507DA6">
        <w:rPr>
          <w:rFonts w:ascii="Calibri" w:eastAsia="Calibri" w:hAnsi="Calibri" w:cs="Calibri"/>
          <w:sz w:val="22"/>
          <w:szCs w:val="22"/>
        </w:rPr>
        <w:tab/>
        <w:t>75063638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DIČ:</w:t>
      </w:r>
      <w:r w:rsidRPr="00507DA6">
        <w:rPr>
          <w:rFonts w:ascii="Calibri" w:eastAsia="Calibri" w:hAnsi="Calibri" w:cs="Calibri"/>
          <w:sz w:val="22"/>
          <w:szCs w:val="22"/>
        </w:rPr>
        <w:tab/>
        <w:t>CZ75063638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(neplátce DPH)</w:t>
      </w:r>
    </w:p>
    <w:p w:rsidR="00393BEB" w:rsidRPr="00507DA6" w:rsidRDefault="0090787D">
      <w:pPr>
        <w:tabs>
          <w:tab w:val="left" w:pos="2880"/>
        </w:tabs>
        <w:jc w:val="both"/>
        <w:rPr>
          <w:highlight w:val="white"/>
        </w:rPr>
      </w:pPr>
      <w:r w:rsidRPr="00507DA6">
        <w:rPr>
          <w:rFonts w:ascii="Calibri" w:eastAsia="Calibri" w:hAnsi="Calibri" w:cs="Calibri"/>
          <w:sz w:val="22"/>
          <w:szCs w:val="22"/>
        </w:rPr>
        <w:t>Bankovní spojení:</w:t>
      </w:r>
      <w:r w:rsidRPr="00507DA6">
        <w:rPr>
          <w:rFonts w:ascii="Calibri" w:eastAsia="Calibri" w:hAnsi="Calibri" w:cs="Calibri"/>
          <w:sz w:val="22"/>
          <w:szCs w:val="22"/>
        </w:rPr>
        <w:tab/>
      </w:r>
      <w:r w:rsidR="00063294">
        <w:rPr>
          <w:rFonts w:ascii="Calibri" w:eastAsia="Calibri" w:hAnsi="Calibri" w:cs="Calibri"/>
          <w:sz w:val="22"/>
          <w:szCs w:val="22"/>
        </w:rPr>
        <w:t>XXXX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>Zastoupený: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  <w:r w:rsidR="00063294">
        <w:rPr>
          <w:rFonts w:ascii="Calibri" w:eastAsia="Calibri" w:hAnsi="Calibri" w:cs="Calibri"/>
          <w:b/>
          <w:sz w:val="22"/>
          <w:szCs w:val="22"/>
        </w:rPr>
        <w:t>XXXX</w:t>
      </w:r>
    </w:p>
    <w:p w:rsidR="00393BEB" w:rsidRPr="00507DA6" w:rsidRDefault="0090787D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:rsidR="00393BEB" w:rsidRPr="00507DA6" w:rsidRDefault="00393BEB">
      <w:pPr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 xml:space="preserve">Partner (dále jen „partner“): 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</w:p>
    <w:p w:rsidR="00393BEB" w:rsidRPr="00507DA6" w:rsidRDefault="00393BEB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>Název: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  <w:t>Národní památkový ústav, státní příspěvková organizace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b/>
          <w:sz w:val="22"/>
          <w:szCs w:val="22"/>
        </w:rPr>
        <w:tab/>
      </w:r>
      <w:r w:rsidRPr="00507DA6">
        <w:rPr>
          <w:rFonts w:ascii="Calibri" w:eastAsia="Calibri" w:hAnsi="Calibri" w:cs="Calibri"/>
          <w:sz w:val="22"/>
          <w:szCs w:val="22"/>
        </w:rPr>
        <w:t xml:space="preserve">lČ:75032333, DIČ: CZ75032333 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ab/>
        <w:t xml:space="preserve">se sídlem Valdštejnské náměstí 162/3, 118 01 Praha 1- Malá Strana 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ab/>
        <w:t xml:space="preserve">jednající generální ředitelkou Ing. </w:t>
      </w:r>
      <w:r w:rsidR="00063294">
        <w:rPr>
          <w:rFonts w:ascii="Calibri" w:eastAsia="Calibri" w:hAnsi="Calibri" w:cs="Calibri"/>
          <w:sz w:val="22"/>
          <w:szCs w:val="22"/>
        </w:rPr>
        <w:t>a</w:t>
      </w:r>
      <w:r w:rsidRPr="00507DA6">
        <w:rPr>
          <w:rFonts w:ascii="Calibri" w:eastAsia="Calibri" w:hAnsi="Calibri" w:cs="Calibri"/>
          <w:sz w:val="22"/>
          <w:szCs w:val="22"/>
        </w:rPr>
        <w:t xml:space="preserve">rch. Naděždou Goryczkovou </w:t>
      </w:r>
    </w:p>
    <w:p w:rsidR="00393BEB" w:rsidRPr="00507DA6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ab/>
      </w:r>
    </w:p>
    <w:p w:rsidR="00393BEB" w:rsidRPr="00507DA6" w:rsidRDefault="0090787D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kterou zastupuje:</w:t>
      </w:r>
      <w:r w:rsidRPr="00507DA6">
        <w:rPr>
          <w:rFonts w:ascii="Calibri" w:eastAsia="Calibri" w:hAnsi="Calibri" w:cs="Calibri"/>
          <w:sz w:val="22"/>
          <w:szCs w:val="22"/>
        </w:rPr>
        <w:tab/>
        <w:t xml:space="preserve">Územní památková správa V Kroměříži se sídlem Sněmovní nám. 1, </w:t>
      </w:r>
    </w:p>
    <w:p w:rsidR="00393BEB" w:rsidRPr="00507DA6" w:rsidRDefault="0090787D">
      <w:pPr>
        <w:tabs>
          <w:tab w:val="left" w:pos="2880"/>
        </w:tabs>
        <w:ind w:left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ab/>
      </w:r>
      <w:r w:rsidRPr="00507DA6">
        <w:rPr>
          <w:rFonts w:ascii="Calibri" w:eastAsia="Calibri" w:hAnsi="Calibri" w:cs="Calibri"/>
          <w:b/>
          <w:sz w:val="22"/>
          <w:szCs w:val="22"/>
        </w:rPr>
        <w:t>767 01 Kroměříž, jednající ředitelem Ing. Petrem Šubíkem</w:t>
      </w:r>
    </w:p>
    <w:p w:rsidR="00393BEB" w:rsidRPr="00507DA6" w:rsidRDefault="0090787D">
      <w:pPr>
        <w:tabs>
          <w:tab w:val="left" w:pos="2880"/>
        </w:tabs>
        <w:ind w:left="708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507DA6">
        <w:rPr>
          <w:rFonts w:ascii="Calibri" w:eastAsia="Calibri" w:hAnsi="Calibri" w:cs="Calibri"/>
          <w:sz w:val="22"/>
          <w:szCs w:val="22"/>
        </w:rPr>
        <w:tab/>
        <w:t xml:space="preserve">Zástupce pro věcná jednání: </w:t>
      </w:r>
      <w:r w:rsidR="00063294">
        <w:rPr>
          <w:rFonts w:ascii="Calibri" w:eastAsia="Calibri" w:hAnsi="Calibri" w:cs="Calibri"/>
          <w:sz w:val="22"/>
          <w:szCs w:val="22"/>
        </w:rPr>
        <w:t>XXXX</w:t>
      </w:r>
    </w:p>
    <w:p w:rsidR="00393BEB" w:rsidRPr="00507DA6" w:rsidRDefault="00393BEB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tabs>
          <w:tab w:val="left" w:pos="2813"/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  <w:shd w:val="clear" w:color="auto" w:fill="FF9900"/>
        </w:rPr>
      </w:pPr>
      <w:r w:rsidRPr="00507DA6">
        <w:rPr>
          <w:rFonts w:ascii="Calibri" w:eastAsia="Calibri" w:hAnsi="Calibri" w:cs="Calibri"/>
          <w:sz w:val="22"/>
          <w:szCs w:val="22"/>
        </w:rPr>
        <w:t>TOP cíl:</w:t>
      </w:r>
      <w:r w:rsidRPr="00507DA6">
        <w:rPr>
          <w:rFonts w:ascii="Calibri" w:eastAsia="Calibri" w:hAnsi="Calibri" w:cs="Calibri"/>
          <w:sz w:val="22"/>
          <w:szCs w:val="22"/>
        </w:rPr>
        <w:tab/>
      </w:r>
      <w:r w:rsidR="00E51689" w:rsidRPr="00507DA6">
        <w:rPr>
          <w:rFonts w:ascii="Calibri" w:eastAsia="Calibri" w:hAnsi="Calibri" w:cs="Calibri"/>
          <w:sz w:val="22"/>
          <w:szCs w:val="22"/>
        </w:rPr>
        <w:tab/>
      </w:r>
      <w:r w:rsidRPr="00507DA6">
        <w:rPr>
          <w:rFonts w:ascii="Calibri" w:eastAsia="Calibri" w:hAnsi="Calibri" w:cs="Calibri"/>
          <w:b/>
          <w:sz w:val="22"/>
          <w:szCs w:val="22"/>
        </w:rPr>
        <w:t>Státní zámek Lednice</w:t>
      </w:r>
      <w:r w:rsidRPr="00507DA6">
        <w:rPr>
          <w:rFonts w:ascii="Calibri" w:eastAsia="Calibri" w:hAnsi="Calibri" w:cs="Calibri"/>
          <w:b/>
          <w:sz w:val="22"/>
          <w:szCs w:val="22"/>
        </w:rPr>
        <w:tab/>
      </w:r>
    </w:p>
    <w:p w:rsidR="00393BEB" w:rsidRPr="00507DA6" w:rsidRDefault="0090787D">
      <w:pPr>
        <w:tabs>
          <w:tab w:val="left" w:pos="2813"/>
          <w:tab w:val="left" w:pos="288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uzavřeli níže uvedeného dne, měsíce a roku tuto smlouvu o partnerství a vzájemné spolupráci při realizaci marketingových služeb projektu TOP cíle – jižní Morava (dále jen „</w:t>
      </w:r>
      <w:r w:rsidRPr="00507DA6">
        <w:rPr>
          <w:rFonts w:ascii="Calibri" w:eastAsia="Calibri" w:hAnsi="Calibri" w:cs="Calibri"/>
          <w:i/>
          <w:sz w:val="22"/>
          <w:szCs w:val="22"/>
        </w:rPr>
        <w:t>projek</w:t>
      </w:r>
      <w:r w:rsidRPr="00507DA6">
        <w:rPr>
          <w:rFonts w:ascii="Calibri" w:eastAsia="Calibri" w:hAnsi="Calibri" w:cs="Calibri"/>
          <w:sz w:val="22"/>
          <w:szCs w:val="22"/>
        </w:rPr>
        <w:t>t“):</w:t>
      </w:r>
    </w:p>
    <w:p w:rsidR="00393BEB" w:rsidRPr="00507DA6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Koordinátor bude jednat jako zástupce projektu a v této roli bude zodpovídat za dodržení požadavků a realizaci projektu dle této smlouvy.</w:t>
      </w:r>
    </w:p>
    <w:p w:rsidR="00393BEB" w:rsidRPr="00507DA6" w:rsidRDefault="00393BEB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Koordinátor se zavazuje k plnění marketingových služeb pro partnera: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realizace aktivit dle schváleného rozpočtu a poskytování pravidelných informací o plnění dohodnutých aktivit kontaktní osobě jednotlivých cílů,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prezentace partnera ve společných tiskovinách projektu,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poskytnutí loga TOP cíl – Jižní Morava, jako značky kvality k propagaci partnera,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prezentace partnera během </w:t>
      </w:r>
      <w:proofErr w:type="spellStart"/>
      <w:r w:rsidRPr="00507DA6">
        <w:rPr>
          <w:rFonts w:ascii="Calibri" w:eastAsia="Calibri" w:hAnsi="Calibri" w:cs="Calibri"/>
          <w:sz w:val="22"/>
          <w:szCs w:val="22"/>
        </w:rPr>
        <w:t>famtripů</w:t>
      </w:r>
      <w:proofErr w:type="spellEnd"/>
      <w:r w:rsidRPr="00507DA6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507DA6">
        <w:rPr>
          <w:rFonts w:ascii="Calibri" w:eastAsia="Calibri" w:hAnsi="Calibri" w:cs="Calibri"/>
          <w:sz w:val="22"/>
          <w:szCs w:val="22"/>
        </w:rPr>
        <w:t>presstripů</w:t>
      </w:r>
      <w:proofErr w:type="spellEnd"/>
      <w:r w:rsidRPr="00507DA6">
        <w:rPr>
          <w:rFonts w:ascii="Calibri" w:eastAsia="Calibri" w:hAnsi="Calibri" w:cs="Calibri"/>
          <w:sz w:val="22"/>
          <w:szCs w:val="22"/>
        </w:rPr>
        <w:t xml:space="preserve"> pořádaných koordinátorem,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organizace pracovních schůzek, 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prezentace partnera a jeho nabídky na stránkách </w:t>
      </w:r>
      <w:hyperlink r:id="rId8">
        <w:r w:rsidRPr="00507DA6">
          <w:rPr>
            <w:rFonts w:ascii="Calibri" w:eastAsia="Calibri" w:hAnsi="Calibri" w:cs="Calibri"/>
            <w:sz w:val="22"/>
            <w:szCs w:val="22"/>
            <w:u w:val="single"/>
          </w:rPr>
          <w:t>www.jizni-morava.cz</w:t>
        </w:r>
      </w:hyperlink>
      <w:r w:rsidRPr="00507DA6">
        <w:rPr>
          <w:rFonts w:ascii="Calibri" w:eastAsia="Calibri" w:hAnsi="Calibri" w:cs="Calibri"/>
          <w:sz w:val="22"/>
          <w:szCs w:val="22"/>
        </w:rPr>
        <w:t xml:space="preserve">, 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propagace partnera na veletrzích cestovního ruchu (domácích i zahraničních),</w:t>
      </w:r>
    </w:p>
    <w:p w:rsidR="00393BEB" w:rsidRPr="00507DA6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 </w:t>
      </w: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smlouvy o partnerství a spolupráci a nelze je tedy po koordinátorovi vymáhat v nepřiměřeném rozsahu. </w:t>
      </w:r>
    </w:p>
    <w:p w:rsidR="00393BEB" w:rsidRPr="00507DA6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Partner se zavazuje aktivně spolupracovat na plnění a realizaci projektu tím, že: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poskytne vždy včas potřebné informace a podklady pro zpracování marketingových aktivit, přičemž odpovídá za obsah takto předložených informací a podkladů,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bude se aktivně zúčastňovat jednání partnerů (nejméně ze 75 %) prostřednictvím svého stálého zástupce pověřeného ke kompetenci rozhodovat, 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spolupracovat na naplnění záměru vybudovat síť partnerů, která umožní výměnu informací a zkušeností,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propagovat značku projektu, budovat její dobré jméno a využívat ji v souladu s pokyny majitele práv této značky (CCRJM),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propagovat a podporovat ostatní Top cíle jižní Moravy a bude schopen podat o nich základní informace,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dodávat aktuální informace a aktualizovat své webové stránky a další online kanály,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bude mít logo jižní Moravy a link na webové stránky </w:t>
      </w:r>
      <w:hyperlink r:id="rId9">
        <w:r w:rsidRPr="00507DA6">
          <w:rPr>
            <w:rFonts w:ascii="Calibri" w:eastAsia="Calibri" w:hAnsi="Calibri" w:cs="Calibri"/>
            <w:sz w:val="22"/>
            <w:szCs w:val="22"/>
            <w:u w:val="single"/>
          </w:rPr>
          <w:t>www.jizni-morava.cz</w:t>
        </w:r>
      </w:hyperlink>
      <w:r w:rsidRPr="00507DA6">
        <w:rPr>
          <w:rFonts w:ascii="Calibri" w:eastAsia="Calibri" w:hAnsi="Calibri" w:cs="Calibri"/>
          <w:sz w:val="22"/>
          <w:szCs w:val="22"/>
        </w:rPr>
        <w:t xml:space="preserve"> z vlastní webové stránky,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schopen poskytovat informace i v cizích jazycích (nejméně v němčině nebo angličtině),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klást důraz na vzdělávání lidských zdrojů a na zvyšování kvality poskytovaných služeb pro návštěvníky,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při vytváření nabídky zohledňovat specifické nároky některých skupin, např. dětí nebo tělesně postižených,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bude se snažit zkvalitňovat infrastrukturu TOP cíle, v rozsahu svých možností,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naplní a dodrží minimálně ta Kritéria Top cílů jižní Moravy, ke kterým se podpisem smlouvy zaváže a která jsou přílohou této smlouvy,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ustanoví svého stálého zástupce pro projekt a v případě jeho změny tuto skutečnost oznámí na e-mail </w:t>
      </w:r>
      <w:r w:rsidR="00063294">
        <w:t>XXXX</w:t>
      </w:r>
    </w:p>
    <w:p w:rsidR="00393BEB" w:rsidRPr="00507DA6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Koordinátor a partner se dohodli na následujícím způsobu financování: 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koordinátor bude hradit výdaje na společné marketingové služby, které vzniknou v rámci projektu a budou plánovány v odsouhlaseném rozpočtu partnery,</w:t>
      </w:r>
    </w:p>
    <w:p w:rsidR="00393BEB" w:rsidRPr="00507DA6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 partner.</w:t>
      </w:r>
    </w:p>
    <w:p w:rsidR="00393BEB" w:rsidRPr="00507DA6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Koordinátor a partner budou mít právo používat výsledky společné části projektu (např. tiskoviny, vizuály, fotky, videa…), výsledky určené konkrétní straně bude moci používat výhradně tato konkrétní strana, pokud se strany nedohodnou jinak. </w:t>
      </w:r>
    </w:p>
    <w:p w:rsidR="00393BEB" w:rsidRPr="00507DA6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Každému Top výletní cíl Jižní Morava budou zapůjčeny 3 ks karty, která opravňuje jeho zaměstnance k návštěvě partnerského Top výletního cíle Jižní Morava po jejím předložení na pokladně během běžné provozní doby. Karty nelze půjčovat třetím osobám, které nejsou v zaměstnaneckém poměru v daném Top výletním cíli Jižní Morava.</w:t>
      </w:r>
    </w:p>
    <w:p w:rsidR="00393BEB" w:rsidRPr="00507DA6" w:rsidRDefault="00393BEB" w:rsidP="0027214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Tato smlouva se uzavírá na dobu určitou, </w:t>
      </w:r>
      <w:r w:rsidRPr="00507DA6">
        <w:rPr>
          <w:rFonts w:ascii="Calibri" w:eastAsia="Calibri" w:hAnsi="Calibri" w:cs="Calibri"/>
          <w:b/>
          <w:sz w:val="22"/>
          <w:szCs w:val="22"/>
        </w:rPr>
        <w:t>a to od 1</w:t>
      </w:r>
      <w:r w:rsidR="000510D6" w:rsidRPr="00507DA6">
        <w:rPr>
          <w:rFonts w:ascii="Calibri" w:eastAsia="Calibri" w:hAnsi="Calibri" w:cs="Calibri"/>
          <w:b/>
          <w:sz w:val="22"/>
          <w:szCs w:val="22"/>
        </w:rPr>
        <w:t>5. 3. 2024 do 15. 3</w:t>
      </w:r>
      <w:r w:rsidRPr="00507DA6">
        <w:rPr>
          <w:rFonts w:ascii="Calibri" w:eastAsia="Calibri" w:hAnsi="Calibri" w:cs="Calibri"/>
          <w:b/>
          <w:sz w:val="22"/>
          <w:szCs w:val="22"/>
        </w:rPr>
        <w:t>. 2027.</w:t>
      </w:r>
    </w:p>
    <w:p w:rsidR="00393BEB" w:rsidRPr="00507DA6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Způsoby zániku této smlouvy jsou následující:</w:t>
      </w:r>
    </w:p>
    <w:p w:rsidR="00393BEB" w:rsidRPr="00507DA6" w:rsidRDefault="0090787D" w:rsidP="008A29AC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písemná dohoda obou smluvních stran,</w:t>
      </w:r>
    </w:p>
    <w:p w:rsidR="00393BEB" w:rsidRPr="008A29AC" w:rsidRDefault="0090787D" w:rsidP="008A29AC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písemná výpověď koordinátorem při porušování této smlouvy partnerem, nebylo-li v přiměřené lhůtě (nejdéle 1 měsíc) porušení partnerem napraveno ani na písemnou výzvu. Porušováním smlouvy ze strany partnera se rozumí nenaplňování Kritérií Top </w:t>
      </w:r>
      <w:r w:rsidRPr="00507DA6">
        <w:rPr>
          <w:rFonts w:ascii="Calibri" w:eastAsia="Calibri" w:hAnsi="Calibri" w:cs="Calibri"/>
          <w:sz w:val="22"/>
          <w:szCs w:val="22"/>
        </w:rPr>
        <w:lastRenderedPageBreak/>
        <w:t>cílů jižní Moravy, ke kterým se ve smlouvě zavázal nebo nezaplacení členského příspěvku,</w:t>
      </w:r>
    </w:p>
    <w:p w:rsidR="00393BEB" w:rsidRPr="00507DA6" w:rsidRDefault="0090787D" w:rsidP="008A29AC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výpověď ze strany partnera bez uvedení důvodu či odstoupení partnera v případě porušování podmínek smlouvy ze strany koordinátora,</w:t>
      </w:r>
    </w:p>
    <w:p w:rsidR="00393BEB" w:rsidRPr="00507DA6" w:rsidRDefault="0090787D" w:rsidP="008A29AC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skončení projektu „Top cíle – jižní Morava“.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Výpovědní lhůta podle písmen b) a c) činí 6 měsíců a začíná běžet od prvního dne měsíce následujícího po měsíci, v němž byla výpověď doručena druhé smluvní straně. Uplynutím výpovědní lhůty smluvní vztah zaniká, kromě z této smlouvy neuhrazených finančních nároků, které jsou strany povinny si vzájemně vyúčtovat i po ukončení této smlouvy. 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Partner se zavazuje podílet se na úhradě společných marketingových služeb k projektu částkou 10 000,- Kč za každý kalendářní rok. Vystavenou fakturu doručí koordinátor partnerovi elektronicky nejpozději do </w:t>
      </w:r>
      <w:proofErr w:type="gramStart"/>
      <w:r w:rsidRPr="00507DA6">
        <w:rPr>
          <w:rFonts w:ascii="Calibri" w:eastAsia="Calibri" w:hAnsi="Calibri" w:cs="Calibri"/>
          <w:sz w:val="22"/>
          <w:szCs w:val="22"/>
        </w:rPr>
        <w:t>31.3. každého</w:t>
      </w:r>
      <w:proofErr w:type="gramEnd"/>
      <w:r w:rsidRPr="00507DA6">
        <w:rPr>
          <w:rFonts w:ascii="Calibri" w:eastAsia="Calibri" w:hAnsi="Calibri" w:cs="Calibri"/>
          <w:sz w:val="22"/>
          <w:szCs w:val="22"/>
        </w:rPr>
        <w:t xml:space="preserve"> kalendářního roku se splatností minimálně 30 kalendářních dnů. Finanční prostředky partnera budou čerpány pouze na dohodnuté marketingové služby v daném roce. Případný zůstatek je nevratný.</w:t>
      </w:r>
    </w:p>
    <w:p w:rsidR="00393BEB" w:rsidRPr="00507DA6" w:rsidRDefault="00393BEB">
      <w:pPr>
        <w:ind w:left="360"/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Koordinátor a zástupci partnerů se schází minimálně 1x ročně za účelem schválení rozpočtu na další rok. Každý z partnerů má jeden hlas. Schůzi svolává koordinátor pozvánkou, kterou zašle všem partnerům na kontakt stálého zástupce. Program schůze je součástí pozvánky. </w:t>
      </w:r>
    </w:p>
    <w:p w:rsidR="00393BEB" w:rsidRPr="00507DA6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Schůze je usnášeníschopná, jsou-li přítomni zástupci partnerů, kteří mají nadpoloviční většinu hlasů všech zapojených partnerů, a koordinátor.</w:t>
      </w:r>
    </w:p>
    <w:p w:rsidR="00393BEB" w:rsidRPr="00507DA6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393BEB" w:rsidRPr="00507DA6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V případě potřeby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393BEB" w:rsidRPr="00507DA6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393BEB" w:rsidRPr="00507DA6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Při rozhodování dle odst. 13. je umožněno rozhodování „per </w:t>
      </w:r>
      <w:proofErr w:type="spellStart"/>
      <w:r w:rsidRPr="00507DA6">
        <w:rPr>
          <w:rFonts w:ascii="Calibri" w:eastAsia="Calibri" w:hAnsi="Calibri" w:cs="Calibri"/>
          <w:sz w:val="22"/>
          <w:szCs w:val="22"/>
        </w:rPr>
        <w:t>rollam</w:t>
      </w:r>
      <w:proofErr w:type="spellEnd"/>
      <w:r w:rsidRPr="00507DA6">
        <w:rPr>
          <w:rFonts w:ascii="Calibri" w:eastAsia="Calibri" w:hAnsi="Calibri" w:cs="Calibri"/>
          <w:sz w:val="22"/>
          <w:szCs w:val="22"/>
        </w:rPr>
        <w:t xml:space="preserve">“. V tomto případě koordinátor zašle návrh rozhodnutí všem partnerům. </w:t>
      </w:r>
    </w:p>
    <w:p w:rsidR="00872135" w:rsidRPr="00507DA6" w:rsidRDefault="0087213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Návrh rozhodnutí obsahuje zejména: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lhůtu pro doručení vyjádření partnera,</w:t>
      </w:r>
    </w:p>
    <w:p w:rsidR="00393BEB" w:rsidRPr="00507DA6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podklady potřebné pro přijetí rozhodnutí,</w:t>
      </w:r>
    </w:p>
    <w:p w:rsidR="00393BEB" w:rsidRPr="00507DA6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další údaje, jsou-li potřeba.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Nedoručí-li partner ve stanovené lhůtě koordinátorovi souhlas či nesouhlas s návrhem rozhodnutí, platí, že s návrhem souhlasí. 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Většina se počítá z celkového počtu hlasů všech partnerů.</w:t>
      </w:r>
    </w:p>
    <w:p w:rsidR="00393BEB" w:rsidRPr="00507DA6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lastRenderedPageBreak/>
        <w:t xml:space="preserve">Rozhodnutí včetně dne jeho přijetí oznámí koordinátor všem partnerům bez zbytečného odkladu ode dne jeho přijetí.  </w:t>
      </w:r>
    </w:p>
    <w:p w:rsidR="00393BEB" w:rsidRPr="00507DA6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Strany se zavazují, že bez písemného souhlasu dotčené strany neposkytnou třetím osobám, které se nepodílí na projektu, žádné informace obchodního nebo technického charakteru vyplývající z této smlouvy.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Koordinátor je oprávněn užívat poskytnutý obrazový materiál partnerem výlučně pro účely propagace daného TOP cíle. Obrazový materiál může postoupit třetí straně, pokud jeho využití bude i nadále sloužit propagaci daného TOP cíle.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510D6" w:rsidRPr="00507DA6" w:rsidRDefault="000510D6" w:rsidP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Tato smlouva podléhá povinnosti uveřejnění dle zákona č. 340/2015 Sb., o zvláštních podmínkách účinnosti některých smluv, uveřejňování těchto smluv a o registru smluv (zákon o registru smluv) a nabude účinnosti dnem uveřejnění a její uveřejnění zajistí partner. Smluvní strany berou na vědomí, že tato smlouva může být předmětem zveřejnění i dle jiných právních předpisů.</w:t>
      </w:r>
    </w:p>
    <w:p w:rsidR="000510D6" w:rsidRPr="00507DA6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0510D6" w:rsidP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  <w:r w:rsidR="0090787D" w:rsidRPr="00507DA6">
        <w:rPr>
          <w:rFonts w:ascii="Calibri" w:eastAsia="Calibri" w:hAnsi="Calibri" w:cs="Calibri"/>
          <w:sz w:val="22"/>
          <w:szCs w:val="22"/>
        </w:rPr>
        <w:t xml:space="preserve"> 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Nedílnou součástí Smlouvy o partnerství a spolupráci jsou Kritéria pro TOP cíle Jižní Morava, k jejichž naplnění a dodržení se minimálně dle vyplněných Kritérií Top cílů – jižní Morava partner zavazuje.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 xml:space="preserve"> Smlouvu o partnerství a spolupráci lze měnit pouze formou písemných číslovaných dodatků.</w:t>
      </w:r>
    </w:p>
    <w:p w:rsidR="00393BEB" w:rsidRPr="00507DA6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Tato partnersk</w:t>
      </w:r>
      <w:r w:rsidR="000510D6" w:rsidRPr="00507DA6">
        <w:rPr>
          <w:rFonts w:ascii="Calibri" w:eastAsia="Calibri" w:hAnsi="Calibri" w:cs="Calibri"/>
          <w:sz w:val="22"/>
          <w:szCs w:val="22"/>
        </w:rPr>
        <w:t>á smlouva je vypracována ve čtyřech vyhotoveních, z nichž dvě si ponechá koordinátor a dvě</w:t>
      </w:r>
      <w:r w:rsidRPr="00507DA6">
        <w:rPr>
          <w:rFonts w:ascii="Calibri" w:eastAsia="Calibri" w:hAnsi="Calibri" w:cs="Calibri"/>
          <w:sz w:val="22"/>
          <w:szCs w:val="22"/>
        </w:rPr>
        <w:t xml:space="preserve"> partner. </w:t>
      </w:r>
    </w:p>
    <w:p w:rsidR="000510D6" w:rsidRPr="00507DA6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510D6" w:rsidRPr="00507DA6" w:rsidRDefault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Informace k ochraně osobních údajů jsou ze strany NPÚ uveřejněny na webových stránkách www.npu.cz v sekci „Ochrana osobních údajů“.</w:t>
      </w:r>
    </w:p>
    <w:p w:rsidR="000510D6" w:rsidRPr="00507DA6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510D6" w:rsidRPr="00507DA6" w:rsidRDefault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93BEB" w:rsidRPr="00507DA6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0510D6" w:rsidRPr="00507DA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507DA6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 w:rsidRPr="00507DA6">
        <w:rPr>
          <w:rFonts w:ascii="Calibri" w:eastAsia="Calibri" w:hAnsi="Calibri" w:cs="Calibri"/>
          <w:sz w:val="22"/>
          <w:szCs w:val="22"/>
        </w:rPr>
        <w:t>Příloha č. 1: Kritéria pro TOP cíle – jižní Morava</w:t>
      </w:r>
    </w:p>
    <w:p w:rsidR="00393BEB" w:rsidRPr="00507DA6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3BEB" w:rsidRPr="008A29AC" w:rsidRDefault="00393BEB">
      <w:pPr>
        <w:tabs>
          <w:tab w:val="left" w:pos="7493"/>
          <w:tab w:val="left" w:pos="62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8A29AC" w:rsidP="008A29AC">
      <w:pPr>
        <w:tabs>
          <w:tab w:val="left" w:pos="482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>V Brně dne 15. 3. 202</w:t>
      </w:r>
      <w:r w:rsidR="00063294">
        <w:rPr>
          <w:rFonts w:asciiTheme="minorHAnsi" w:eastAsia="Calibri" w:hAnsiTheme="minorHAnsi" w:cstheme="minorHAnsi"/>
          <w:sz w:val="22"/>
          <w:szCs w:val="22"/>
        </w:rPr>
        <w:t>4</w:t>
      </w:r>
      <w:bookmarkStart w:id="0" w:name="_GoBack"/>
      <w:bookmarkEnd w:id="0"/>
      <w:r w:rsidRPr="008A29AC">
        <w:rPr>
          <w:rFonts w:asciiTheme="minorHAnsi" w:eastAsia="Calibri" w:hAnsiTheme="minorHAnsi" w:cstheme="minorHAnsi"/>
          <w:sz w:val="22"/>
          <w:szCs w:val="22"/>
        </w:rPr>
        <w:tab/>
      </w:r>
      <w:r w:rsidR="000510D6" w:rsidRPr="008A29AC">
        <w:rPr>
          <w:rFonts w:asciiTheme="minorHAnsi" w:eastAsia="Calibri" w:hAnsiTheme="minorHAnsi" w:cstheme="minorHAnsi"/>
          <w:sz w:val="22"/>
          <w:szCs w:val="22"/>
        </w:rPr>
        <w:t>V Kroměříži</w:t>
      </w:r>
      <w:r w:rsidR="0090787D" w:rsidRPr="008A29AC">
        <w:rPr>
          <w:rFonts w:asciiTheme="minorHAnsi" w:eastAsia="Calibri" w:hAnsiTheme="minorHAnsi" w:cstheme="minorHAnsi"/>
          <w:sz w:val="22"/>
          <w:szCs w:val="22"/>
        </w:rPr>
        <w:t xml:space="preserve"> dne</w:t>
      </w:r>
      <w:r w:rsidR="000510D6" w:rsidRPr="008A29AC">
        <w:rPr>
          <w:rFonts w:asciiTheme="minorHAnsi" w:eastAsia="Calibri" w:hAnsiTheme="minorHAnsi" w:cstheme="minorHAnsi"/>
          <w:sz w:val="22"/>
          <w:szCs w:val="22"/>
        </w:rPr>
        <w:t xml:space="preserve"> 14. 3. 2024</w:t>
      </w:r>
    </w:p>
    <w:p w:rsidR="00393BEB" w:rsidRPr="008A29AC" w:rsidRDefault="00393BE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90787D" w:rsidP="008A29AC">
      <w:pPr>
        <w:tabs>
          <w:tab w:val="left" w:pos="482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>Za koordinátora:</w:t>
      </w:r>
      <w:r w:rsidRPr="008A29AC">
        <w:rPr>
          <w:rFonts w:asciiTheme="minorHAnsi" w:eastAsia="Calibri" w:hAnsiTheme="minorHAnsi" w:cstheme="minorHAnsi"/>
          <w:sz w:val="22"/>
          <w:szCs w:val="22"/>
        </w:rPr>
        <w:tab/>
        <w:t>Za partnera:</w:t>
      </w:r>
    </w:p>
    <w:p w:rsidR="00393BEB" w:rsidRPr="008A29AC" w:rsidRDefault="00393BEB">
      <w:pPr>
        <w:tabs>
          <w:tab w:val="left" w:pos="62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393BEB">
      <w:pPr>
        <w:tabs>
          <w:tab w:val="left" w:pos="62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393BEB">
      <w:pPr>
        <w:tabs>
          <w:tab w:val="left" w:pos="62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393BEB">
      <w:pPr>
        <w:tabs>
          <w:tab w:val="left" w:pos="621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393BE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93BEB" w:rsidRPr="008A29AC" w:rsidRDefault="0090787D">
      <w:pPr>
        <w:tabs>
          <w:tab w:val="center" w:pos="7643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>. . . . . . . . . . . . . . . . . . . . . . . . . . . . . . . . . . . . . . .</w:t>
      </w:r>
      <w:r w:rsidRPr="008A29AC">
        <w:rPr>
          <w:rFonts w:asciiTheme="minorHAnsi" w:eastAsia="Calibri" w:hAnsiTheme="minorHAnsi" w:cstheme="minorHAnsi"/>
          <w:sz w:val="22"/>
          <w:szCs w:val="22"/>
        </w:rPr>
        <w:tab/>
        <w:t>. . . . . . . . . . . . . . . . . . . . . . . . . . . . . . . . . . . . . . .</w:t>
      </w:r>
    </w:p>
    <w:p w:rsidR="00393BEB" w:rsidRPr="008A29AC" w:rsidRDefault="0090787D" w:rsidP="004A20E6">
      <w:pPr>
        <w:tabs>
          <w:tab w:val="left" w:pos="652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 xml:space="preserve">  Centrála cestovního ruchu – Jižní </w:t>
      </w:r>
      <w:proofErr w:type="gramStart"/>
      <w:r w:rsidRPr="008A29AC">
        <w:rPr>
          <w:rFonts w:asciiTheme="minorHAnsi" w:eastAsia="Calibri" w:hAnsiTheme="minorHAnsi" w:cstheme="minorHAnsi"/>
          <w:sz w:val="22"/>
          <w:szCs w:val="22"/>
        </w:rPr>
        <w:t xml:space="preserve">Morava, </w:t>
      </w:r>
      <w:proofErr w:type="spellStart"/>
      <w:r w:rsidRPr="008A29AC">
        <w:rPr>
          <w:rFonts w:asciiTheme="minorHAnsi" w:eastAsia="Calibri" w:hAnsiTheme="minorHAnsi" w:cstheme="minorHAnsi"/>
          <w:sz w:val="22"/>
          <w:szCs w:val="22"/>
        </w:rPr>
        <w:t>z.s.</w:t>
      </w:r>
      <w:proofErr w:type="gramEnd"/>
      <w:r w:rsidRPr="008A29AC">
        <w:rPr>
          <w:rFonts w:asciiTheme="minorHAnsi" w:eastAsia="Calibri" w:hAnsiTheme="minorHAnsi" w:cstheme="minorHAnsi"/>
          <w:sz w:val="22"/>
          <w:szCs w:val="22"/>
        </w:rPr>
        <w:t>p.o</w:t>
      </w:r>
      <w:proofErr w:type="spellEnd"/>
      <w:r w:rsidRPr="008A29AC">
        <w:rPr>
          <w:rFonts w:asciiTheme="minorHAnsi" w:eastAsia="Calibri" w:hAnsiTheme="minorHAnsi" w:cstheme="minorHAnsi"/>
          <w:sz w:val="22"/>
          <w:szCs w:val="22"/>
        </w:rPr>
        <w:t>.</w:t>
      </w:r>
      <w:r w:rsidR="004A20E6" w:rsidRPr="008A29AC">
        <w:rPr>
          <w:rFonts w:asciiTheme="minorHAnsi" w:eastAsia="Calibri" w:hAnsiTheme="minorHAnsi" w:cstheme="minorHAnsi"/>
          <w:sz w:val="22"/>
          <w:szCs w:val="22"/>
        </w:rPr>
        <w:tab/>
      </w:r>
      <w:r w:rsidR="000510D6" w:rsidRPr="008A29AC">
        <w:rPr>
          <w:rFonts w:asciiTheme="minorHAnsi" w:eastAsia="Calibri" w:hAnsiTheme="minorHAnsi" w:cstheme="minorHAnsi"/>
          <w:sz w:val="22"/>
          <w:szCs w:val="22"/>
        </w:rPr>
        <w:t xml:space="preserve">    partner</w:t>
      </w:r>
    </w:p>
    <w:p w:rsidR="00393BEB" w:rsidRPr="008A29AC" w:rsidRDefault="008A29AC" w:rsidP="004A20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6946"/>
          <w:tab w:val="center" w:pos="7513"/>
          <w:tab w:val="right" w:pos="9072"/>
          <w:tab w:val="left" w:pos="667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="000510D6" w:rsidRPr="008A29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 xml:space="preserve">Bc. Martina </w:t>
      </w:r>
      <w:proofErr w:type="spellStart"/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>Grůzová</w:t>
      </w:r>
      <w:proofErr w:type="spellEnd"/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proofErr w:type="spellStart"/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>MSc</w:t>
      </w:r>
      <w:proofErr w:type="spellEnd"/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8A29AC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8A29AC">
        <w:rPr>
          <w:rFonts w:asciiTheme="minorHAnsi" w:eastAsia="Calibri" w:hAnsiTheme="minorHAnsi" w:cstheme="minorHAnsi"/>
          <w:sz w:val="22"/>
          <w:szCs w:val="22"/>
        </w:rPr>
        <w:t xml:space="preserve"> ředitelka</w:t>
      </w:r>
      <w:r w:rsidR="000510D6" w:rsidRPr="008A29AC">
        <w:rPr>
          <w:rFonts w:asciiTheme="minorHAnsi" w:eastAsia="Calibri" w:hAnsiTheme="minorHAnsi" w:cstheme="minorHAnsi"/>
          <w:sz w:val="22"/>
          <w:szCs w:val="22"/>
        </w:rPr>
        <w:t xml:space="preserve">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</w:t>
      </w:r>
      <w:r w:rsidR="000510D6" w:rsidRPr="008A29AC">
        <w:rPr>
          <w:rFonts w:asciiTheme="minorHAnsi" w:eastAsia="Calibri" w:hAnsiTheme="minorHAnsi" w:cstheme="minorHAnsi"/>
          <w:b/>
          <w:sz w:val="22"/>
          <w:szCs w:val="22"/>
        </w:rPr>
        <w:t>Ing. Petr Šub</w:t>
      </w:r>
      <w:r w:rsidRPr="008A29AC">
        <w:rPr>
          <w:rFonts w:asciiTheme="minorHAnsi" w:eastAsia="Calibri" w:hAnsiTheme="minorHAnsi" w:cstheme="minorHAnsi"/>
          <w:b/>
          <w:sz w:val="22"/>
          <w:szCs w:val="22"/>
        </w:rPr>
        <w:t>ík,</w:t>
      </w:r>
      <w:r w:rsidRPr="008A29AC">
        <w:rPr>
          <w:rFonts w:asciiTheme="minorHAnsi" w:eastAsia="Calibri" w:hAnsiTheme="minorHAnsi" w:cstheme="minorHAnsi"/>
          <w:sz w:val="22"/>
          <w:szCs w:val="22"/>
        </w:rPr>
        <w:t xml:space="preserve"> ředitel NPÚ ÚPS v Kroměříži</w:t>
      </w:r>
      <w:r w:rsidR="0090787D" w:rsidRPr="008A29AC">
        <w:rPr>
          <w:rFonts w:asciiTheme="minorHAnsi" w:eastAsia="Calibri" w:hAnsiTheme="minorHAnsi" w:cstheme="minorHAnsi"/>
          <w:sz w:val="22"/>
          <w:szCs w:val="22"/>
        </w:rPr>
        <w:tab/>
      </w:r>
    </w:p>
    <w:p w:rsidR="00393BEB" w:rsidRPr="008A29AC" w:rsidRDefault="004A20E6" w:rsidP="004A20E6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  <w:tab w:val="left" w:pos="6379"/>
          <w:tab w:val="center" w:pos="6804"/>
          <w:tab w:val="right" w:pos="9072"/>
          <w:tab w:val="left" w:pos="62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AC">
        <w:rPr>
          <w:rFonts w:asciiTheme="minorHAnsi" w:eastAsia="Calibri" w:hAnsiTheme="minorHAnsi" w:cstheme="minorHAnsi"/>
          <w:sz w:val="22"/>
          <w:szCs w:val="22"/>
        </w:rPr>
        <w:tab/>
      </w:r>
    </w:p>
    <w:sectPr w:rsidR="00393BEB" w:rsidRPr="008A29AC" w:rsidSect="00E05CDC">
      <w:headerReference w:type="default" r:id="rId10"/>
      <w:footerReference w:type="even" r:id="rId11"/>
      <w:footerReference w:type="default" r:id="rId12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5B" w:rsidRDefault="00954C5B">
      <w:r>
        <w:separator/>
      </w:r>
    </w:p>
  </w:endnote>
  <w:endnote w:type="continuationSeparator" w:id="0">
    <w:p w:rsidR="00954C5B" w:rsidRDefault="0095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EB" w:rsidRDefault="00FC56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90787D">
      <w:rPr>
        <w:color w:val="000000"/>
      </w:rPr>
      <w:instrText>PAGE</w:instrText>
    </w:r>
    <w:r>
      <w:rPr>
        <w:color w:val="000000"/>
      </w:rPr>
      <w:fldChar w:fldCharType="end"/>
    </w:r>
  </w:p>
  <w:p w:rsidR="00393BEB" w:rsidRDefault="00393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EB" w:rsidRDefault="00FC56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20"/>
        <w:szCs w:val="20"/>
      </w:rPr>
      <w:fldChar w:fldCharType="begin"/>
    </w:r>
    <w:r w:rsidR="0090787D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3294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393BEB" w:rsidRDefault="00393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5B" w:rsidRDefault="00954C5B">
      <w:r>
        <w:separator/>
      </w:r>
    </w:p>
  </w:footnote>
  <w:footnote w:type="continuationSeparator" w:id="0">
    <w:p w:rsidR="00954C5B" w:rsidRDefault="0095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D6" w:rsidRPr="008A29AC" w:rsidRDefault="008A29AC" w:rsidP="008A29AC">
    <w:pPr>
      <w:pStyle w:val="Zhlav"/>
      <w:jc w:val="right"/>
      <w:rPr>
        <w:rFonts w:asciiTheme="minorHAnsi" w:hAnsiTheme="minorHAnsi" w:cstheme="minorHAnsi"/>
        <w:sz w:val="20"/>
      </w:rPr>
    </w:pPr>
    <w:r w:rsidRPr="008A29AC">
      <w:rPr>
        <w:rFonts w:asciiTheme="minorHAnsi" w:hAnsiTheme="minorHAnsi" w:cstheme="minorHAnsi"/>
        <w:sz w:val="20"/>
      </w:rPr>
      <w:t>NPU-450/23985/2024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12E"/>
    <w:multiLevelType w:val="multilevel"/>
    <w:tmpl w:val="D67C0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B"/>
    <w:rsid w:val="000510D6"/>
    <w:rsid w:val="00063294"/>
    <w:rsid w:val="0027214E"/>
    <w:rsid w:val="002A2C26"/>
    <w:rsid w:val="003541B8"/>
    <w:rsid w:val="00393BEB"/>
    <w:rsid w:val="004A20E6"/>
    <w:rsid w:val="00507DA6"/>
    <w:rsid w:val="00517620"/>
    <w:rsid w:val="00872135"/>
    <w:rsid w:val="008A29AC"/>
    <w:rsid w:val="0090787D"/>
    <w:rsid w:val="00954C5B"/>
    <w:rsid w:val="00A4381A"/>
    <w:rsid w:val="00A9259F"/>
    <w:rsid w:val="00BE226D"/>
    <w:rsid w:val="00D83CF9"/>
    <w:rsid w:val="00E05CDC"/>
    <w:rsid w:val="00E51689"/>
    <w:rsid w:val="00E52FC3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DA0"/>
  <w15:docId w15:val="{19EA2AD7-7BBC-40ED-BC9C-773B5038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A7EA8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05C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05C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05CD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05C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05C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05C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05C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5CDC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E05CDC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8B775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1EA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rsid w:val="00E05C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05CDC"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E05CD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5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0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-mo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/bm5C3RZGGIpTlYtCNZX6mQfeQ==">CgMxLjA4AHIhMU9LemZncEVVa1Buc21odW9raEFZRGxESjVXWjFMMTZM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Hlávková</dc:creator>
  <cp:lastModifiedBy>-</cp:lastModifiedBy>
  <cp:revision>2</cp:revision>
  <cp:lastPrinted>2024-03-14T10:31:00Z</cp:lastPrinted>
  <dcterms:created xsi:type="dcterms:W3CDTF">2024-03-19T09:31:00Z</dcterms:created>
  <dcterms:modified xsi:type="dcterms:W3CDTF">2024-03-19T09:31:00Z</dcterms:modified>
</cp:coreProperties>
</file>