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13" w:rsidRDefault="00712B06">
      <w:pPr>
        <w:pStyle w:val="Nadpis10"/>
        <w:keepNext/>
        <w:keepLines/>
        <w:shd w:val="clear" w:color="auto" w:fill="auto"/>
        <w:jc w:val="both"/>
      </w:pPr>
      <w:bookmarkStart w:id="0" w:name="bookmark0"/>
      <w:bookmarkStart w:id="1" w:name="bookmark1"/>
      <w:r>
        <w:t>Dodatek č. 1 ke Smlouvě o poskytnutí části výtěžku veřejné sbírky</w:t>
      </w:r>
      <w:bookmarkEnd w:id="0"/>
      <w:bookmarkEnd w:id="1"/>
    </w:p>
    <w:p w:rsidR="00617313" w:rsidRDefault="00712B06">
      <w:pPr>
        <w:pStyle w:val="Zkladntext1"/>
        <w:shd w:val="clear" w:color="auto" w:fill="auto"/>
        <w:spacing w:after="0"/>
        <w:jc w:val="center"/>
      </w:pPr>
      <w:r>
        <w:t>uzavřené dne 15. 11. 2023 (dále jen „Dodatek“)</w:t>
      </w:r>
    </w:p>
    <w:p w:rsidR="00617313" w:rsidRDefault="00712B06">
      <w:pPr>
        <w:pStyle w:val="Zkladntext1"/>
        <w:shd w:val="clear" w:color="auto" w:fill="auto"/>
        <w:spacing w:after="260"/>
        <w:jc w:val="center"/>
      </w:pPr>
      <w:r>
        <w:t>mezi smluvními stranami</w:t>
      </w:r>
    </w:p>
    <w:p w:rsidR="00617313" w:rsidRDefault="00712B06">
      <w:pPr>
        <w:pStyle w:val="Zkladntext1"/>
        <w:numPr>
          <w:ilvl w:val="0"/>
          <w:numId w:val="1"/>
        </w:numPr>
        <w:shd w:val="clear" w:color="auto" w:fill="auto"/>
        <w:tabs>
          <w:tab w:val="left" w:pos="365"/>
        </w:tabs>
      </w:pPr>
      <w:r>
        <w:rPr>
          <w:b/>
          <w:bCs/>
        </w:rPr>
        <w:t>Pořadatel</w:t>
      </w:r>
    </w:p>
    <w:p w:rsidR="00617313" w:rsidRDefault="00712B06">
      <w:pPr>
        <w:pStyle w:val="Nadpis20"/>
        <w:keepNext/>
        <w:keepLines/>
        <w:shd w:val="clear" w:color="auto" w:fill="auto"/>
        <w:spacing w:after="0"/>
        <w:jc w:val="left"/>
      </w:pPr>
      <w:bookmarkStart w:id="2" w:name="bookmark2"/>
      <w:bookmarkStart w:id="3" w:name="bookmark3"/>
      <w:proofErr w:type="spellStart"/>
      <w:r>
        <w:t>Donio</w:t>
      </w:r>
      <w:proofErr w:type="spellEnd"/>
      <w:r>
        <w:t xml:space="preserve"> s.r.o.</w:t>
      </w:r>
      <w:bookmarkEnd w:id="2"/>
      <w:bookmarkEnd w:id="3"/>
    </w:p>
    <w:p w:rsidR="00617313" w:rsidRDefault="00712B06">
      <w:pPr>
        <w:pStyle w:val="Zkladntext1"/>
        <w:shd w:val="clear" w:color="auto" w:fill="auto"/>
        <w:spacing w:after="0"/>
      </w:pPr>
      <w:r>
        <w:t>se sídlem Bucharova 2928/14a, 158 00 Praha 5</w:t>
      </w:r>
    </w:p>
    <w:p w:rsidR="00617313" w:rsidRDefault="00712B06">
      <w:pPr>
        <w:pStyle w:val="Zkladntext1"/>
        <w:shd w:val="clear" w:color="auto" w:fill="auto"/>
        <w:spacing w:after="0"/>
      </w:pPr>
      <w:r>
        <w:t>IČ: 08413371, DIČ: 08413371</w:t>
      </w:r>
    </w:p>
    <w:p w:rsidR="00617313" w:rsidRPr="00A37A16" w:rsidRDefault="00712B06">
      <w:pPr>
        <w:pStyle w:val="Zkladntext1"/>
        <w:shd w:val="clear" w:color="auto" w:fill="auto"/>
        <w:spacing w:after="0"/>
      </w:pPr>
      <w:r>
        <w:t xml:space="preserve">zapsaná v obchodním rejstříku vedeném Městským soudem v Praze, oddíl C, vložka 317514 zastoupená: </w:t>
      </w:r>
      <w:r w:rsidRPr="00A37A16">
        <w:t>XXXX</w:t>
      </w:r>
    </w:p>
    <w:p w:rsidR="00617313" w:rsidRPr="00A37A16" w:rsidRDefault="00712B06">
      <w:pPr>
        <w:pStyle w:val="Zkladntext1"/>
        <w:shd w:val="clear" w:color="auto" w:fill="auto"/>
        <w:spacing w:after="260"/>
      </w:pPr>
      <w:r w:rsidRPr="00A37A16">
        <w:t>(dále jen „pořadatel“)</w:t>
      </w:r>
    </w:p>
    <w:p w:rsidR="00617313" w:rsidRPr="00A37A16" w:rsidRDefault="00712B06">
      <w:pPr>
        <w:pStyle w:val="Zkladntext1"/>
        <w:shd w:val="clear" w:color="auto" w:fill="auto"/>
        <w:spacing w:after="260"/>
        <w:ind w:firstLine="840"/>
        <w:jc w:val="both"/>
      </w:pPr>
      <w:r w:rsidRPr="00A37A16">
        <w:t>a</w:t>
      </w:r>
      <w:bookmarkStart w:id="4" w:name="_GoBack"/>
      <w:bookmarkEnd w:id="4"/>
    </w:p>
    <w:p w:rsidR="00617313" w:rsidRPr="00A37A16" w:rsidRDefault="00712B06">
      <w:pPr>
        <w:pStyle w:val="Zkladntext1"/>
        <w:numPr>
          <w:ilvl w:val="0"/>
          <w:numId w:val="1"/>
        </w:numPr>
        <w:shd w:val="clear" w:color="auto" w:fill="auto"/>
        <w:tabs>
          <w:tab w:val="left" w:pos="365"/>
        </w:tabs>
      </w:pPr>
      <w:r w:rsidRPr="00A37A16">
        <w:rPr>
          <w:b/>
          <w:bCs/>
        </w:rPr>
        <w:t>Příjemce:</w:t>
      </w:r>
    </w:p>
    <w:p w:rsidR="00617313" w:rsidRPr="00A37A16" w:rsidRDefault="00712B06">
      <w:pPr>
        <w:pStyle w:val="Zkladntext1"/>
        <w:shd w:val="clear" w:color="auto" w:fill="auto"/>
        <w:spacing w:after="0"/>
      </w:pPr>
      <w:r w:rsidRPr="00A37A16">
        <w:rPr>
          <w:b/>
          <w:bCs/>
        </w:rPr>
        <w:t>Nemocnice Nové Město na Moravě, příspěvková organizace</w:t>
      </w:r>
    </w:p>
    <w:p w:rsidR="00617313" w:rsidRPr="00A37A16" w:rsidRDefault="00712B06">
      <w:pPr>
        <w:pStyle w:val="Zkladntext1"/>
        <w:shd w:val="clear" w:color="auto" w:fill="auto"/>
        <w:spacing w:after="0"/>
      </w:pPr>
      <w:r w:rsidRPr="00A37A16">
        <w:t>se sídlem Žďárská 610, 592 31 Nové Město na Moravě</w:t>
      </w:r>
    </w:p>
    <w:p w:rsidR="00617313" w:rsidRPr="00A37A16" w:rsidRDefault="00712B06">
      <w:pPr>
        <w:pStyle w:val="Zkladntext1"/>
        <w:shd w:val="clear" w:color="auto" w:fill="auto"/>
        <w:spacing w:after="0"/>
      </w:pPr>
      <w:r w:rsidRPr="00A37A16">
        <w:t>IČ: 00842001, DIČ: CZ00842001</w:t>
      </w:r>
    </w:p>
    <w:p w:rsidR="00617313" w:rsidRPr="00A37A16" w:rsidRDefault="00712B06">
      <w:pPr>
        <w:pStyle w:val="Zkladntext1"/>
        <w:shd w:val="clear" w:color="auto" w:fill="auto"/>
        <w:spacing w:after="0"/>
      </w:pPr>
      <w:r w:rsidRPr="00A37A16">
        <w:t xml:space="preserve">zapsaná v obchodním rejstříku vedeném Krajským soudem v Brně, oddíl </w:t>
      </w:r>
      <w:proofErr w:type="spellStart"/>
      <w:r w:rsidRPr="00A37A16">
        <w:t>Pr</w:t>
      </w:r>
      <w:proofErr w:type="spellEnd"/>
      <w:r w:rsidRPr="00A37A16">
        <w:t>, vložka 1446 zastoupená: XXXX</w:t>
      </w:r>
    </w:p>
    <w:p w:rsidR="00617313" w:rsidRDefault="00712B06">
      <w:pPr>
        <w:pStyle w:val="Zkladntext1"/>
        <w:shd w:val="clear" w:color="auto" w:fill="auto"/>
        <w:spacing w:after="0"/>
      </w:pPr>
      <w:r w:rsidRPr="00A37A16">
        <w:t>(dále jen „příjemce“)</w:t>
      </w:r>
    </w:p>
    <w:p w:rsidR="00617313" w:rsidRDefault="00712B06">
      <w:pPr>
        <w:pStyle w:val="Zkladntext1"/>
        <w:shd w:val="clear" w:color="auto" w:fill="auto"/>
        <w:spacing w:after="260"/>
      </w:pPr>
      <w:r>
        <w:t>(společně též jako „smluvní strany“)</w:t>
      </w:r>
    </w:p>
    <w:p w:rsidR="00617313" w:rsidRDefault="00712B06">
      <w:pPr>
        <w:pStyle w:val="Zkladntext1"/>
        <w:shd w:val="clear" w:color="auto" w:fill="auto"/>
        <w:spacing w:after="0"/>
        <w:jc w:val="center"/>
      </w:pPr>
      <w:r>
        <w:rPr>
          <w:b/>
          <w:bCs/>
        </w:rPr>
        <w:t>1.</w:t>
      </w:r>
    </w:p>
    <w:p w:rsidR="00617313" w:rsidRDefault="00712B06">
      <w:pPr>
        <w:pStyle w:val="Nadpis20"/>
        <w:keepNext/>
        <w:keepLines/>
        <w:shd w:val="clear" w:color="auto" w:fill="auto"/>
      </w:pPr>
      <w:bookmarkStart w:id="5" w:name="bookmark4"/>
      <w:bookmarkStart w:id="6" w:name="bookmark5"/>
      <w:r>
        <w:t>Úvodní ustanovení</w:t>
      </w:r>
      <w:bookmarkEnd w:id="5"/>
      <w:bookmarkEnd w:id="6"/>
    </w:p>
    <w:p w:rsidR="00617313" w:rsidRDefault="00712B06">
      <w:pPr>
        <w:pStyle w:val="Zkladntext1"/>
        <w:numPr>
          <w:ilvl w:val="0"/>
          <w:numId w:val="2"/>
        </w:numPr>
        <w:shd w:val="clear" w:color="auto" w:fill="auto"/>
        <w:tabs>
          <w:tab w:val="left" w:pos="365"/>
        </w:tabs>
        <w:spacing w:after="100"/>
        <w:ind w:left="440" w:hanging="440"/>
        <w:jc w:val="both"/>
      </w:pPr>
      <w:r>
        <w:t>Pořadatel počínaje dnem 27. 2. 2020 pořádá veřejnou sbírku pod označením „pomoc lidem v těžké situaci a podpora právnických osob“ na základě osvědčení vydaného Magistrátem hlavního města Prahy dne 27. 2. 2020 (dále jen „veřejná sbírka“).</w:t>
      </w:r>
    </w:p>
    <w:p w:rsidR="00617313" w:rsidRDefault="00712B06">
      <w:pPr>
        <w:pStyle w:val="Zkladntext1"/>
        <w:numPr>
          <w:ilvl w:val="0"/>
          <w:numId w:val="2"/>
        </w:numPr>
        <w:shd w:val="clear" w:color="auto" w:fill="auto"/>
        <w:tabs>
          <w:tab w:val="left" w:pos="365"/>
        </w:tabs>
        <w:spacing w:after="100"/>
        <w:ind w:left="440" w:hanging="440"/>
        <w:jc w:val="both"/>
      </w:pPr>
      <w:r>
        <w:t xml:space="preserve">Smluvní strany uzavřely dne 15. 11. 2023 Smlouvu o poskytnutí části výtěžku veřejné sbírky (dále jen „Smlouva“), jejímž předmětem je závazek pořadatele převést část čistého výtěžku veřejné sbírky ve výši 130 600 Kč (dále jen „část výtěžku“) do vlastnictví příjemce, aby jej tento použil k pořízení rehabilitačního stroje </w:t>
      </w:r>
      <w:proofErr w:type="spellStart"/>
      <w:r>
        <w:t>Kinetec</w:t>
      </w:r>
      <w:proofErr w:type="spellEnd"/>
      <w:r>
        <w:t xml:space="preserve"> </w:t>
      </w:r>
      <w:proofErr w:type="spellStart"/>
      <w:r>
        <w:t>Kinevia</w:t>
      </w:r>
      <w:proofErr w:type="spellEnd"/>
      <w:r>
        <w:t xml:space="preserve"> Duo, případně dalších pomůcek (dále jen „stanovený účel“).</w:t>
      </w:r>
    </w:p>
    <w:p w:rsidR="00617313" w:rsidRDefault="00712B06">
      <w:pPr>
        <w:pStyle w:val="Nadpis20"/>
        <w:keepNext/>
        <w:keepLines/>
        <w:shd w:val="clear" w:color="auto" w:fill="auto"/>
      </w:pPr>
      <w:bookmarkStart w:id="7" w:name="bookmark6"/>
      <w:bookmarkStart w:id="8" w:name="bookmark7"/>
      <w:r>
        <w:t>II.</w:t>
      </w:r>
      <w:bookmarkEnd w:id="7"/>
      <w:bookmarkEnd w:id="8"/>
    </w:p>
    <w:p w:rsidR="00617313" w:rsidRDefault="00712B06">
      <w:pPr>
        <w:pStyle w:val="Nadpis20"/>
        <w:keepNext/>
        <w:keepLines/>
        <w:shd w:val="clear" w:color="auto" w:fill="auto"/>
      </w:pPr>
      <w:bookmarkStart w:id="9" w:name="bookmark8"/>
      <w:bookmarkStart w:id="10" w:name="bookmark9"/>
      <w:r>
        <w:t>Předmět dodatku</w:t>
      </w:r>
      <w:bookmarkEnd w:id="9"/>
      <w:bookmarkEnd w:id="10"/>
    </w:p>
    <w:p w:rsidR="00617313" w:rsidRDefault="00712B06">
      <w:pPr>
        <w:pStyle w:val="Zkladntext1"/>
        <w:numPr>
          <w:ilvl w:val="0"/>
          <w:numId w:val="3"/>
        </w:numPr>
        <w:shd w:val="clear" w:color="auto" w:fill="auto"/>
        <w:tabs>
          <w:tab w:val="left" w:pos="365"/>
        </w:tabs>
        <w:spacing w:after="100"/>
        <w:ind w:left="440" w:hanging="440"/>
        <w:jc w:val="both"/>
      </w:pPr>
      <w:r>
        <w:t xml:space="preserve">Z důvodu špatné dostupnosti rehabilitačního přístroje </w:t>
      </w:r>
      <w:proofErr w:type="spellStart"/>
      <w:r>
        <w:t>Kinetec</w:t>
      </w:r>
      <w:proofErr w:type="spellEnd"/>
      <w:r>
        <w:t xml:space="preserve"> </w:t>
      </w:r>
      <w:proofErr w:type="spellStart"/>
      <w:r>
        <w:t>Kinevia</w:t>
      </w:r>
      <w:proofErr w:type="spellEnd"/>
      <w:r>
        <w:t xml:space="preserve"> Duo a s tím souvisejícím hůře dostupným servisem tohoto přístroje se smluvní strany dohodly na uzavření tohoto Dodatku, jehož předmětem je změna bodu B) preambule Smlouvy.</w:t>
      </w:r>
    </w:p>
    <w:p w:rsidR="00617313" w:rsidRDefault="00712B06">
      <w:pPr>
        <w:pStyle w:val="Zkladntext1"/>
        <w:shd w:val="clear" w:color="auto" w:fill="auto"/>
        <w:spacing w:after="100"/>
        <w:ind w:firstLine="440"/>
      </w:pPr>
      <w:r>
        <w:rPr>
          <w:b/>
          <w:bCs/>
        </w:rPr>
        <w:t>Bod B) preambule Smlouvy nově zní:</w:t>
      </w:r>
    </w:p>
    <w:p w:rsidR="00617313" w:rsidRDefault="00712B06">
      <w:pPr>
        <w:pStyle w:val="Zkladntext1"/>
        <w:shd w:val="clear" w:color="auto" w:fill="auto"/>
        <w:spacing w:after="380"/>
        <w:ind w:left="440" w:firstLine="20"/>
        <w:jc w:val="both"/>
      </w:pPr>
      <w:r>
        <w:t>„Pořadatel si přeje převést část čistého výtěžku veřejné sbírky ve výši 130 600 Kč (dále jen „část výtěžku“) do vlastnictví příjemce, aby jej tento použil k pořízení rehabilitačního stroje, případně dalších pomůcek (dále jen „stanovený účel“)“.</w:t>
      </w:r>
    </w:p>
    <w:p w:rsidR="00617313" w:rsidRDefault="00712B06">
      <w:pPr>
        <w:pStyle w:val="Nadpis20"/>
        <w:keepNext/>
        <w:keepLines/>
        <w:shd w:val="clear" w:color="auto" w:fill="auto"/>
      </w:pPr>
      <w:bookmarkStart w:id="11" w:name="bookmark10"/>
      <w:bookmarkStart w:id="12" w:name="bookmark11"/>
      <w:r>
        <w:t>III.</w:t>
      </w:r>
      <w:bookmarkEnd w:id="11"/>
      <w:bookmarkEnd w:id="12"/>
    </w:p>
    <w:p w:rsidR="00617313" w:rsidRDefault="00712B06">
      <w:pPr>
        <w:pStyle w:val="Zkladntext1"/>
        <w:numPr>
          <w:ilvl w:val="0"/>
          <w:numId w:val="4"/>
        </w:numPr>
        <w:shd w:val="clear" w:color="auto" w:fill="auto"/>
        <w:tabs>
          <w:tab w:val="left" w:pos="365"/>
        </w:tabs>
      </w:pPr>
      <w:r>
        <w:t>Ostatní ujednání této Smlouvy zůstávají beze změny.</w:t>
      </w:r>
    </w:p>
    <w:p w:rsidR="00617313" w:rsidRDefault="00712B06">
      <w:pPr>
        <w:pStyle w:val="Zkladntext1"/>
        <w:numPr>
          <w:ilvl w:val="0"/>
          <w:numId w:val="4"/>
        </w:numPr>
        <w:shd w:val="clear" w:color="auto" w:fill="auto"/>
        <w:tabs>
          <w:tab w:val="left" w:pos="365"/>
        </w:tabs>
        <w:spacing w:after="100"/>
        <w:ind w:left="440" w:hanging="440"/>
        <w:jc w:val="both"/>
      </w:pPr>
      <w:r>
        <w:t>Tento dodatek je vyhotoven ve dvou stejnopisech, z nichž každá ze smluvních stran obdrží po jednom.</w:t>
      </w:r>
      <w:r>
        <w:br w:type="page"/>
      </w:r>
    </w:p>
    <w:p w:rsidR="00617313" w:rsidRDefault="00712B06">
      <w:pPr>
        <w:pStyle w:val="Zkladntext1"/>
        <w:numPr>
          <w:ilvl w:val="0"/>
          <w:numId w:val="4"/>
        </w:numPr>
        <w:shd w:val="clear" w:color="auto" w:fill="auto"/>
        <w:tabs>
          <w:tab w:val="left" w:pos="361"/>
        </w:tabs>
        <w:ind w:left="380" w:hanging="380"/>
        <w:jc w:val="both"/>
      </w:pPr>
      <w:r>
        <w:lastRenderedPageBreak/>
        <w:t>Tento dodatek se stává nedílnou součástí Smlouvy a je uzavřen okamžikem připojení podpisu posledního z účastníků, účinnosti nabývá dnem uveřejnění v informačním systému veřejné správy - Registru smluv.</w:t>
      </w:r>
    </w:p>
    <w:p w:rsidR="00617313" w:rsidRDefault="00712B06">
      <w:pPr>
        <w:pStyle w:val="Zkladntext1"/>
        <w:numPr>
          <w:ilvl w:val="0"/>
          <w:numId w:val="4"/>
        </w:numPr>
        <w:shd w:val="clear" w:color="auto" w:fill="auto"/>
        <w:tabs>
          <w:tab w:val="left" w:pos="361"/>
        </w:tabs>
        <w:ind w:left="380" w:hanging="380"/>
        <w:jc w:val="both"/>
      </w:pPr>
      <w:r>
        <w:t>Prodávající výslovně souhlasí se zveřejněním celého textu tohoto dodatku v informačním systému veřejné správy - Registru smluv.</w:t>
      </w:r>
    </w:p>
    <w:p w:rsidR="00617313" w:rsidRDefault="00712B06">
      <w:pPr>
        <w:pStyle w:val="Zkladntext1"/>
        <w:numPr>
          <w:ilvl w:val="0"/>
          <w:numId w:val="4"/>
        </w:numPr>
        <w:shd w:val="clear" w:color="auto" w:fill="auto"/>
        <w:tabs>
          <w:tab w:val="left" w:pos="361"/>
        </w:tabs>
        <w:ind w:left="380" w:hanging="380"/>
        <w:jc w:val="both"/>
      </w:pPr>
      <w:r>
        <w:t>Smluvní strany se dohodly, že zákonnou povinnost dle § 5 odst. 2 zákona o registru smluv splní příjemce a splnění této povinnosti doloží pořadateli. Současně berou smluvní strany na vědomí, že tím není dotčeno ustanovení § 3 zákona č. 340/2015 Sb., o zvláštních podmínkách účinnosti některých smluv, uveřejňování těchto smluv a o registru smluv (zákon o registru smluv) v případě nesplnění zákonné povinnosti je dodatek do tří měsíců od jeho podpisu bez dalšího zrušen od samého počátku.</w:t>
      </w:r>
    </w:p>
    <w:p w:rsidR="00617313" w:rsidRDefault="00712B06">
      <w:pPr>
        <w:pStyle w:val="Zkladntext1"/>
        <w:numPr>
          <w:ilvl w:val="0"/>
          <w:numId w:val="4"/>
        </w:numPr>
        <w:shd w:val="clear" w:color="auto" w:fill="auto"/>
        <w:tabs>
          <w:tab w:val="left" w:pos="361"/>
        </w:tabs>
        <w:spacing w:after="0"/>
        <w:ind w:left="380" w:hanging="380"/>
        <w:jc w:val="both"/>
        <w:sectPr w:rsidR="00617313">
          <w:pgSz w:w="11900" w:h="16840"/>
          <w:pgMar w:top="853" w:right="1326" w:bottom="1287" w:left="1436" w:header="425" w:footer="859" w:gutter="0"/>
          <w:pgNumType w:start="1"/>
          <w:cols w:space="720"/>
          <w:noEndnote/>
          <w:docGrid w:linePitch="360"/>
        </w:sectPr>
      </w:pPr>
      <w:r>
        <w:t>K uzavření Dodatku udělil zřizovatel Kraj Vysočina v souladu s § 37b zákona č. 250/2000 Sb., o rozpočtových pravidlech územních rozpočtů, ve znění pozdějších předpisů předchozí písemný souhlas, a to usnesením Rady Kraje Vysočina ze dne 5. 3. 2024 č. 0365/09/2024/RK.</w:t>
      </w:r>
    </w:p>
    <w:p w:rsidR="00617313" w:rsidRDefault="00617313">
      <w:pPr>
        <w:spacing w:line="240" w:lineRule="exact"/>
        <w:rPr>
          <w:sz w:val="19"/>
          <w:szCs w:val="19"/>
        </w:rPr>
      </w:pPr>
    </w:p>
    <w:p w:rsidR="00617313" w:rsidRDefault="00617313">
      <w:pPr>
        <w:spacing w:line="240" w:lineRule="exact"/>
        <w:rPr>
          <w:sz w:val="19"/>
          <w:szCs w:val="19"/>
        </w:rPr>
      </w:pPr>
    </w:p>
    <w:p w:rsidR="00617313" w:rsidRDefault="00617313">
      <w:pPr>
        <w:spacing w:before="9" w:after="9" w:line="240" w:lineRule="exact"/>
        <w:rPr>
          <w:sz w:val="19"/>
          <w:szCs w:val="19"/>
        </w:rPr>
      </w:pPr>
    </w:p>
    <w:p w:rsidR="00617313" w:rsidRDefault="00617313">
      <w:pPr>
        <w:spacing w:line="1" w:lineRule="exact"/>
        <w:sectPr w:rsidR="00617313">
          <w:type w:val="continuous"/>
          <w:pgSz w:w="11900" w:h="16840"/>
          <w:pgMar w:top="817" w:right="0" w:bottom="6948" w:left="0" w:header="0" w:footer="3" w:gutter="0"/>
          <w:cols w:space="720"/>
          <w:noEndnote/>
          <w:docGrid w:linePitch="360"/>
        </w:sectPr>
      </w:pPr>
    </w:p>
    <w:p w:rsidR="00617313" w:rsidRDefault="00712B06" w:rsidP="00712B06">
      <w:pPr>
        <w:pStyle w:val="Zkladntext1"/>
        <w:framePr w:w="2746" w:h="336" w:wrap="none" w:vAnchor="text" w:hAnchor="page" w:x="1451" w:y="105"/>
        <w:shd w:val="clear" w:color="auto" w:fill="auto"/>
        <w:spacing w:after="0"/>
      </w:pPr>
      <w:r>
        <w:t xml:space="preserve">V Praze dne </w:t>
      </w:r>
      <w:proofErr w:type="gramStart"/>
      <w:r>
        <w:t>13.3.2024</w:t>
      </w:r>
      <w:proofErr w:type="gramEnd"/>
      <w:r>
        <w:t>.</w:t>
      </w:r>
    </w:p>
    <w:p w:rsidR="00712B06" w:rsidRDefault="00712B06" w:rsidP="00712B06">
      <w:pPr>
        <w:pStyle w:val="Zkladntext1"/>
        <w:framePr w:w="2746" w:h="336" w:wrap="none" w:vAnchor="text" w:hAnchor="page" w:x="1451" w:y="105"/>
        <w:shd w:val="clear" w:color="auto" w:fill="auto"/>
        <w:spacing w:after="0"/>
      </w:pPr>
    </w:p>
    <w:p w:rsidR="00712B06" w:rsidRDefault="00712B06" w:rsidP="00712B06">
      <w:pPr>
        <w:pStyle w:val="Zkladntext1"/>
        <w:framePr w:w="2746" w:h="336" w:wrap="none" w:vAnchor="text" w:hAnchor="page" w:x="1451" w:y="105"/>
        <w:shd w:val="clear" w:color="auto" w:fill="auto"/>
        <w:spacing w:after="0"/>
      </w:pPr>
    </w:p>
    <w:p w:rsidR="00712B06" w:rsidRDefault="00712B06" w:rsidP="00712B06">
      <w:pPr>
        <w:pStyle w:val="Zkladntext1"/>
        <w:framePr w:w="2746" w:h="336" w:wrap="none" w:vAnchor="text" w:hAnchor="page" w:x="1451" w:y="105"/>
        <w:shd w:val="clear" w:color="auto" w:fill="auto"/>
        <w:spacing w:after="0"/>
      </w:pPr>
    </w:p>
    <w:p w:rsidR="00712B06" w:rsidRDefault="00712B06" w:rsidP="00712B06">
      <w:pPr>
        <w:pStyle w:val="Zkladntext1"/>
        <w:framePr w:w="2746" w:h="336" w:wrap="none" w:vAnchor="text" w:hAnchor="page" w:x="1451" w:y="105"/>
        <w:shd w:val="clear" w:color="auto" w:fill="auto"/>
        <w:spacing w:after="0"/>
      </w:pPr>
    </w:p>
    <w:p w:rsidR="00712B06" w:rsidRDefault="00712B06" w:rsidP="00712B06">
      <w:pPr>
        <w:pStyle w:val="Zkladntext1"/>
        <w:framePr w:w="2746" w:h="336" w:wrap="none" w:vAnchor="text" w:hAnchor="page" w:x="1451" w:y="105"/>
        <w:shd w:val="clear" w:color="auto" w:fill="auto"/>
        <w:spacing w:after="0"/>
      </w:pPr>
      <w:r>
        <w:t>XXXX</w:t>
      </w:r>
    </w:p>
    <w:p w:rsidR="00712B06" w:rsidRDefault="00712B06" w:rsidP="00712B06">
      <w:pPr>
        <w:pStyle w:val="Zkladntext1"/>
        <w:framePr w:w="2746" w:h="336" w:wrap="none" w:vAnchor="text" w:hAnchor="page" w:x="1451" w:y="105"/>
        <w:shd w:val="clear" w:color="auto" w:fill="auto"/>
        <w:spacing w:after="0"/>
      </w:pPr>
      <w:r>
        <w:t>XXXX</w:t>
      </w:r>
    </w:p>
    <w:p w:rsidR="00617313" w:rsidRDefault="00712B06">
      <w:pPr>
        <w:pStyle w:val="Zkladntext1"/>
        <w:framePr w:w="3139" w:h="317" w:wrap="none" w:vAnchor="text" w:hAnchor="page" w:x="6117" w:y="121"/>
        <w:shd w:val="clear" w:color="auto" w:fill="auto"/>
        <w:spacing w:after="0"/>
      </w:pPr>
      <w:r>
        <w:t>V Novém Městě na Moravě dne</w:t>
      </w:r>
    </w:p>
    <w:p w:rsidR="00617313" w:rsidRDefault="00712B06">
      <w:pPr>
        <w:pStyle w:val="Zkladntext30"/>
        <w:framePr w:w="1176" w:h="326" w:wrap="none" w:vAnchor="text" w:hAnchor="page" w:x="9400" w:y="21"/>
        <w:shd w:val="clear" w:color="auto" w:fill="auto"/>
      </w:pPr>
      <w:r>
        <w:t>1 8. 03. 2024</w:t>
      </w:r>
    </w:p>
    <w:p w:rsidR="00617313" w:rsidRDefault="00617313">
      <w:pPr>
        <w:spacing w:after="445" w:line="1" w:lineRule="exact"/>
      </w:pPr>
    </w:p>
    <w:p w:rsidR="00617313" w:rsidRDefault="00617313">
      <w:pPr>
        <w:spacing w:line="1" w:lineRule="exact"/>
        <w:sectPr w:rsidR="00617313">
          <w:type w:val="continuous"/>
          <w:pgSz w:w="11900" w:h="16840"/>
          <w:pgMar w:top="817" w:right="1350" w:bottom="6948" w:left="1292" w:header="0" w:footer="3" w:gutter="0"/>
          <w:cols w:space="720"/>
          <w:noEndnote/>
          <w:docGrid w:linePitch="360"/>
        </w:sectPr>
      </w:pPr>
    </w:p>
    <w:p w:rsidR="00617313" w:rsidRDefault="00712B06">
      <w:pPr>
        <w:pStyle w:val="Zkladntext1"/>
        <w:shd w:val="clear" w:color="auto" w:fill="auto"/>
        <w:spacing w:after="420"/>
        <w:ind w:hanging="4580"/>
      </w:pPr>
      <w:r>
        <w:rPr>
          <w:noProof/>
          <w:lang w:bidi="ar-SA"/>
        </w:rPr>
        <w:lastRenderedPageBreak/>
        <mc:AlternateContent>
          <mc:Choice Requires="wps">
            <w:drawing>
              <wp:anchor distT="0" distB="0" distL="114300" distR="114300" simplePos="0" relativeHeight="125829379" behindDoc="0" locked="0" layoutInCell="1" allowOverlap="1">
                <wp:simplePos x="0" y="0"/>
                <wp:positionH relativeFrom="page">
                  <wp:posOffset>3880485</wp:posOffset>
                </wp:positionH>
                <wp:positionV relativeFrom="paragraph">
                  <wp:posOffset>12700</wp:posOffset>
                </wp:positionV>
                <wp:extent cx="804545" cy="20447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804545" cy="204470"/>
                        </a:xfrm>
                        <a:prstGeom prst="rect">
                          <a:avLst/>
                        </a:prstGeom>
                        <a:noFill/>
                      </wps:spPr>
                      <wps:txbx>
                        <w:txbxContent>
                          <w:p w:rsidR="00617313" w:rsidRDefault="00712B06">
                            <w:pPr>
                              <w:pStyle w:val="Zkladntext1"/>
                              <w:shd w:val="clear" w:color="auto" w:fill="auto"/>
                              <w:spacing w:after="0"/>
                            </w:pPr>
                            <w:r>
                              <w:t>Za příjemce:</w:t>
                            </w:r>
                          </w:p>
                        </w:txbxContent>
                      </wps:txbx>
                      <wps:bodyPr wrap="none" lIns="0" tIns="0" rIns="0" bIns="0"/>
                    </wps:wsp>
                  </a:graphicData>
                </a:graphic>
              </wp:anchor>
            </w:drawing>
          </mc:Choice>
          <mc:Fallback xmlns:w15="http://schemas.microsoft.com/office/word/2012/wordml">
            <w:pict>
              <v:shape id="_x0000_s1033" type="#_x0000_t202" style="position:absolute;margin-left:305.55000000000001pt;margin-top:1.pt;width:63.350000000000001pt;height:16.100000000000001pt;z-index:-125829374;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 příjemce:</w:t>
                      </w:r>
                    </w:p>
                  </w:txbxContent>
                </v:textbox>
                <w10:wrap type="square" side="left" anchorx="page"/>
              </v:shape>
            </w:pict>
          </mc:Fallback>
        </mc:AlternateContent>
      </w:r>
      <w:r>
        <w:t>Za pořadatele</w:t>
      </w:r>
    </w:p>
    <w:p w:rsidR="00617313" w:rsidRDefault="00712B06">
      <w:pPr>
        <w:pStyle w:val="Zkladntext20"/>
        <w:shd w:val="clear" w:color="auto" w:fill="auto"/>
        <w:spacing w:line="262" w:lineRule="auto"/>
        <w:ind w:left="0" w:firstLine="0"/>
      </w:pPr>
      <w:r>
        <w:t>XXXX</w:t>
      </w:r>
    </w:p>
    <w:p w:rsidR="00617313" w:rsidRPr="00712B06" w:rsidRDefault="00712B06" w:rsidP="00712B06">
      <w:pPr>
        <w:pStyle w:val="Zkladntext20"/>
        <w:shd w:val="clear" w:color="auto" w:fill="auto"/>
        <w:tabs>
          <w:tab w:val="left" w:leader="underscore" w:pos="1635"/>
          <w:tab w:val="left" w:leader="dot" w:pos="2494"/>
        </w:tabs>
        <w:spacing w:line="883" w:lineRule="exact"/>
        <w:jc w:val="left"/>
      </w:pPr>
      <w:r>
        <w:t xml:space="preserve"> </w:t>
      </w:r>
      <w:r w:rsidRPr="00712B06">
        <w:t>XXXX</w:t>
      </w:r>
    </w:p>
    <w:sectPr w:rsidR="00617313" w:rsidRPr="00712B06">
      <w:type w:val="continuous"/>
      <w:pgSz w:w="11900" w:h="16840"/>
      <w:pgMar w:top="817" w:right="1350" w:bottom="817" w:left="599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741" w:rsidRDefault="00712B06">
      <w:r>
        <w:separator/>
      </w:r>
    </w:p>
  </w:endnote>
  <w:endnote w:type="continuationSeparator" w:id="0">
    <w:p w:rsidR="00891741" w:rsidRDefault="0071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13" w:rsidRDefault="00617313"/>
  </w:footnote>
  <w:footnote w:type="continuationSeparator" w:id="0">
    <w:p w:rsidR="00617313" w:rsidRDefault="006173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50D01"/>
    <w:multiLevelType w:val="multilevel"/>
    <w:tmpl w:val="1E3EB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9D4FCB"/>
    <w:multiLevelType w:val="multilevel"/>
    <w:tmpl w:val="ABEAD9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03307E"/>
    <w:multiLevelType w:val="multilevel"/>
    <w:tmpl w:val="FBC09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BD1B6D"/>
    <w:multiLevelType w:val="multilevel"/>
    <w:tmpl w:val="95E02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617313"/>
    <w:rsid w:val="00617313"/>
    <w:rsid w:val="00712B06"/>
    <w:rsid w:val="00891741"/>
    <w:rsid w:val="00A37A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singl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w w:val="6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paragraph" w:customStyle="1" w:styleId="Nadpis10">
    <w:name w:val="Nadpis #1"/>
    <w:basedOn w:val="Normln"/>
    <w:link w:val="Nadpis1"/>
    <w:pPr>
      <w:shd w:val="clear" w:color="auto" w:fill="FFFFFF"/>
      <w:spacing w:after="100"/>
      <w:outlineLvl w:val="0"/>
    </w:pPr>
    <w:rPr>
      <w:rFonts w:ascii="Times New Roman" w:eastAsia="Times New Roman" w:hAnsi="Times New Roman" w:cs="Times New Roman"/>
      <w:b/>
      <w:bCs/>
      <w:sz w:val="32"/>
      <w:szCs w:val="32"/>
      <w:u w:val="single"/>
    </w:rPr>
  </w:style>
  <w:style w:type="paragraph" w:customStyle="1" w:styleId="Zkladntext1">
    <w:name w:val="Základní text1"/>
    <w:basedOn w:val="Normln"/>
    <w:link w:val="Zkladntext"/>
    <w:pPr>
      <w:shd w:val="clear" w:color="auto" w:fill="FFFFFF"/>
      <w:spacing w:after="40"/>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after="100"/>
      <w:jc w:val="center"/>
      <w:outlineLvl w:val="1"/>
    </w:pPr>
    <w:rPr>
      <w:rFonts w:ascii="Times New Roman" w:eastAsia="Times New Roman" w:hAnsi="Times New Roman" w:cs="Times New Roman"/>
      <w:b/>
      <w:bCs/>
    </w:rPr>
  </w:style>
  <w:style w:type="paragraph" w:customStyle="1" w:styleId="Zkladntext30">
    <w:name w:val="Základní text (3)"/>
    <w:basedOn w:val="Normln"/>
    <w:link w:val="Zkladntext3"/>
    <w:pPr>
      <w:shd w:val="clear" w:color="auto" w:fill="FFFFFF"/>
    </w:pPr>
    <w:rPr>
      <w:rFonts w:ascii="Arial" w:eastAsia="Arial" w:hAnsi="Arial" w:cs="Arial"/>
      <w:w w:val="60"/>
    </w:rPr>
  </w:style>
  <w:style w:type="paragraph" w:customStyle="1" w:styleId="Titulekobrzku0">
    <w:name w:val="Titulek obrázku"/>
    <w:basedOn w:val="Normln"/>
    <w:link w:val="Titulekobrzku"/>
    <w:pPr>
      <w:shd w:val="clear" w:color="auto" w:fill="FFFFFF"/>
      <w:spacing w:line="192" w:lineRule="auto"/>
      <w:ind w:firstLine="210"/>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spacing w:line="490" w:lineRule="auto"/>
      <w:ind w:left="630" w:firstLine="20"/>
      <w:jc w:val="center"/>
    </w:pPr>
    <w:rPr>
      <w:rFonts w:ascii="Arial" w:eastAsia="Arial" w:hAnsi="Arial" w:cs="Arial"/>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singl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w w:val="6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paragraph" w:customStyle="1" w:styleId="Nadpis10">
    <w:name w:val="Nadpis #1"/>
    <w:basedOn w:val="Normln"/>
    <w:link w:val="Nadpis1"/>
    <w:pPr>
      <w:shd w:val="clear" w:color="auto" w:fill="FFFFFF"/>
      <w:spacing w:after="100"/>
      <w:outlineLvl w:val="0"/>
    </w:pPr>
    <w:rPr>
      <w:rFonts w:ascii="Times New Roman" w:eastAsia="Times New Roman" w:hAnsi="Times New Roman" w:cs="Times New Roman"/>
      <w:b/>
      <w:bCs/>
      <w:sz w:val="32"/>
      <w:szCs w:val="32"/>
      <w:u w:val="single"/>
    </w:rPr>
  </w:style>
  <w:style w:type="paragraph" w:customStyle="1" w:styleId="Zkladntext1">
    <w:name w:val="Základní text1"/>
    <w:basedOn w:val="Normln"/>
    <w:link w:val="Zkladntext"/>
    <w:pPr>
      <w:shd w:val="clear" w:color="auto" w:fill="FFFFFF"/>
      <w:spacing w:after="40"/>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after="100"/>
      <w:jc w:val="center"/>
      <w:outlineLvl w:val="1"/>
    </w:pPr>
    <w:rPr>
      <w:rFonts w:ascii="Times New Roman" w:eastAsia="Times New Roman" w:hAnsi="Times New Roman" w:cs="Times New Roman"/>
      <w:b/>
      <w:bCs/>
    </w:rPr>
  </w:style>
  <w:style w:type="paragraph" w:customStyle="1" w:styleId="Zkladntext30">
    <w:name w:val="Základní text (3)"/>
    <w:basedOn w:val="Normln"/>
    <w:link w:val="Zkladntext3"/>
    <w:pPr>
      <w:shd w:val="clear" w:color="auto" w:fill="FFFFFF"/>
    </w:pPr>
    <w:rPr>
      <w:rFonts w:ascii="Arial" w:eastAsia="Arial" w:hAnsi="Arial" w:cs="Arial"/>
      <w:w w:val="60"/>
    </w:rPr>
  </w:style>
  <w:style w:type="paragraph" w:customStyle="1" w:styleId="Titulekobrzku0">
    <w:name w:val="Titulek obrázku"/>
    <w:basedOn w:val="Normln"/>
    <w:link w:val="Titulekobrzku"/>
    <w:pPr>
      <w:shd w:val="clear" w:color="auto" w:fill="FFFFFF"/>
      <w:spacing w:line="192" w:lineRule="auto"/>
      <w:ind w:firstLine="210"/>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spacing w:line="490" w:lineRule="auto"/>
      <w:ind w:left="630" w:firstLine="20"/>
      <w:jc w:val="center"/>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2752</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2024-03-19T06:37:00Z</dcterms:created>
  <dcterms:modified xsi:type="dcterms:W3CDTF">2024-03-19T10:58:00Z</dcterms:modified>
</cp:coreProperties>
</file>