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5A3" w:rsidRDefault="001F6C86">
      <w:pPr>
        <w:pStyle w:val="Heading310"/>
        <w:keepNext/>
        <w:keepLines/>
      </w:pPr>
      <w:bookmarkStart w:id="0" w:name="bookmark0"/>
      <w:r>
        <w:rPr>
          <w:rStyle w:val="Heading31"/>
          <w:b/>
          <w:bCs/>
        </w:rPr>
        <w:t>Dodatek č. 1</w:t>
      </w:r>
      <w:bookmarkEnd w:id="0"/>
    </w:p>
    <w:p w:rsidR="006735A3" w:rsidRDefault="001F6C86">
      <w:pPr>
        <w:pStyle w:val="Bodytext20"/>
      </w:pPr>
      <w:r>
        <w:rPr>
          <w:rStyle w:val="Bodytext2"/>
          <w:b/>
          <w:bCs/>
        </w:rPr>
        <w:t>ke Smlouvě o způsobu rozúčtování elektřiny, tepla, vodného a</w:t>
      </w:r>
      <w:r>
        <w:rPr>
          <w:rStyle w:val="Bodytext2"/>
          <w:b/>
          <w:bCs/>
        </w:rPr>
        <w:br/>
        <w:t>stočného a pronájmu telefonní linky pro prostory užívané</w:t>
      </w:r>
      <w:r>
        <w:rPr>
          <w:rStyle w:val="Bodytext2"/>
          <w:b/>
          <w:bCs/>
        </w:rPr>
        <w:br/>
        <w:t>provozovatelem v budově Havlíčkovo nábřeží 600, Zlín, na parcele</w:t>
      </w:r>
      <w:r>
        <w:rPr>
          <w:rStyle w:val="Bodytext2"/>
          <w:b/>
          <w:bCs/>
        </w:rPr>
        <w:br/>
      </w:r>
      <w:proofErr w:type="spellStart"/>
      <w:r>
        <w:rPr>
          <w:rStyle w:val="Bodytext2"/>
          <w:b/>
          <w:bCs/>
          <w:lang w:val="en-US" w:eastAsia="en-US" w:bidi="en-US"/>
        </w:rPr>
        <w:t>st</w:t>
      </w:r>
      <w:proofErr w:type="spellEnd"/>
      <w:r>
        <w:rPr>
          <w:rStyle w:val="Bodytext2"/>
          <w:b/>
          <w:bCs/>
          <w:lang w:val="en-US" w:eastAsia="en-US" w:bidi="en-US"/>
        </w:rPr>
        <w:t xml:space="preserve"> </w:t>
      </w:r>
      <w:r>
        <w:rPr>
          <w:rStyle w:val="Bodytext2"/>
          <w:b/>
          <w:bCs/>
        </w:rPr>
        <w:t>610/1</w:t>
      </w:r>
    </w:p>
    <w:p w:rsidR="006735A3" w:rsidRDefault="001F6C86">
      <w:pPr>
        <w:pStyle w:val="Bodytext10"/>
        <w:jc w:val="center"/>
      </w:pPr>
      <w:r>
        <w:rPr>
          <w:rStyle w:val="Bodytext1"/>
          <w:b/>
          <w:bCs/>
        </w:rPr>
        <w:t xml:space="preserve">uzavřená dle příslušných ustanovení zákona č. </w:t>
      </w:r>
      <w:r>
        <w:rPr>
          <w:rStyle w:val="Bodytext1"/>
          <w:b/>
          <w:bCs/>
        </w:rPr>
        <w:t>89/2012 Sb., občanský zákoník, v platném znění</w:t>
      </w:r>
      <w:r>
        <w:rPr>
          <w:rStyle w:val="Bodytext1"/>
          <w:b/>
          <w:bCs/>
        </w:rPr>
        <w:br/>
        <w:t>(dále jen smlouva) mezi těmito subjekty:</w:t>
      </w:r>
    </w:p>
    <w:p w:rsidR="006735A3" w:rsidRDefault="001F6C86">
      <w:pPr>
        <w:pStyle w:val="Bodytext10"/>
        <w:spacing w:after="440"/>
        <w:ind w:right="1340"/>
        <w:jc w:val="right"/>
      </w:pPr>
      <w:r>
        <w:rPr>
          <w:rStyle w:val="Bodytext1"/>
          <w:b/>
          <w:bCs/>
        </w:rPr>
        <w:t xml:space="preserve">číslo </w:t>
      </w:r>
      <w:proofErr w:type="spellStart"/>
      <w:r>
        <w:rPr>
          <w:rStyle w:val="Bodytext1"/>
          <w:b/>
          <w:bCs/>
        </w:rPr>
        <w:t>smi</w:t>
      </w:r>
      <w:proofErr w:type="spellEnd"/>
      <w:r>
        <w:rPr>
          <w:rStyle w:val="Bodytext1"/>
          <w:b/>
          <w:bCs/>
        </w:rPr>
        <w:t>: 85122</w:t>
      </w:r>
    </w:p>
    <w:p w:rsidR="006735A3" w:rsidRDefault="001F6C86">
      <w:pPr>
        <w:pStyle w:val="Bodytext10"/>
        <w:spacing w:line="240" w:lineRule="auto"/>
      </w:pPr>
      <w:r>
        <w:rPr>
          <w:rStyle w:val="Bodytext1"/>
          <w:b/>
          <w:bCs/>
        </w:rPr>
        <w:t>Smluvní strany: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Krajská nemocníce T. Bati, a. s.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sídlo: Havlíčkovo nábřeží 600, 762 75 Zlín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IČ: 27661989, DIČ: CZ27661989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 xml:space="preserve">bankovní spojení: ČSOB, č. </w:t>
      </w:r>
      <w:proofErr w:type="spellStart"/>
      <w:r>
        <w:rPr>
          <w:rStyle w:val="Bodytext1"/>
          <w:b/>
          <w:bCs/>
        </w:rPr>
        <w:t>ú.</w:t>
      </w:r>
      <w:proofErr w:type="spellEnd"/>
      <w:r>
        <w:rPr>
          <w:rStyle w:val="Bodytext1"/>
          <w:b/>
          <w:bCs/>
        </w:rPr>
        <w:t xml:space="preserve"> 151203067/0300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zapsána v obchodním rejstříku u Krajského soudu v Brně oddíl B., vložka 4437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 xml:space="preserve">zastupující </w:t>
      </w:r>
      <w:r>
        <w:rPr>
          <w:rStyle w:val="Bodytext1"/>
          <w:b/>
          <w:bCs/>
          <w:lang w:val="en-US" w:eastAsia="en-US" w:bidi="en-US"/>
        </w:rPr>
        <w:t xml:space="preserve">Ing. </w:t>
      </w:r>
      <w:r>
        <w:rPr>
          <w:rStyle w:val="Bodytext1"/>
          <w:b/>
          <w:bCs/>
        </w:rPr>
        <w:t>Jan Hrdý, předseda představenstva a Ing. Martin Déva, člen představenstva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 xml:space="preserve">osoba jednající ve věcech plnění této smlouvy: </w:t>
      </w:r>
      <w:proofErr w:type="spellStart"/>
      <w:r w:rsidR="005B61F4">
        <w:rPr>
          <w:rStyle w:val="Bodytext1"/>
          <w:b/>
          <w:bCs/>
        </w:rPr>
        <w:t>xxxxxxxxxxxxxx</w:t>
      </w:r>
      <w:proofErr w:type="spellEnd"/>
      <w:r>
        <w:rPr>
          <w:rStyle w:val="Bodytext1"/>
          <w:b/>
          <w:bCs/>
          <w:lang w:val="en-US" w:eastAsia="en-US" w:bidi="en-US"/>
        </w:rPr>
        <w:t xml:space="preserve">, </w:t>
      </w:r>
      <w:r>
        <w:rPr>
          <w:rStyle w:val="Bodytext1"/>
          <w:b/>
          <w:bCs/>
        </w:rPr>
        <w:t>n</w:t>
      </w:r>
      <w:r>
        <w:rPr>
          <w:rStyle w:val="Bodytext1"/>
          <w:b/>
          <w:bCs/>
        </w:rPr>
        <w:t xml:space="preserve">áměstek pro provoz a bezpečnost, tel. </w:t>
      </w:r>
      <w:proofErr w:type="spellStart"/>
      <w:r w:rsidR="00635B46">
        <w:rPr>
          <w:rStyle w:val="Bodytext1"/>
          <w:b/>
          <w:bCs/>
        </w:rPr>
        <w:t>xxxxxxxxxxxxxxxxxx</w:t>
      </w:r>
      <w:proofErr w:type="spellEnd"/>
      <w:r>
        <w:rPr>
          <w:rStyle w:val="Bodytext1"/>
          <w:b/>
          <w:bCs/>
        </w:rPr>
        <w:t xml:space="preserve">, </w:t>
      </w:r>
      <w:proofErr w:type="spellStart"/>
      <w:proofErr w:type="gramStart"/>
      <w:r>
        <w:rPr>
          <w:rStyle w:val="Bodytext1"/>
          <w:b/>
          <w:bCs/>
        </w:rPr>
        <w:t>e-mail:</w:t>
      </w:r>
      <w:r w:rsidR="00635B46">
        <w:rPr>
          <w:rStyle w:val="Bodytext1"/>
          <w:b/>
          <w:bCs/>
        </w:rPr>
        <w:t>xxxxxxxxxxxxxxxxxxxxxxxx</w:t>
      </w:r>
      <w:proofErr w:type="spellEnd"/>
      <w:proofErr w:type="gramEnd"/>
    </w:p>
    <w:p w:rsidR="006735A3" w:rsidRDefault="001F6C86">
      <w:pPr>
        <w:pStyle w:val="Bodytext10"/>
        <w:spacing w:line="240" w:lineRule="auto"/>
      </w:pPr>
      <w:r>
        <w:rPr>
          <w:rStyle w:val="Bodytext1"/>
          <w:b/>
          <w:bCs/>
        </w:rPr>
        <w:t>(dále jen „nemocnice")</w:t>
      </w:r>
    </w:p>
    <w:p w:rsidR="006735A3" w:rsidRDefault="001F6C86">
      <w:pPr>
        <w:pStyle w:val="Bodytext10"/>
        <w:spacing w:line="240" w:lineRule="auto"/>
      </w:pPr>
      <w:r>
        <w:rPr>
          <w:rStyle w:val="Bodytext1"/>
          <w:b/>
          <w:bCs/>
        </w:rPr>
        <w:t>a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MUDr. Nečas Lubomír s.r.o.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 xml:space="preserve">Sídlo: </w:t>
      </w:r>
      <w:proofErr w:type="spellStart"/>
      <w:r>
        <w:rPr>
          <w:rStyle w:val="Bodytext1"/>
          <w:b/>
          <w:bCs/>
        </w:rPr>
        <w:t>Křiby</w:t>
      </w:r>
      <w:proofErr w:type="spellEnd"/>
      <w:r>
        <w:rPr>
          <w:rStyle w:val="Bodytext1"/>
          <w:b/>
          <w:bCs/>
        </w:rPr>
        <w:t xml:space="preserve"> 4715, Zlín, PSČ 760 05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IČ: 29292743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bankovní spojení: Č</w:t>
      </w:r>
      <w:r>
        <w:rPr>
          <w:rStyle w:val="Bodytext1"/>
          <w:b/>
          <w:bCs/>
        </w:rPr>
        <w:t xml:space="preserve">eská spořitelna, a.s., pobočka Zlín, č. </w:t>
      </w:r>
      <w:proofErr w:type="spellStart"/>
      <w:r>
        <w:rPr>
          <w:rStyle w:val="Bodytext1"/>
          <w:b/>
          <w:bCs/>
        </w:rPr>
        <w:t>ú.</w:t>
      </w:r>
      <w:proofErr w:type="spellEnd"/>
      <w:r>
        <w:rPr>
          <w:rStyle w:val="Bodytext1"/>
          <w:b/>
          <w:bCs/>
        </w:rPr>
        <w:t xml:space="preserve"> 2270374319/0800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zapsána v obchodním rejstříku u Krajského soudu v Brně, oddíl C, vložka 71618</w:t>
      </w:r>
    </w:p>
    <w:p w:rsidR="006735A3" w:rsidRDefault="001F6C86">
      <w:pPr>
        <w:pStyle w:val="Bodytext10"/>
        <w:spacing w:line="240" w:lineRule="auto"/>
      </w:pPr>
      <w:r>
        <w:rPr>
          <w:rStyle w:val="Bodytext1"/>
          <w:b/>
          <w:bCs/>
        </w:rPr>
        <w:t>(dále jen „provozovatel")</w:t>
      </w:r>
    </w:p>
    <w:p w:rsidR="006735A3" w:rsidRDefault="001F6C86">
      <w:pPr>
        <w:pStyle w:val="Bodytext10"/>
        <w:spacing w:after="920" w:line="240" w:lineRule="auto"/>
      </w:pPr>
      <w:r>
        <w:rPr>
          <w:rStyle w:val="Bodytext1"/>
          <w:b/>
          <w:bCs/>
        </w:rPr>
        <w:t>uzavřeli tento Dodatek č. 1 ke smlouvě</w:t>
      </w:r>
    </w:p>
    <w:p w:rsidR="006735A3" w:rsidRDefault="001F6C86">
      <w:pPr>
        <w:pStyle w:val="Bodytext10"/>
        <w:jc w:val="center"/>
      </w:pPr>
      <w:r>
        <w:rPr>
          <w:rStyle w:val="Bodytext1"/>
          <w:b/>
          <w:bCs/>
        </w:rPr>
        <w:t>Článek I.</w:t>
      </w:r>
      <w:r>
        <w:rPr>
          <w:rStyle w:val="Bodytext1"/>
          <w:b/>
          <w:bCs/>
        </w:rPr>
        <w:br/>
        <w:t>Účel dodatku</w:t>
      </w:r>
    </w:p>
    <w:p w:rsidR="006735A3" w:rsidRDefault="001F6C86">
      <w:pPr>
        <w:pStyle w:val="Bodytext10"/>
        <w:numPr>
          <w:ilvl w:val="0"/>
          <w:numId w:val="1"/>
        </w:numPr>
        <w:tabs>
          <w:tab w:val="left" w:pos="350"/>
        </w:tabs>
        <w:spacing w:after="680" w:line="259" w:lineRule="auto"/>
        <w:ind w:left="360" w:hanging="360"/>
      </w:pPr>
      <w:r>
        <w:rPr>
          <w:rStyle w:val="Bodytext1"/>
          <w:b/>
          <w:bCs/>
        </w:rPr>
        <w:t xml:space="preserve">Předmětem tohoto Dodatku je </w:t>
      </w:r>
      <w:r>
        <w:rPr>
          <w:rStyle w:val="Bodytext1"/>
          <w:b/>
          <w:bCs/>
        </w:rPr>
        <w:t>změna Článku II. Smlouvy, Účtování dodávek médií a služeb, a to z důvodu změny cen jednotlivých dodávek.</w:t>
      </w:r>
    </w:p>
    <w:p w:rsidR="006735A3" w:rsidRDefault="001F6C86">
      <w:pPr>
        <w:pStyle w:val="Bodytext10"/>
        <w:spacing w:after="0" w:line="240" w:lineRule="auto"/>
        <w:jc w:val="center"/>
      </w:pPr>
      <w:r>
        <w:rPr>
          <w:rStyle w:val="Bodytext1"/>
          <w:b/>
          <w:bCs/>
        </w:rPr>
        <w:t>Článek II.</w:t>
      </w:r>
    </w:p>
    <w:p w:rsidR="006735A3" w:rsidRDefault="001F6C86">
      <w:pPr>
        <w:pStyle w:val="Bodytext10"/>
        <w:spacing w:line="240" w:lineRule="auto"/>
        <w:jc w:val="center"/>
      </w:pPr>
      <w:r>
        <w:rPr>
          <w:rStyle w:val="Bodytext1"/>
          <w:b/>
          <w:bCs/>
        </w:rPr>
        <w:t>Předmět dodatku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Provozovatel užívá prostory k výkonu lékařské praxe dle Článku I. Smlouvy.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Celková plocha budovy číslo 26 (otopná plocha, pl</w:t>
      </w:r>
      <w:r>
        <w:rPr>
          <w:rStyle w:val="Bodytext1"/>
          <w:b/>
          <w:bCs/>
        </w:rPr>
        <w:t>ocha k užívání elektrické energie) je 5.661,36m</w:t>
      </w:r>
      <w:r>
        <w:rPr>
          <w:rStyle w:val="Bodytext1"/>
          <w:b/>
          <w:bCs/>
          <w:vertAlign w:val="superscript"/>
        </w:rPr>
        <w:t>2</w:t>
      </w:r>
      <w:r>
        <w:rPr>
          <w:rStyle w:val="Bodytext1"/>
          <w:b/>
          <w:bCs/>
        </w:rPr>
        <w:t>.</w:t>
      </w:r>
    </w:p>
    <w:p w:rsidR="006735A3" w:rsidRDefault="001F6C86">
      <w:pPr>
        <w:pStyle w:val="Bodytext10"/>
        <w:spacing w:after="0" w:line="240" w:lineRule="auto"/>
      </w:pPr>
      <w:r>
        <w:rPr>
          <w:rStyle w:val="Bodytext1"/>
          <w:b/>
          <w:bCs/>
        </w:rPr>
        <w:t>Plocha užívaná provozovatelem je 42,24 m</w:t>
      </w:r>
      <w:r>
        <w:rPr>
          <w:rStyle w:val="Bodytext1"/>
          <w:b/>
          <w:bCs/>
          <w:vertAlign w:val="superscript"/>
        </w:rPr>
        <w:t>2</w:t>
      </w:r>
    </w:p>
    <w:p w:rsidR="006735A3" w:rsidRDefault="001F6C86">
      <w:pPr>
        <w:pStyle w:val="Bodytext10"/>
        <w:spacing w:line="240" w:lineRule="auto"/>
      </w:pPr>
      <w:r>
        <w:rPr>
          <w:rStyle w:val="Bodytext1"/>
          <w:b/>
          <w:bCs/>
        </w:rPr>
        <w:t>Procentní poměr k vyúčtování dodávek služeb činí: 0,75 %</w:t>
      </w:r>
    </w:p>
    <w:p w:rsidR="006735A3" w:rsidRDefault="001F6C86">
      <w:pPr>
        <w:pStyle w:val="Bodytext10"/>
        <w:spacing w:line="240" w:lineRule="auto"/>
      </w:pPr>
      <w:r>
        <w:rPr>
          <w:rStyle w:val="Bodytext1"/>
          <w:b/>
          <w:bCs/>
        </w:rPr>
        <w:t>Předmětem tohoto Dodatku je změna účtování a fakturace dodávky těchto služeb:</w:t>
      </w:r>
    </w:p>
    <w:p w:rsidR="006735A3" w:rsidRDefault="001F6C86">
      <w:pPr>
        <w:pStyle w:val="Bodytext10"/>
        <w:numPr>
          <w:ilvl w:val="0"/>
          <w:numId w:val="1"/>
        </w:numPr>
        <w:tabs>
          <w:tab w:val="left" w:pos="350"/>
        </w:tabs>
        <w:spacing w:after="0" w:line="240" w:lineRule="auto"/>
      </w:pPr>
      <w:r>
        <w:rPr>
          <w:rStyle w:val="Bodytext1"/>
          <w:b/>
          <w:bCs/>
        </w:rPr>
        <w:t>Účtování dodávky elektrické e</w:t>
      </w:r>
      <w:r>
        <w:rPr>
          <w:rStyle w:val="Bodytext1"/>
          <w:b/>
          <w:bCs/>
        </w:rPr>
        <w:t>nergie na osvětlení a technologii</w:t>
      </w:r>
    </w:p>
    <w:p w:rsidR="006735A3" w:rsidRDefault="001F6C86">
      <w:pPr>
        <w:pStyle w:val="Bodytext10"/>
        <w:jc w:val="both"/>
      </w:pPr>
      <w:r>
        <w:rPr>
          <w:rStyle w:val="Bodytext1"/>
        </w:rPr>
        <w:t xml:space="preserve">Dodávka elektrické energie na osvětlení a technologie pro budovu číslo 26 je uskutečněna z Energobloku I a dále z rozvodny umístněné v přízemí budovy 26. V rozvodně jsou instalovány podružné elektroměry pouze pro </w:t>
      </w:r>
      <w:r>
        <w:rPr>
          <w:rStyle w:val="Bodytext1"/>
        </w:rPr>
        <w:lastRenderedPageBreak/>
        <w:t>měření sp</w:t>
      </w:r>
      <w:r>
        <w:rPr>
          <w:rStyle w:val="Bodytext1"/>
        </w:rPr>
        <w:t>otřeby elektrické energie v budově 26. Prostory KNTB, KHS ZK, ZÚ Ostrava, ordinace MUDr. Nečase, společné prostory a výtahy mají vlastní podružní elektroměr.</w:t>
      </w:r>
    </w:p>
    <w:p w:rsidR="006735A3" w:rsidRDefault="001F6C86">
      <w:pPr>
        <w:pStyle w:val="Bodytext10"/>
        <w:spacing w:after="0"/>
        <w:jc w:val="both"/>
      </w:pPr>
      <w:r>
        <w:rPr>
          <w:rStyle w:val="Bodytext1"/>
        </w:rPr>
        <w:t>Spotřeba je sledována takto:</w:t>
      </w:r>
    </w:p>
    <w:p w:rsidR="006735A3" w:rsidRDefault="001F6C86">
      <w:pPr>
        <w:pStyle w:val="Bodytext10"/>
        <w:spacing w:after="0"/>
        <w:ind w:firstLine="780"/>
      </w:pPr>
      <w:r>
        <w:rPr>
          <w:rStyle w:val="Bodytext1"/>
        </w:rPr>
        <w:t xml:space="preserve">Skutečné údaje o spotřebě na podružném elektroměru „ordinace MUDr. </w:t>
      </w:r>
      <w:r>
        <w:rPr>
          <w:rStyle w:val="Bodytext1"/>
        </w:rPr>
        <w:t>Nečase“,</w:t>
      </w:r>
    </w:p>
    <w:p w:rsidR="006735A3" w:rsidRDefault="001F6C86">
      <w:pPr>
        <w:pStyle w:val="Bodytext10"/>
        <w:spacing w:after="160"/>
        <w:ind w:firstLine="780"/>
      </w:pPr>
      <w:r>
        <w:rPr>
          <w:rStyle w:val="Bodytext1"/>
        </w:rPr>
        <w:t>Skutečné údaje o spotřebě naměřené na podružných měřidlech „společná spotřeba a výtahy“</w:t>
      </w:r>
    </w:p>
    <w:p w:rsidR="006735A3" w:rsidRDefault="001F6C86">
      <w:pPr>
        <w:pStyle w:val="Bodytext10"/>
        <w:spacing w:after="440"/>
        <w:jc w:val="both"/>
      </w:pPr>
      <w:r>
        <w:rPr>
          <w:rStyle w:val="Bodytext1"/>
        </w:rPr>
        <w:t xml:space="preserve">Spotřeba elektrické energie </w:t>
      </w:r>
      <w:r>
        <w:rPr>
          <w:rStyle w:val="Bodytext1"/>
          <w:b/>
          <w:bCs/>
        </w:rPr>
        <w:t xml:space="preserve">bude účtována provozovateli měsíčně dle aktuálních cen </w:t>
      </w:r>
      <w:r>
        <w:rPr>
          <w:rStyle w:val="Bodytext1"/>
        </w:rPr>
        <w:t xml:space="preserve">příslušného dodavatele a distributora, </w:t>
      </w:r>
      <w:r>
        <w:rPr>
          <w:rStyle w:val="Bodytext1"/>
          <w:b/>
          <w:bCs/>
        </w:rPr>
        <w:t xml:space="preserve">dle skutečnosti </w:t>
      </w:r>
      <w:r>
        <w:rPr>
          <w:rStyle w:val="Bodytext1"/>
        </w:rPr>
        <w:t xml:space="preserve">(odečteném stavu) na </w:t>
      </w:r>
      <w:r>
        <w:rPr>
          <w:rStyle w:val="Bodytext1"/>
        </w:rPr>
        <w:t xml:space="preserve">podružném elektroměru „ordinace MUDr. Nečase“ </w:t>
      </w:r>
      <w:r>
        <w:rPr>
          <w:rStyle w:val="Bodytext1"/>
          <w:b/>
          <w:bCs/>
        </w:rPr>
        <w:t xml:space="preserve">a podílem 0,75 % </w:t>
      </w:r>
      <w:r>
        <w:rPr>
          <w:rStyle w:val="Bodytext1"/>
        </w:rPr>
        <w:t>spotřeby naměřené na podružných měřidlech „společná spotřeba a výtahy“.</w:t>
      </w:r>
    </w:p>
    <w:p w:rsidR="006735A3" w:rsidRDefault="001F6C86">
      <w:pPr>
        <w:pStyle w:val="Heading510"/>
        <w:keepNext/>
        <w:keepLines/>
        <w:numPr>
          <w:ilvl w:val="0"/>
          <w:numId w:val="1"/>
        </w:numPr>
        <w:tabs>
          <w:tab w:val="left" w:pos="347"/>
        </w:tabs>
      </w:pPr>
      <w:bookmarkStart w:id="1" w:name="bookmark2"/>
      <w:r>
        <w:rPr>
          <w:rStyle w:val="Heading51"/>
          <w:b/>
          <w:bCs/>
        </w:rPr>
        <w:t>Účtování dodávek tepla a teplé užitkové vody</w:t>
      </w:r>
      <w:bookmarkEnd w:id="1"/>
    </w:p>
    <w:p w:rsidR="006735A3" w:rsidRDefault="001F6C86">
      <w:pPr>
        <w:pStyle w:val="Bodytext10"/>
        <w:spacing w:line="254" w:lineRule="auto"/>
        <w:jc w:val="both"/>
      </w:pPr>
      <w:r>
        <w:rPr>
          <w:rStyle w:val="Bodytext1"/>
          <w:b/>
          <w:bCs/>
        </w:rPr>
        <w:t xml:space="preserve">Dodávka tepla </w:t>
      </w:r>
      <w:r>
        <w:rPr>
          <w:rStyle w:val="Bodytext1"/>
        </w:rPr>
        <w:t xml:space="preserve">pro budovu číslo 26 je uskutečněna z rozvodů výměníkové stanice „patologie“. Spotřeba je měřena na sekundárním rozvodu. Z celkové spotřeby naměřené tepelné energie pro přípravu tepla v budově číslo 26 </w:t>
      </w:r>
      <w:r>
        <w:rPr>
          <w:rStyle w:val="Bodytext1"/>
          <w:b/>
          <w:bCs/>
        </w:rPr>
        <w:t>bude provozovateli účtován měsíčně podíl 0,75 % spotřeb</w:t>
      </w:r>
      <w:r>
        <w:rPr>
          <w:rStyle w:val="Bodytext1"/>
          <w:b/>
          <w:bCs/>
        </w:rPr>
        <w:t>ované energie dle aktuálních cen příslušného dodavatele.</w:t>
      </w:r>
    </w:p>
    <w:p w:rsidR="006735A3" w:rsidRDefault="001F6C86">
      <w:pPr>
        <w:pStyle w:val="Bodytext10"/>
        <w:spacing w:after="440"/>
        <w:jc w:val="both"/>
      </w:pPr>
      <w:r>
        <w:rPr>
          <w:rStyle w:val="Bodytext1"/>
        </w:rPr>
        <w:t xml:space="preserve">Z celkové naměřené spotřeby </w:t>
      </w:r>
      <w:r>
        <w:rPr>
          <w:rStyle w:val="Bodytext1"/>
          <w:b/>
          <w:bCs/>
        </w:rPr>
        <w:t xml:space="preserve">tepelné energie pro přípravu teplé užitkové vody </w:t>
      </w:r>
      <w:r>
        <w:rPr>
          <w:rStyle w:val="Bodytext1"/>
        </w:rPr>
        <w:t xml:space="preserve">v budově číslo 26 </w:t>
      </w:r>
      <w:r>
        <w:rPr>
          <w:rStyle w:val="Bodytext1"/>
          <w:b/>
          <w:bCs/>
        </w:rPr>
        <w:t>bude provozovateli účtován měsíčně podíl 0,75 % spotřebované energie dle aktuálních cen příslušného doda</w:t>
      </w:r>
      <w:r>
        <w:rPr>
          <w:rStyle w:val="Bodytext1"/>
          <w:b/>
          <w:bCs/>
        </w:rPr>
        <w:t>vatele.</w:t>
      </w:r>
    </w:p>
    <w:p w:rsidR="006735A3" w:rsidRDefault="001F6C86">
      <w:pPr>
        <w:pStyle w:val="Heading510"/>
        <w:keepNext/>
        <w:keepLines/>
        <w:numPr>
          <w:ilvl w:val="0"/>
          <w:numId w:val="1"/>
        </w:numPr>
        <w:tabs>
          <w:tab w:val="left" w:pos="347"/>
        </w:tabs>
        <w:jc w:val="both"/>
      </w:pPr>
      <w:bookmarkStart w:id="2" w:name="bookmark4"/>
      <w:r>
        <w:rPr>
          <w:rStyle w:val="Heading51"/>
          <w:b/>
          <w:bCs/>
        </w:rPr>
        <w:t>Účtování dodávky pitné vody</w:t>
      </w:r>
      <w:bookmarkEnd w:id="2"/>
    </w:p>
    <w:p w:rsidR="006735A3" w:rsidRDefault="001F6C86">
      <w:pPr>
        <w:pStyle w:val="Bodytext10"/>
        <w:jc w:val="both"/>
      </w:pPr>
      <w:r>
        <w:rPr>
          <w:rStyle w:val="Bodytext1"/>
        </w:rPr>
        <w:t>Spotřeba pitné vody (vodné a stočné) je určena na základě vyhlášky 120/2011 Sb., Příloha číslo 12 - Směrná čísla potřeby vody, Oddíl IV. Zdravotnická a sociální zařízení. Vybavení: WC, umyvadla, tekoucí teplá voda, polož</w:t>
      </w:r>
      <w:r>
        <w:rPr>
          <w:rStyle w:val="Bodytext1"/>
        </w:rPr>
        <w:t>ka 21. Zdravotnická střediska, ambulatoria, ordinace, na 1 pracovníka a rok 18 m</w:t>
      </w:r>
      <w:r>
        <w:rPr>
          <w:rStyle w:val="Bodytext1"/>
          <w:vertAlign w:val="superscript"/>
        </w:rPr>
        <w:t>3</w:t>
      </w:r>
      <w:r>
        <w:rPr>
          <w:rStyle w:val="Bodytext1"/>
        </w:rPr>
        <w:t>. Položka 24. Ošetřovaná osoba, na 1 vyšetřenou osobu v denním režimu a rok 2 m</w:t>
      </w:r>
      <w:r>
        <w:rPr>
          <w:rStyle w:val="Bodytext1"/>
          <w:vertAlign w:val="superscript"/>
        </w:rPr>
        <w:t>3</w:t>
      </w:r>
      <w:r>
        <w:rPr>
          <w:rStyle w:val="Bodytext1"/>
        </w:rPr>
        <w:t>.</w:t>
      </w:r>
    </w:p>
    <w:p w:rsidR="006735A3" w:rsidRDefault="001F6C86">
      <w:pPr>
        <w:pStyle w:val="Bodytext10"/>
        <w:spacing w:line="257" w:lineRule="auto"/>
      </w:pPr>
      <w:r>
        <w:rPr>
          <w:rStyle w:val="Bodytext1"/>
        </w:rPr>
        <w:t xml:space="preserve">Paušální spotřeba bude určena výpočtem: </w:t>
      </w:r>
      <w:r>
        <w:rPr>
          <w:rStyle w:val="Bodytext1"/>
          <w:b/>
          <w:bCs/>
        </w:rPr>
        <w:t xml:space="preserve">4 x pracovník </w:t>
      </w:r>
      <w:r>
        <w:rPr>
          <w:rStyle w:val="Bodytext1"/>
        </w:rPr>
        <w:t xml:space="preserve">a </w:t>
      </w:r>
      <w:r>
        <w:rPr>
          <w:rStyle w:val="Bodytext1"/>
          <w:b/>
          <w:bCs/>
        </w:rPr>
        <w:t xml:space="preserve">50 </w:t>
      </w:r>
      <w:r>
        <w:rPr>
          <w:rStyle w:val="Bodytext1"/>
        </w:rPr>
        <w:t xml:space="preserve">x </w:t>
      </w:r>
      <w:r>
        <w:rPr>
          <w:rStyle w:val="Bodytext1"/>
          <w:b/>
          <w:bCs/>
        </w:rPr>
        <w:t xml:space="preserve">ošetřená osoba </w:t>
      </w:r>
      <w:r>
        <w:rPr>
          <w:rStyle w:val="Bodytext1"/>
        </w:rPr>
        <w:t>(4 x 18 m</w:t>
      </w:r>
      <w:r>
        <w:rPr>
          <w:rStyle w:val="Bodytext1"/>
          <w:vertAlign w:val="superscript"/>
        </w:rPr>
        <w:t>3</w:t>
      </w:r>
      <w:r>
        <w:rPr>
          <w:rStyle w:val="Bodytext1"/>
        </w:rPr>
        <w:t xml:space="preserve"> = 72 m</w:t>
      </w:r>
      <w:r>
        <w:rPr>
          <w:rStyle w:val="Bodytext1"/>
          <w:vertAlign w:val="superscript"/>
        </w:rPr>
        <w:t>3</w:t>
      </w:r>
      <w:r>
        <w:rPr>
          <w:rStyle w:val="Bodytext1"/>
        </w:rPr>
        <w:t xml:space="preserve"> / rok) + (50 x 2 m</w:t>
      </w:r>
      <w:r>
        <w:rPr>
          <w:rStyle w:val="Bodytext1"/>
          <w:vertAlign w:val="superscript"/>
        </w:rPr>
        <w:t>3</w:t>
      </w:r>
      <w:r>
        <w:rPr>
          <w:rStyle w:val="Bodytext1"/>
        </w:rPr>
        <w:t xml:space="preserve"> = 100 m</w:t>
      </w:r>
      <w:r>
        <w:rPr>
          <w:rStyle w:val="Bodytext1"/>
          <w:vertAlign w:val="superscript"/>
        </w:rPr>
        <w:t>3</w:t>
      </w:r>
      <w:r>
        <w:rPr>
          <w:rStyle w:val="Bodytext1"/>
        </w:rPr>
        <w:t xml:space="preserve"> / rok) = </w:t>
      </w:r>
      <w:r>
        <w:rPr>
          <w:rStyle w:val="Bodytext1"/>
          <w:b/>
          <w:bCs/>
        </w:rPr>
        <w:t>172 m</w:t>
      </w:r>
      <w:r>
        <w:rPr>
          <w:rStyle w:val="Bodytext1"/>
          <w:b/>
          <w:bCs/>
          <w:vertAlign w:val="superscript"/>
        </w:rPr>
        <w:t>3</w:t>
      </w:r>
      <w:r>
        <w:rPr>
          <w:rStyle w:val="Bodytext1"/>
          <w:b/>
          <w:bCs/>
        </w:rPr>
        <w:t xml:space="preserve"> / rok </w:t>
      </w:r>
      <w:r>
        <w:rPr>
          <w:rStyle w:val="Bodytext1"/>
        </w:rPr>
        <w:t>172 m</w:t>
      </w:r>
      <w:r>
        <w:rPr>
          <w:rStyle w:val="Bodytext1"/>
          <w:vertAlign w:val="superscript"/>
        </w:rPr>
        <w:t>3</w:t>
      </w:r>
      <w:r>
        <w:rPr>
          <w:rStyle w:val="Bodytext1"/>
        </w:rPr>
        <w:t xml:space="preserve">/12 </w:t>
      </w:r>
      <w:r>
        <w:rPr>
          <w:rStyle w:val="Bodytext1"/>
          <w:b/>
          <w:bCs/>
        </w:rPr>
        <w:t xml:space="preserve">= 14,33 </w:t>
      </w:r>
      <w:r>
        <w:rPr>
          <w:rStyle w:val="Bodytext1"/>
        </w:rPr>
        <w:t xml:space="preserve">m3 </w:t>
      </w:r>
      <w:r>
        <w:rPr>
          <w:rStyle w:val="Bodytext1"/>
          <w:b/>
          <w:bCs/>
        </w:rPr>
        <w:t>za měsíc.</w:t>
      </w:r>
    </w:p>
    <w:p w:rsidR="006735A3" w:rsidRDefault="001F6C86">
      <w:pPr>
        <w:pStyle w:val="Heading510"/>
        <w:keepNext/>
        <w:keepLines/>
      </w:pPr>
      <w:bookmarkStart w:id="3" w:name="bookmark6"/>
      <w:r>
        <w:rPr>
          <w:rStyle w:val="Heading51"/>
          <w:b/>
          <w:bCs/>
        </w:rPr>
        <w:t>Paušální spotřeba 14,33 m</w:t>
      </w:r>
      <w:r>
        <w:rPr>
          <w:rStyle w:val="Heading51"/>
          <w:b/>
          <w:bCs/>
          <w:vertAlign w:val="superscript"/>
        </w:rPr>
        <w:t>3</w:t>
      </w:r>
      <w:r>
        <w:rPr>
          <w:rStyle w:val="Heading51"/>
          <w:b/>
          <w:bCs/>
        </w:rPr>
        <w:t xml:space="preserve"> za měsíc bude účtovaná dle aktuálních cen dodavatele.</w:t>
      </w:r>
      <w:bookmarkEnd w:id="3"/>
    </w:p>
    <w:p w:rsidR="006735A3" w:rsidRDefault="001F6C86">
      <w:pPr>
        <w:pStyle w:val="Bodytext10"/>
        <w:spacing w:after="680" w:line="259" w:lineRule="auto"/>
        <w:jc w:val="both"/>
      </w:pPr>
      <w:r>
        <w:rPr>
          <w:rStyle w:val="Bodytext1"/>
        </w:rPr>
        <w:t>Pozn. Srážková voda nebude účtována (spadá pod Krajskou hygienickou stanici Zlínského kraje</w:t>
      </w:r>
      <w:r>
        <w:rPr>
          <w:rStyle w:val="Bodytext1"/>
        </w:rPr>
        <w:t>, vlastníka nemovitosti)</w:t>
      </w:r>
    </w:p>
    <w:p w:rsidR="006735A3" w:rsidRDefault="001F6C86">
      <w:pPr>
        <w:pStyle w:val="Heading510"/>
        <w:keepNext/>
        <w:keepLines/>
        <w:spacing w:after="0" w:line="254" w:lineRule="auto"/>
        <w:jc w:val="center"/>
      </w:pPr>
      <w:bookmarkStart w:id="4" w:name="bookmark8"/>
      <w:r>
        <w:rPr>
          <w:rStyle w:val="Heading51"/>
          <w:b/>
          <w:bCs/>
        </w:rPr>
        <w:t xml:space="preserve">Článek </w:t>
      </w:r>
      <w:r>
        <w:rPr>
          <w:rStyle w:val="Heading51"/>
          <w:b/>
          <w:bCs/>
          <w:lang w:val="en-US" w:eastAsia="en-US" w:bidi="en-US"/>
        </w:rPr>
        <w:t>III.</w:t>
      </w:r>
      <w:bookmarkEnd w:id="4"/>
    </w:p>
    <w:p w:rsidR="006735A3" w:rsidRDefault="001F6C86">
      <w:pPr>
        <w:pStyle w:val="Heading510"/>
        <w:keepNext/>
        <w:keepLines/>
        <w:spacing w:line="254" w:lineRule="auto"/>
        <w:jc w:val="center"/>
      </w:pPr>
      <w:r>
        <w:rPr>
          <w:rStyle w:val="Heading51"/>
          <w:b/>
          <w:bCs/>
        </w:rPr>
        <w:t>Závěrečná ustanovení</w:t>
      </w:r>
    </w:p>
    <w:p w:rsidR="006735A3" w:rsidRDefault="001F6C86">
      <w:pPr>
        <w:pStyle w:val="Bodytext10"/>
        <w:numPr>
          <w:ilvl w:val="0"/>
          <w:numId w:val="2"/>
        </w:numPr>
        <w:tabs>
          <w:tab w:val="left" w:pos="347"/>
        </w:tabs>
        <w:spacing w:after="0" w:line="254" w:lineRule="auto"/>
        <w:ind w:left="360" w:hanging="360"/>
      </w:pPr>
      <w:r>
        <w:rPr>
          <w:rStyle w:val="Bodytext1"/>
        </w:rPr>
        <w:t>Ostatní ujednání smlouvy, pokud nejsou dotčena tímto Dodatkem, se nemění a zůstávají v platnosti beze změn.</w:t>
      </w:r>
    </w:p>
    <w:p w:rsidR="006735A3" w:rsidRDefault="001F6C86">
      <w:pPr>
        <w:pStyle w:val="Bodytext10"/>
        <w:numPr>
          <w:ilvl w:val="0"/>
          <w:numId w:val="2"/>
        </w:numPr>
        <w:tabs>
          <w:tab w:val="left" w:pos="347"/>
        </w:tabs>
        <w:spacing w:after="0" w:line="254" w:lineRule="auto"/>
        <w:ind w:left="360" w:hanging="360"/>
      </w:pPr>
      <w:r>
        <w:rPr>
          <w:rStyle w:val="Bodytext1"/>
        </w:rPr>
        <w:t>Dodatek se uzavírá na dobu trvání nájemní smlouvy na prostory, která je uzavřena mezi prov</w:t>
      </w:r>
      <w:r>
        <w:rPr>
          <w:rStyle w:val="Bodytext1"/>
        </w:rPr>
        <w:t>ozovatelem a KHS ZK.</w:t>
      </w:r>
    </w:p>
    <w:p w:rsidR="006735A3" w:rsidRDefault="001F6C86">
      <w:pPr>
        <w:pStyle w:val="Bodytext10"/>
        <w:numPr>
          <w:ilvl w:val="0"/>
          <w:numId w:val="2"/>
        </w:numPr>
        <w:tabs>
          <w:tab w:val="left" w:pos="347"/>
        </w:tabs>
        <w:spacing w:after="0" w:line="254" w:lineRule="auto"/>
        <w:ind w:left="360" w:hanging="360"/>
      </w:pPr>
      <w:r>
        <w:rPr>
          <w:rStyle w:val="Bodytext1"/>
        </w:rPr>
        <w:t>Tento Dodatek nabývá platnosti dnem podpisu obou smluvních stran a účinnosti dnem uveřejnění v registru smluv dle zákona č. 340/2015 Sb. Uveřejnění v registru smluv zajistí nemocnice.</w:t>
      </w:r>
    </w:p>
    <w:p w:rsidR="006735A3" w:rsidRDefault="001F6C86">
      <w:pPr>
        <w:pStyle w:val="Bodytext10"/>
        <w:numPr>
          <w:ilvl w:val="0"/>
          <w:numId w:val="2"/>
        </w:numPr>
        <w:tabs>
          <w:tab w:val="left" w:pos="347"/>
        </w:tabs>
        <w:spacing w:after="0" w:line="254" w:lineRule="auto"/>
      </w:pPr>
      <w:r>
        <w:rPr>
          <w:rStyle w:val="Bodytext1"/>
        </w:rPr>
        <w:t xml:space="preserve">Dodatek je vyhotoven ve dvou stejnopisech, z nichž </w:t>
      </w:r>
      <w:r>
        <w:rPr>
          <w:rStyle w:val="Bodytext1"/>
        </w:rPr>
        <w:t>každá smluvní strana obdrží jeden.</w:t>
      </w:r>
    </w:p>
    <w:p w:rsidR="006735A3" w:rsidRDefault="001F6C86">
      <w:pPr>
        <w:pStyle w:val="Bodytext10"/>
        <w:numPr>
          <w:ilvl w:val="0"/>
          <w:numId w:val="2"/>
        </w:numPr>
        <w:tabs>
          <w:tab w:val="left" w:pos="347"/>
        </w:tabs>
        <w:spacing w:line="254" w:lineRule="auto"/>
        <w:ind w:left="360" w:hanging="360"/>
        <w:sectPr w:rsidR="006735A3">
          <w:pgSz w:w="11900" w:h="16840"/>
          <w:pgMar w:top="1417" w:right="1275" w:bottom="1399" w:left="1328" w:header="989" w:footer="971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Smluvní strany prohlašují, že si tento Dodatek přečetly a jeho obsahu rozumí, že s ním souhlasí a na důkaz platnosti podepisují.</w:t>
      </w:r>
    </w:p>
    <w:p w:rsidR="006735A3" w:rsidRDefault="001F6C86">
      <w:pPr>
        <w:pStyle w:val="Bodytext10"/>
        <w:framePr w:w="826" w:h="322" w:wrap="none" w:hAnchor="page" w:x="1332" w:y="198"/>
        <w:spacing w:after="0" w:line="240" w:lineRule="auto"/>
        <w:jc w:val="both"/>
      </w:pPr>
      <w:r>
        <w:rPr>
          <w:rStyle w:val="Bodytext1"/>
          <w:rFonts w:ascii="Times New Roman" w:eastAsia="Times New Roman" w:hAnsi="Times New Roman" w:cs="Times New Roman"/>
          <w:b/>
          <w:bCs/>
          <w:w w:val="60"/>
          <w:sz w:val="26"/>
          <w:szCs w:val="26"/>
        </w:rPr>
        <w:lastRenderedPageBreak/>
        <w:t xml:space="preserve">Ve </w:t>
      </w:r>
      <w:r>
        <w:rPr>
          <w:rStyle w:val="Bodytext1"/>
          <w:i/>
          <w:iCs/>
        </w:rPr>
        <w:t>Zlíně:</w:t>
      </w:r>
    </w:p>
    <w:p w:rsidR="006735A3" w:rsidRDefault="001F6C86">
      <w:pPr>
        <w:pStyle w:val="Other10"/>
        <w:framePr w:w="1200" w:h="312" w:wrap="none" w:hAnchor="page" w:x="2998" w:y="1"/>
        <w:spacing w:after="0" w:line="240" w:lineRule="auto"/>
        <w:rPr>
          <w:sz w:val="22"/>
          <w:szCs w:val="22"/>
        </w:rPr>
      </w:pPr>
      <w:proofErr w:type="gramStart"/>
      <w:r>
        <w:rPr>
          <w:rStyle w:val="Other1"/>
          <w:rFonts w:ascii="Times New Roman" w:eastAsia="Times New Roman" w:hAnsi="Times New Roman" w:cs="Times New Roman"/>
          <w:sz w:val="22"/>
          <w:szCs w:val="22"/>
        </w:rPr>
        <w:t>12 -</w:t>
      </w:r>
      <w:r w:rsidR="00635B46">
        <w:rPr>
          <w:rStyle w:val="Other1"/>
          <w:rFonts w:ascii="Times New Roman" w:eastAsia="Times New Roman" w:hAnsi="Times New Roman" w:cs="Times New Roman"/>
          <w:sz w:val="22"/>
          <w:szCs w:val="22"/>
        </w:rPr>
        <w:t>03</w:t>
      </w:r>
      <w:proofErr w:type="gramEnd"/>
      <w:r w:rsidR="00635B46">
        <w:rPr>
          <w:rStyle w:val="Other1"/>
          <w:rFonts w:ascii="Times New Roman" w:eastAsia="Times New Roman" w:hAnsi="Times New Roman" w:cs="Times New Roman"/>
          <w:sz w:val="22"/>
          <w:szCs w:val="22"/>
        </w:rPr>
        <w:t>-24</w:t>
      </w:r>
    </w:p>
    <w:p w:rsidR="006735A3" w:rsidRDefault="001F6C86">
      <w:pPr>
        <w:pStyle w:val="Heading410"/>
        <w:keepNext/>
        <w:keepLines/>
        <w:framePr w:w="2280" w:h="365" w:wrap="none" w:hAnchor="page" w:x="6910" w:y="217"/>
        <w:spacing w:line="240" w:lineRule="auto"/>
      </w:pPr>
      <w:bookmarkStart w:id="5" w:name="bookmark11"/>
      <w:r>
        <w:rPr>
          <w:rStyle w:val="Heading41"/>
          <w:rFonts w:ascii="Arial" w:eastAsia="Arial" w:hAnsi="Arial" w:cs="Arial"/>
          <w:i/>
          <w:iCs/>
          <w:color w:val="000000"/>
          <w:w w:val="100"/>
          <w:sz w:val="19"/>
          <w:szCs w:val="19"/>
        </w:rPr>
        <w:t>Ve Zlíně:</w:t>
      </w:r>
      <w:r>
        <w:rPr>
          <w:rStyle w:val="Heading41"/>
          <w:b/>
          <w:bCs/>
          <w:color w:val="000000"/>
        </w:rPr>
        <w:t xml:space="preserve"> 14-</w:t>
      </w:r>
      <w:proofErr w:type="gramStart"/>
      <w:r>
        <w:rPr>
          <w:rStyle w:val="Heading41"/>
          <w:b/>
          <w:bCs/>
          <w:color w:val="000000"/>
        </w:rPr>
        <w:t>03- 2024</w:t>
      </w:r>
      <w:bookmarkEnd w:id="5"/>
      <w:proofErr w:type="gramEnd"/>
    </w:p>
    <w:p w:rsidR="006735A3" w:rsidRDefault="001F6C86">
      <w:pPr>
        <w:pStyle w:val="Bodytext10"/>
        <w:framePr w:w="1152" w:h="235" w:wrap="none" w:hAnchor="page" w:x="1327" w:y="731"/>
        <w:spacing w:after="0" w:line="240" w:lineRule="auto"/>
      </w:pPr>
      <w:r>
        <w:rPr>
          <w:rStyle w:val="Bodytext1"/>
          <w:b/>
          <w:bCs/>
        </w:rPr>
        <w:t>Nemocnice:</w:t>
      </w:r>
    </w:p>
    <w:p w:rsidR="006735A3" w:rsidRDefault="001F6C86">
      <w:pPr>
        <w:pStyle w:val="Picturecaption10"/>
        <w:framePr w:w="3010" w:h="725" w:wrap="none" w:hAnchor="page" w:x="1813" w:y="1887"/>
        <w:spacing w:line="259" w:lineRule="auto"/>
      </w:pPr>
      <w:r>
        <w:rPr>
          <w:rStyle w:val="Picturecaption1"/>
          <w:b/>
          <w:bCs/>
        </w:rPr>
        <w:t xml:space="preserve">Krajská nemocnice T. </w:t>
      </w:r>
      <w:r>
        <w:rPr>
          <w:rStyle w:val="Picturecaption1"/>
        </w:rPr>
        <w:t xml:space="preserve">Bati, </w:t>
      </w:r>
      <w:r>
        <w:rPr>
          <w:rStyle w:val="Picturecaption1"/>
          <w:b/>
          <w:bCs/>
        </w:rPr>
        <w:t>a. s.</w:t>
      </w:r>
    </w:p>
    <w:p w:rsidR="006735A3" w:rsidRDefault="001F6C86">
      <w:pPr>
        <w:pStyle w:val="Picturecaption10"/>
        <w:framePr w:w="3010" w:h="725" w:wrap="none" w:hAnchor="page" w:x="1813" w:y="1887"/>
        <w:spacing w:line="259" w:lineRule="auto"/>
        <w:ind w:left="160" w:firstLine="40"/>
      </w:pPr>
      <w:r>
        <w:rPr>
          <w:rStyle w:val="Picturecaption1"/>
          <w:lang w:val="en-US" w:eastAsia="en-US" w:bidi="en-US"/>
        </w:rPr>
        <w:t xml:space="preserve">Ing. </w:t>
      </w:r>
      <w:r>
        <w:rPr>
          <w:rStyle w:val="Picturecaption1"/>
        </w:rPr>
        <w:t>Jan Hrdý předseda představenstva</w:t>
      </w:r>
    </w:p>
    <w:p w:rsidR="006735A3" w:rsidRDefault="001F6C86">
      <w:pPr>
        <w:pStyle w:val="Bodytext10"/>
        <w:framePr w:w="2750" w:h="240" w:wrap="none" w:hAnchor="page" w:x="6939" w:y="1902"/>
        <w:spacing w:after="0" w:line="240" w:lineRule="auto"/>
      </w:pPr>
      <w:r>
        <w:rPr>
          <w:rStyle w:val="Bodytext1"/>
          <w:b/>
          <w:bCs/>
        </w:rPr>
        <w:t>MUD</w:t>
      </w:r>
      <w:r w:rsidR="00635B46">
        <w:rPr>
          <w:rStyle w:val="Bodytext1"/>
          <w:b/>
          <w:bCs/>
        </w:rPr>
        <w:t>r</w:t>
      </w:r>
      <w:r>
        <w:rPr>
          <w:rStyle w:val="Bodytext1"/>
          <w:b/>
          <w:bCs/>
        </w:rPr>
        <w:t>. N</w:t>
      </w:r>
      <w:r w:rsidR="00635B46">
        <w:rPr>
          <w:rStyle w:val="Bodytext1"/>
          <w:b/>
          <w:bCs/>
        </w:rPr>
        <w:t>e</w:t>
      </w:r>
      <w:bookmarkStart w:id="6" w:name="_GoBack"/>
      <w:bookmarkEnd w:id="6"/>
      <w:r>
        <w:rPr>
          <w:rStyle w:val="Bodytext1"/>
          <w:b/>
          <w:bCs/>
        </w:rPr>
        <w:t>čas Lubomír, s.r.o.</w:t>
      </w:r>
    </w:p>
    <w:p w:rsidR="006735A3" w:rsidRDefault="001F6C86">
      <w:pPr>
        <w:pStyle w:val="Picturecaption10"/>
        <w:framePr w:w="3010" w:h="710" w:wrap="none" w:hAnchor="page" w:x="1923" w:y="3740"/>
        <w:spacing w:line="252" w:lineRule="auto"/>
      </w:pPr>
      <w:r>
        <w:rPr>
          <w:rStyle w:val="Picturecaption1"/>
          <w:b/>
          <w:bCs/>
        </w:rPr>
        <w:t>Krajská nemocnice T. Bati, a. s.</w:t>
      </w:r>
    </w:p>
    <w:p w:rsidR="006735A3" w:rsidRDefault="001F6C86">
      <w:pPr>
        <w:pStyle w:val="Picturecaption10"/>
        <w:framePr w:w="3010" w:h="710" w:wrap="none" w:hAnchor="page" w:x="1923" w:y="3740"/>
        <w:spacing w:line="252" w:lineRule="auto"/>
        <w:jc w:val="center"/>
      </w:pPr>
      <w:r>
        <w:rPr>
          <w:rStyle w:val="Picturecaption1"/>
        </w:rPr>
        <w:t>Ing. Martin Déva člen představenstva</w:t>
      </w: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line="360" w:lineRule="exact"/>
      </w:pPr>
    </w:p>
    <w:p w:rsidR="006735A3" w:rsidRDefault="006735A3">
      <w:pPr>
        <w:spacing w:after="676" w:line="1" w:lineRule="exact"/>
      </w:pPr>
    </w:p>
    <w:p w:rsidR="006735A3" w:rsidRDefault="006735A3">
      <w:pPr>
        <w:spacing w:line="1" w:lineRule="exact"/>
      </w:pPr>
    </w:p>
    <w:sectPr w:rsidR="006735A3">
      <w:pgSz w:w="11900" w:h="16840"/>
      <w:pgMar w:top="1304" w:right="2005" w:bottom="1304" w:left="1326" w:header="876" w:footer="8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86" w:rsidRDefault="001F6C86">
      <w:r>
        <w:separator/>
      </w:r>
    </w:p>
  </w:endnote>
  <w:endnote w:type="continuationSeparator" w:id="0">
    <w:p w:rsidR="001F6C86" w:rsidRDefault="001F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86" w:rsidRDefault="001F6C86"/>
  </w:footnote>
  <w:footnote w:type="continuationSeparator" w:id="0">
    <w:p w:rsidR="001F6C86" w:rsidRDefault="001F6C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C00"/>
    <w:multiLevelType w:val="multilevel"/>
    <w:tmpl w:val="66B6E3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B16000"/>
    <w:multiLevelType w:val="multilevel"/>
    <w:tmpl w:val="4E6A866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A3"/>
    <w:rsid w:val="001F6C86"/>
    <w:rsid w:val="005B61F4"/>
    <w:rsid w:val="00635B46"/>
    <w:rsid w:val="006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3F69"/>
  <w15:docId w15:val="{2CE52F4F-D76E-4AF8-8B59-F56046BD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color w:val="5D86D6"/>
      <w:w w:val="60"/>
      <w:sz w:val="26"/>
      <w:szCs w:val="26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6"/>
      <w:szCs w:val="1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5D86D6"/>
      <w:sz w:val="40"/>
      <w:szCs w:val="40"/>
      <w:u w:val="none"/>
    </w:rPr>
  </w:style>
  <w:style w:type="paragraph" w:customStyle="1" w:styleId="Heading310">
    <w:name w:val="Heading #3|1"/>
    <w:basedOn w:val="Normln"/>
    <w:link w:val="Heading31"/>
    <w:pPr>
      <w:spacing w:after="380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20">
    <w:name w:val="Body text|2"/>
    <w:basedOn w:val="Normln"/>
    <w:link w:val="Bodytext2"/>
    <w:pPr>
      <w:spacing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10">
    <w:name w:val="Body text|1"/>
    <w:basedOn w:val="Normln"/>
    <w:link w:val="Bodytext1"/>
    <w:pPr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Heading510">
    <w:name w:val="Heading #5|1"/>
    <w:basedOn w:val="Normln"/>
    <w:link w:val="Heading51"/>
    <w:pPr>
      <w:spacing w:after="220" w:line="252" w:lineRule="auto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pPr>
      <w:spacing w:after="22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Heading410">
    <w:name w:val="Heading #4|1"/>
    <w:basedOn w:val="Normln"/>
    <w:link w:val="Heading41"/>
    <w:pPr>
      <w:spacing w:line="216" w:lineRule="auto"/>
      <w:outlineLvl w:val="3"/>
    </w:pPr>
    <w:rPr>
      <w:b/>
      <w:bCs/>
      <w:color w:val="5D86D6"/>
      <w:w w:val="60"/>
      <w:sz w:val="26"/>
      <w:szCs w:val="26"/>
    </w:rPr>
  </w:style>
  <w:style w:type="paragraph" w:customStyle="1" w:styleId="Picturecaption10">
    <w:name w:val="Picture caption|1"/>
    <w:basedOn w:val="Normln"/>
    <w:link w:val="Picturecaption1"/>
    <w:pPr>
      <w:spacing w:line="254" w:lineRule="auto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z w:val="36"/>
      <w:szCs w:val="36"/>
    </w:rPr>
  </w:style>
  <w:style w:type="paragraph" w:customStyle="1" w:styleId="Bodytext30">
    <w:name w:val="Body text|3"/>
    <w:basedOn w:val="Normln"/>
    <w:link w:val="Bodytext3"/>
    <w:pPr>
      <w:spacing w:line="295" w:lineRule="auto"/>
    </w:pPr>
    <w:rPr>
      <w:rFonts w:ascii="Arial" w:eastAsia="Arial" w:hAnsi="Arial" w:cs="Arial"/>
      <w:w w:val="80"/>
      <w:sz w:val="16"/>
      <w:szCs w:val="16"/>
    </w:rPr>
  </w:style>
  <w:style w:type="paragraph" w:customStyle="1" w:styleId="Heading110">
    <w:name w:val="Heading #1|1"/>
    <w:basedOn w:val="Normln"/>
    <w:link w:val="Heading11"/>
    <w:pPr>
      <w:jc w:val="right"/>
      <w:outlineLvl w:val="0"/>
    </w:pPr>
    <w:rPr>
      <w:rFonts w:ascii="Arial" w:eastAsia="Arial" w:hAnsi="Arial" w:cs="Arial"/>
      <w:color w:val="5D86D6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2024-03-19T08:16:00Z</dcterms:created>
  <dcterms:modified xsi:type="dcterms:W3CDTF">2024-03-19T08:16:00Z</dcterms:modified>
</cp:coreProperties>
</file>