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0" w:after="160" w:line="259" w:lineRule="auto"/>
        <w:jc w:val="left"/>
        <w:rPr>
          <w:rFonts w:ascii="Arial" w:eastAsiaTheme="minorHAnsi" w:hAnsi="Arial" w:cs="Arial"/>
          <w:caps/>
          <w:sz w:val="40"/>
          <w:szCs w:val="32"/>
          <w:lang w:eastAsia="en-US"/>
        </w:rPr>
      </w:pPr>
    </w:p>
    <w:p>
      <w:pPr>
        <w:pStyle w:val="NZEV"/>
        <w:rPr>
          <w:rFonts w:ascii="Arial" w:hAnsi="Arial" w:cs="Arial"/>
          <w:b/>
          <w:bCs/>
          <w:sz w:val="32"/>
        </w:rPr>
      </w:pPr>
      <w:r>
        <w:rPr>
          <w:rFonts w:ascii="Arial" w:hAnsi="Arial" w:cs="Arial"/>
          <w:b/>
          <w:bCs/>
          <w:sz w:val="32"/>
        </w:rPr>
        <w:t>PŘÍKAZNÍ Smlouva o výkonu technického dozoru stavebníka</w:t>
      </w:r>
      <w:r>
        <w:t xml:space="preserve"> </w:t>
      </w:r>
      <w:r>
        <w:rPr>
          <w:rFonts w:ascii="Arial" w:hAnsi="Arial" w:cs="Arial"/>
          <w:b/>
          <w:bCs/>
          <w:sz w:val="32"/>
        </w:rPr>
        <w:t>a činnosti koordinátora bezpečnosti a ochrany zdraví při práci</w:t>
      </w:r>
    </w:p>
    <w:p>
      <w:pPr>
        <w:widowControl w:val="0"/>
        <w:overflowPunct w:val="0"/>
        <w:autoSpaceDE w:val="0"/>
        <w:autoSpaceDN w:val="0"/>
        <w:adjustRightInd w:val="0"/>
        <w:spacing w:after="0"/>
        <w:jc w:val="center"/>
        <w:rPr>
          <w:rFonts w:ascii="Arial" w:hAnsi="Arial" w:cs="Arial"/>
          <w:sz w:val="22"/>
        </w:rPr>
      </w:pPr>
      <w:r>
        <w:rPr>
          <w:rFonts w:ascii="Arial" w:hAnsi="Arial" w:cs="Arial"/>
          <w:sz w:val="22"/>
        </w:rPr>
        <w:t>uzavřená dle zákona č. 89/2012 Sb., občanský zákoník, ve znění pozdějších předpisů (dále též „</w:t>
      </w:r>
      <w:r>
        <w:rPr>
          <w:rFonts w:ascii="Arial" w:hAnsi="Arial" w:cs="Arial"/>
          <w:b/>
          <w:i/>
          <w:iCs/>
          <w:sz w:val="22"/>
        </w:rPr>
        <w:t>Občanský zákoník</w:t>
      </w:r>
      <w:r>
        <w:rPr>
          <w:rFonts w:ascii="Arial" w:hAnsi="Arial" w:cs="Arial"/>
          <w:sz w:val="22"/>
        </w:rPr>
        <w:t>“)</w:t>
      </w:r>
    </w:p>
    <w:p>
      <w:pPr>
        <w:widowControl w:val="0"/>
        <w:overflowPunct w:val="0"/>
        <w:autoSpaceDE w:val="0"/>
        <w:autoSpaceDN w:val="0"/>
        <w:adjustRightInd w:val="0"/>
        <w:spacing w:before="0"/>
        <w:jc w:val="center"/>
        <w:rPr>
          <w:rFonts w:ascii="Arial" w:hAnsi="Arial" w:cs="Arial"/>
        </w:rPr>
      </w:pPr>
    </w:p>
    <w:p>
      <w:pPr>
        <w:pStyle w:val="SML11"/>
        <w:numPr>
          <w:ilvl w:val="0"/>
          <w:numId w:val="0"/>
        </w:numPr>
        <w:ind w:left="567"/>
        <w:rPr>
          <w:rFonts w:ascii="Arial" w:hAnsi="Arial"/>
        </w:rPr>
      </w:pPr>
      <w:bookmarkStart w:id="0" w:name="_Toc7101134"/>
      <w:r>
        <w:rPr>
          <w:rFonts w:ascii="Arial" w:hAnsi="Arial"/>
        </w:rPr>
        <w:t>Příkazce</w:t>
      </w:r>
    </w:p>
    <w:p>
      <w:pPr>
        <w:pStyle w:val="SML11"/>
        <w:numPr>
          <w:ilvl w:val="0"/>
          <w:numId w:val="0"/>
        </w:numPr>
        <w:ind w:left="720"/>
        <w:rPr>
          <w:rFonts w:ascii="Arial" w:hAnsi="Arial"/>
        </w:rPr>
      </w:pPr>
    </w:p>
    <w:p>
      <w:pPr>
        <w:pStyle w:val="SML11"/>
        <w:numPr>
          <w:ilvl w:val="0"/>
          <w:numId w:val="0"/>
        </w:numPr>
        <w:ind w:left="567"/>
        <w:rPr>
          <w:rFonts w:ascii="Arial" w:hAnsi="Arial"/>
          <w:color w:val="000000"/>
        </w:rPr>
      </w:pPr>
      <w:r>
        <w:rPr>
          <w:rFonts w:ascii="Arial" w:hAnsi="Arial"/>
          <w:lang w:eastAsia="en-US" w:bidi="en-US"/>
        </w:rPr>
        <w:t>Název:</w:t>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lang w:eastAsia="en-US" w:bidi="en-US"/>
        </w:rPr>
        <w:tab/>
        <w:t>Město Žďár nad Sázavou</w:t>
      </w:r>
      <w:r>
        <w:rPr>
          <w:rFonts w:ascii="Arial" w:hAnsi="Arial"/>
          <w:highlight w:val="lightGray"/>
          <w:lang w:eastAsia="en-US" w:bidi="en-US"/>
        </w:rPr>
        <w:t xml:space="preserve"> </w:t>
      </w:r>
    </w:p>
    <w:p>
      <w:pPr>
        <w:spacing w:before="0" w:after="0"/>
        <w:ind w:left="567"/>
        <w:rPr>
          <w:rFonts w:ascii="Arial" w:hAnsi="Arial" w:cs="Arial"/>
          <w:bCs/>
          <w:color w:val="000000"/>
          <w:sz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Žižkova 227/1, 591 01 Žďár nad Sázavou</w:t>
      </w:r>
      <w:r>
        <w:rPr>
          <w:rFonts w:ascii="Arial" w:hAnsi="Arial" w:cs="Arial"/>
          <w:sz w:val="22"/>
          <w:highlight w:val="lightGray"/>
        </w:rPr>
        <w:t xml:space="preserve"> </w:t>
      </w:r>
    </w:p>
    <w:p>
      <w:pPr>
        <w:spacing w:before="0" w:after="0"/>
        <w:ind w:left="567"/>
        <w:rPr>
          <w:rFonts w:ascii="Arial" w:hAnsi="Arial" w:cs="Arial"/>
          <w:color w:val="000000"/>
          <w:sz w:val="22"/>
        </w:rPr>
      </w:pPr>
      <w:r>
        <w:rPr>
          <w:rFonts w:ascii="Arial" w:hAnsi="Arial" w:cs="Arial"/>
          <w:color w:val="000000"/>
          <w:sz w:val="22"/>
        </w:rPr>
        <w:t xml:space="preserve">IČO: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00295841</w:t>
      </w:r>
    </w:p>
    <w:p>
      <w:pPr>
        <w:spacing w:before="0" w:after="0"/>
        <w:ind w:left="567"/>
        <w:rPr>
          <w:rFonts w:ascii="Arial" w:hAnsi="Arial" w:cs="Arial"/>
          <w:color w:val="000000"/>
          <w:sz w:val="22"/>
        </w:rPr>
      </w:pPr>
      <w:r>
        <w:rPr>
          <w:rFonts w:ascii="Arial" w:hAnsi="Arial" w:cs="Arial"/>
          <w:color w:val="000000"/>
          <w:sz w:val="22"/>
        </w:rPr>
        <w:t xml:space="preserve">DIČ: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CZ00295841</w:t>
      </w:r>
    </w:p>
    <w:p>
      <w:pPr>
        <w:spacing w:before="0" w:after="0"/>
        <w:ind w:left="567"/>
        <w:rPr>
          <w:rFonts w:ascii="Arial" w:hAnsi="Arial" w:cs="Arial"/>
          <w:sz w:val="22"/>
          <w:lang w:eastAsia="en-US" w:bidi="en-US"/>
        </w:rPr>
      </w:pPr>
      <w:r>
        <w:rPr>
          <w:rFonts w:ascii="Arial" w:hAnsi="Arial" w:cs="Arial"/>
          <w:color w:val="000000"/>
          <w:sz w:val="22"/>
        </w:rPr>
        <w:t xml:space="preserve">Bankovní spojení: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Komerční banka a.s., 328751/0100</w:t>
      </w:r>
    </w:p>
    <w:p>
      <w:pPr>
        <w:tabs>
          <w:tab w:val="left" w:pos="4253"/>
        </w:tabs>
        <w:spacing w:before="60" w:after="60"/>
        <w:ind w:left="567"/>
        <w:rPr>
          <w:rFonts w:ascii="Arial" w:hAnsi="Arial" w:cs="Arial"/>
          <w:sz w:val="22"/>
          <w:lang w:bidi="en-US"/>
        </w:rPr>
      </w:pPr>
      <w:r>
        <w:rPr>
          <w:rFonts w:ascii="Arial" w:hAnsi="Arial" w:cs="Arial"/>
          <w:color w:val="000000"/>
          <w:sz w:val="22"/>
        </w:rPr>
        <w:t>Zastoupený:</w:t>
      </w:r>
      <w:r>
        <w:rPr>
          <w:rFonts w:ascii="Arial" w:hAnsi="Arial" w:cs="Arial"/>
          <w:color w:val="000000"/>
          <w:sz w:val="22"/>
        </w:rPr>
        <w:tab/>
      </w:r>
      <w:r>
        <w:rPr>
          <w:rFonts w:ascii="Arial" w:hAnsi="Arial" w:cs="Arial"/>
          <w:sz w:val="22"/>
          <w:lang w:bidi="en-US"/>
        </w:rPr>
        <w:t xml:space="preserve">Ing. Martinem Mrkosem, ACCA a </w:t>
      </w:r>
    </w:p>
    <w:p>
      <w:pPr>
        <w:spacing w:before="0" w:after="0"/>
        <w:ind w:left="4253"/>
        <w:rPr>
          <w:rFonts w:ascii="Arial" w:hAnsi="Arial" w:cs="Arial"/>
          <w:color w:val="000000"/>
          <w:sz w:val="22"/>
        </w:rPr>
      </w:pPr>
      <w:r>
        <w:rPr>
          <w:rFonts w:ascii="Arial" w:hAnsi="Arial" w:cs="Arial"/>
          <w:sz w:val="22"/>
          <w:lang w:bidi="en-US"/>
        </w:rPr>
        <w:t>Ing. Janem Prokopem, na základě Směrnice č. 5/2023 o zadávání veřejných zakázek města Žďár nad Sázavou</w:t>
      </w:r>
    </w:p>
    <w:p>
      <w:pPr>
        <w:spacing w:before="0" w:after="0"/>
        <w:ind w:left="567"/>
        <w:rPr>
          <w:rFonts w:ascii="Arial" w:hAnsi="Arial" w:cs="Arial"/>
          <w:color w:val="000000"/>
          <w:sz w:val="22"/>
        </w:rPr>
      </w:pPr>
      <w:r>
        <w:rPr>
          <w:rFonts w:ascii="Arial" w:hAnsi="Arial" w:cs="Arial"/>
          <w:color w:val="000000"/>
          <w:sz w:val="22"/>
        </w:rPr>
        <w:t xml:space="preserve">Osoba oprávněna jednat </w:t>
      </w:r>
    </w:p>
    <w:p>
      <w:pPr>
        <w:spacing w:before="0" w:after="0"/>
        <w:ind w:left="567"/>
        <w:rPr>
          <w:rFonts w:ascii="Arial" w:hAnsi="Arial" w:cs="Arial"/>
          <w:color w:val="000000"/>
          <w:sz w:val="22"/>
        </w:rPr>
      </w:pPr>
      <w:r>
        <w:rPr>
          <w:rFonts w:ascii="Arial" w:hAnsi="Arial" w:cs="Arial"/>
          <w:color w:val="000000"/>
          <w:sz w:val="22"/>
        </w:rPr>
        <w:t>ve věcech smluvních:</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XXXXXXXXXXXXXX</w:t>
      </w:r>
      <w:r>
        <w:rPr>
          <w:rFonts w:ascii="Arial" w:hAnsi="Arial" w:cs="Arial"/>
          <w:sz w:val="22"/>
          <w:highlight w:val="lightGray"/>
          <w:lang w:bidi="en-US"/>
        </w:rPr>
        <w:t xml:space="preserve"> </w:t>
      </w:r>
    </w:p>
    <w:p>
      <w:pPr>
        <w:spacing w:before="0" w:after="0"/>
        <w:ind w:left="567"/>
        <w:rPr>
          <w:rFonts w:ascii="Arial" w:hAnsi="Arial" w:cs="Arial"/>
          <w:color w:val="000000"/>
          <w:sz w:val="22"/>
        </w:rPr>
      </w:pPr>
      <w:r>
        <w:rPr>
          <w:rFonts w:ascii="Arial" w:hAnsi="Arial" w:cs="Arial"/>
          <w:color w:val="000000"/>
          <w:sz w:val="22"/>
        </w:rPr>
        <w:t xml:space="preserve">Osoba oprávněna jednat </w:t>
      </w:r>
    </w:p>
    <w:p>
      <w:pPr>
        <w:spacing w:before="0" w:after="0"/>
        <w:ind w:left="567"/>
        <w:rPr>
          <w:rFonts w:ascii="Arial" w:hAnsi="Arial" w:cs="Arial"/>
          <w:color w:val="000000"/>
          <w:sz w:val="22"/>
        </w:rPr>
      </w:pPr>
      <w:r>
        <w:rPr>
          <w:rFonts w:ascii="Arial" w:hAnsi="Arial" w:cs="Arial"/>
          <w:color w:val="000000"/>
          <w:sz w:val="22"/>
        </w:rPr>
        <w:t xml:space="preserve">ve věcech technických: </w:t>
      </w:r>
      <w:r>
        <w:rPr>
          <w:rFonts w:ascii="Arial" w:hAnsi="Arial" w:cs="Arial"/>
          <w:color w:val="000000"/>
          <w:sz w:val="22"/>
        </w:rPr>
        <w:tab/>
      </w:r>
      <w:r>
        <w:rPr>
          <w:rFonts w:ascii="Arial" w:hAnsi="Arial" w:cs="Arial"/>
          <w:color w:val="000000"/>
          <w:sz w:val="22"/>
        </w:rPr>
        <w:tab/>
      </w:r>
      <w:r>
        <w:rPr>
          <w:rFonts w:ascii="Arial" w:hAnsi="Arial" w:cs="Arial"/>
          <w:sz w:val="22"/>
          <w:lang w:bidi="en-US"/>
        </w:rPr>
        <w:t>XXXXXXXXXXXXXX</w:t>
      </w:r>
      <w:r>
        <w:rPr>
          <w:rFonts w:ascii="Arial" w:hAnsi="Arial" w:cs="Arial"/>
          <w:color w:val="000000"/>
          <w:sz w:val="22"/>
        </w:rPr>
        <w:tab/>
      </w:r>
    </w:p>
    <w:p>
      <w:pPr>
        <w:spacing w:before="0" w:after="0"/>
        <w:ind w:left="567"/>
        <w:rPr>
          <w:rFonts w:ascii="Arial" w:hAnsi="Arial" w:cs="Arial"/>
          <w:i/>
          <w:color w:val="000000"/>
          <w:sz w:val="22"/>
        </w:rPr>
      </w:pPr>
    </w:p>
    <w:p>
      <w:pPr>
        <w:spacing w:before="0" w:after="0"/>
        <w:ind w:left="567"/>
        <w:rPr>
          <w:rFonts w:ascii="Arial" w:hAnsi="Arial" w:cs="Arial"/>
          <w:color w:val="000000"/>
          <w:sz w:val="22"/>
        </w:rPr>
      </w:pPr>
      <w:r>
        <w:rPr>
          <w:rFonts w:ascii="Arial" w:hAnsi="Arial" w:cs="Arial"/>
          <w:color w:val="000000"/>
          <w:sz w:val="22"/>
        </w:rPr>
        <w:t>(dále jen „</w:t>
      </w:r>
      <w:r>
        <w:rPr>
          <w:rFonts w:ascii="Arial" w:hAnsi="Arial" w:cs="Arial"/>
          <w:b/>
          <w:i/>
          <w:color w:val="000000"/>
          <w:sz w:val="22"/>
        </w:rPr>
        <w:t>Příkazce</w:t>
      </w:r>
      <w:r>
        <w:rPr>
          <w:rFonts w:ascii="Arial" w:hAnsi="Arial" w:cs="Arial"/>
          <w:color w:val="000000"/>
          <w:sz w:val="22"/>
        </w:rPr>
        <w:t>“)</w:t>
      </w:r>
    </w:p>
    <w:p>
      <w:pPr>
        <w:spacing w:before="480" w:after="0"/>
        <w:ind w:left="567"/>
        <w:rPr>
          <w:rFonts w:ascii="Arial" w:hAnsi="Arial" w:cs="Arial"/>
          <w:color w:val="000000"/>
          <w:sz w:val="22"/>
        </w:rPr>
      </w:pPr>
      <w:r>
        <w:rPr>
          <w:rFonts w:ascii="Arial" w:hAnsi="Arial" w:cs="Arial"/>
          <w:color w:val="000000"/>
          <w:sz w:val="22"/>
        </w:rPr>
        <w:t>a</w:t>
      </w:r>
    </w:p>
    <w:p>
      <w:pPr>
        <w:pStyle w:val="SML11"/>
        <w:numPr>
          <w:ilvl w:val="0"/>
          <w:numId w:val="0"/>
        </w:numPr>
        <w:ind w:left="567"/>
        <w:rPr>
          <w:rFonts w:ascii="Arial" w:hAnsi="Arial"/>
        </w:rPr>
      </w:pPr>
      <w:r>
        <w:rPr>
          <w:rFonts w:ascii="Arial" w:hAnsi="Arial"/>
        </w:rPr>
        <w:t>Příkazník</w:t>
      </w:r>
    </w:p>
    <w:p>
      <w:pPr>
        <w:pStyle w:val="SML11"/>
        <w:numPr>
          <w:ilvl w:val="0"/>
          <w:numId w:val="0"/>
        </w:numPr>
        <w:ind w:left="567"/>
        <w:rPr>
          <w:rFonts w:ascii="Arial" w:hAnsi="Arial"/>
        </w:rPr>
      </w:pPr>
    </w:p>
    <w:p>
      <w:pPr>
        <w:pStyle w:val="SML11"/>
        <w:numPr>
          <w:ilvl w:val="0"/>
          <w:numId w:val="0"/>
        </w:numPr>
        <w:ind w:left="567"/>
        <w:rPr>
          <w:rFonts w:ascii="Arial" w:hAnsi="Arial"/>
          <w:color w:val="000000"/>
        </w:rPr>
      </w:pPr>
      <w:r>
        <w:rPr>
          <w:rFonts w:ascii="Arial" w:hAnsi="Arial"/>
          <w:lang w:eastAsia="en-US" w:bidi="en-US"/>
        </w:rPr>
        <w:t>Název:</w:t>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b/>
          <w:bCs w:val="0"/>
          <w:lang w:eastAsia="en-US" w:bidi="en-US"/>
        </w:rPr>
        <w:t>BUNG CZ s.r.o.</w:t>
      </w:r>
    </w:p>
    <w:p>
      <w:pPr>
        <w:spacing w:before="0" w:after="0"/>
        <w:ind w:left="567"/>
        <w:rPr>
          <w:rFonts w:ascii="Arial" w:hAnsi="Arial" w:cs="Arial"/>
          <w:bCs/>
          <w:color w:val="000000"/>
          <w:sz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sz w:val="22"/>
          <w:lang w:bidi="en-US"/>
        </w:rPr>
        <w:t>V olšinách 2300/75, Strašnice, 10000 Praha 10</w:t>
      </w:r>
    </w:p>
    <w:p>
      <w:pPr>
        <w:spacing w:before="0" w:after="0"/>
        <w:ind w:left="567"/>
        <w:rPr>
          <w:rFonts w:ascii="Arial" w:hAnsi="Arial" w:cs="Arial"/>
          <w:color w:val="000000"/>
          <w:sz w:val="22"/>
        </w:rPr>
      </w:pPr>
      <w:r>
        <w:rPr>
          <w:rFonts w:ascii="Arial" w:hAnsi="Arial" w:cs="Arial"/>
          <w:color w:val="000000"/>
          <w:sz w:val="22"/>
        </w:rPr>
        <w:t xml:space="preserve">IČO: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lang w:bidi="en-US"/>
        </w:rPr>
        <w:t>27454576</w:t>
      </w:r>
    </w:p>
    <w:p>
      <w:pPr>
        <w:spacing w:before="0" w:after="0"/>
        <w:ind w:left="567"/>
        <w:rPr>
          <w:rFonts w:ascii="Arial" w:hAnsi="Arial" w:cs="Arial"/>
          <w:color w:val="000000"/>
          <w:sz w:val="22"/>
        </w:rPr>
      </w:pPr>
      <w:r>
        <w:rPr>
          <w:rFonts w:ascii="Arial" w:hAnsi="Arial" w:cs="Arial"/>
          <w:color w:val="000000"/>
          <w:sz w:val="22"/>
        </w:rPr>
        <w:t xml:space="preserve">DIČ: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lang w:bidi="en-US"/>
        </w:rPr>
        <w:t>CZ27454576</w:t>
      </w:r>
    </w:p>
    <w:p>
      <w:pPr>
        <w:spacing w:before="0" w:after="0"/>
        <w:ind w:left="567"/>
        <w:rPr>
          <w:rFonts w:ascii="Arial" w:hAnsi="Arial" w:cs="Arial"/>
          <w:sz w:val="22"/>
          <w:lang w:eastAsia="en-US" w:bidi="en-US"/>
        </w:rPr>
      </w:pPr>
      <w:r>
        <w:rPr>
          <w:rFonts w:ascii="Arial" w:hAnsi="Arial" w:cs="Arial"/>
          <w:color w:val="000000"/>
          <w:sz w:val="22"/>
        </w:rPr>
        <w:t xml:space="preserve">Bankovní spojení: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lang w:bidi="en-US"/>
        </w:rPr>
        <w:t xml:space="preserve">Raiffeisenbank, a.s. / č. </w:t>
      </w:r>
      <w:proofErr w:type="spellStart"/>
      <w:r>
        <w:rPr>
          <w:rFonts w:ascii="Arial" w:hAnsi="Arial"/>
          <w:sz w:val="22"/>
          <w:lang w:bidi="en-US"/>
        </w:rPr>
        <w:t>ú.</w:t>
      </w:r>
      <w:proofErr w:type="spellEnd"/>
      <w:r>
        <w:rPr>
          <w:rFonts w:ascii="Arial" w:hAnsi="Arial"/>
          <w:sz w:val="22"/>
          <w:lang w:bidi="en-US"/>
        </w:rPr>
        <w:t>: 2040554170/5500</w:t>
      </w:r>
    </w:p>
    <w:p>
      <w:pPr>
        <w:spacing w:before="0" w:after="0"/>
        <w:ind w:left="567"/>
        <w:rPr>
          <w:rFonts w:ascii="Arial" w:hAnsi="Arial" w:cs="Arial"/>
          <w:color w:val="000000"/>
          <w:sz w:val="22"/>
        </w:rPr>
      </w:pPr>
      <w:r>
        <w:rPr>
          <w:rFonts w:ascii="Arial" w:hAnsi="Arial" w:cs="Arial"/>
          <w:color w:val="000000"/>
          <w:sz w:val="22"/>
        </w:rPr>
        <w:t>Zápis v obchodním rejstříku:</w:t>
      </w:r>
      <w:r>
        <w:rPr>
          <w:rFonts w:ascii="Arial" w:hAnsi="Arial" w:cs="Arial"/>
          <w:color w:val="000000"/>
          <w:sz w:val="22"/>
        </w:rPr>
        <w:tab/>
      </w:r>
      <w:r>
        <w:rPr>
          <w:rFonts w:ascii="Arial" w:hAnsi="Arial" w:cs="Arial"/>
          <w:color w:val="000000"/>
          <w:sz w:val="22"/>
        </w:rPr>
        <w:tab/>
      </w:r>
      <w:r>
        <w:rPr>
          <w:rFonts w:ascii="Arial" w:hAnsi="Arial"/>
          <w:sz w:val="22"/>
          <w:lang w:bidi="en-US"/>
        </w:rPr>
        <w:t xml:space="preserve">Městský soud v Praze, </w:t>
      </w:r>
      <w:proofErr w:type="spellStart"/>
      <w:r>
        <w:rPr>
          <w:rFonts w:ascii="Arial" w:hAnsi="Arial"/>
          <w:sz w:val="22"/>
          <w:lang w:bidi="en-US"/>
        </w:rPr>
        <w:t>sp</w:t>
      </w:r>
      <w:proofErr w:type="spellEnd"/>
      <w:r>
        <w:rPr>
          <w:rFonts w:ascii="Arial" w:hAnsi="Arial"/>
          <w:sz w:val="22"/>
          <w:lang w:bidi="en-US"/>
        </w:rPr>
        <w:t>. zn. C 113589</w:t>
      </w:r>
    </w:p>
    <w:p>
      <w:pPr>
        <w:spacing w:before="0" w:after="0"/>
        <w:ind w:left="567"/>
        <w:rPr>
          <w:rFonts w:ascii="Arial" w:hAnsi="Arial"/>
          <w:sz w:val="22"/>
          <w:lang w:bidi="en-US"/>
        </w:rPr>
      </w:pPr>
      <w:r>
        <w:rPr>
          <w:rFonts w:ascii="Arial" w:hAnsi="Arial" w:cs="Arial"/>
          <w:color w:val="000000"/>
          <w:sz w:val="22"/>
        </w:rPr>
        <w:t>Zastoupený:</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lang w:bidi="en-US"/>
        </w:rPr>
        <w:t xml:space="preserve">Ing. Miroslavem Blažkem, jednatelem a </w:t>
      </w:r>
    </w:p>
    <w:p>
      <w:pPr>
        <w:spacing w:before="0" w:after="0"/>
        <w:ind w:left="4107" w:firstLine="141"/>
        <w:rPr>
          <w:rFonts w:ascii="Arial" w:hAnsi="Arial" w:cs="Arial"/>
          <w:color w:val="000000"/>
          <w:sz w:val="22"/>
        </w:rPr>
      </w:pPr>
      <w:r>
        <w:rPr>
          <w:rFonts w:ascii="Arial" w:hAnsi="Arial"/>
          <w:sz w:val="22"/>
          <w:lang w:bidi="en-US"/>
        </w:rPr>
        <w:t>Ing. Peterem Pittnerem, jednatelem</w:t>
      </w:r>
    </w:p>
    <w:p>
      <w:pPr>
        <w:spacing w:before="0" w:after="0"/>
        <w:ind w:left="567"/>
        <w:rPr>
          <w:rFonts w:ascii="Arial" w:hAnsi="Arial" w:cs="Arial"/>
          <w:color w:val="000000"/>
          <w:sz w:val="22"/>
        </w:rPr>
      </w:pPr>
      <w:r>
        <w:rPr>
          <w:rFonts w:ascii="Arial" w:hAnsi="Arial" w:cs="Arial"/>
          <w:color w:val="000000"/>
          <w:sz w:val="22"/>
        </w:rPr>
        <w:t>Kontaktní osoba:</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XXXXXXXXXXXXXX</w:t>
      </w:r>
    </w:p>
    <w:p>
      <w:pPr>
        <w:spacing w:before="0" w:after="0"/>
        <w:ind w:left="567"/>
        <w:rPr>
          <w:rFonts w:ascii="Arial" w:hAnsi="Arial" w:cs="Arial"/>
          <w:bCs/>
          <w:sz w:val="22"/>
          <w:lang w:bidi="en-US"/>
        </w:rPr>
      </w:pPr>
      <w:r>
        <w:rPr>
          <w:rFonts w:ascii="Arial" w:hAnsi="Arial" w:cs="Arial"/>
          <w:color w:val="000000"/>
          <w:sz w:val="22"/>
        </w:rPr>
        <w:t xml:space="preserve">Telefonní spojení: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XXXXXXXXXXXXXX</w:t>
      </w:r>
    </w:p>
    <w:p>
      <w:pPr>
        <w:spacing w:before="0" w:after="0"/>
        <w:ind w:left="567"/>
        <w:rPr>
          <w:rFonts w:ascii="Arial" w:hAnsi="Arial" w:cs="Arial"/>
          <w:bCs/>
          <w:sz w:val="22"/>
          <w:lang w:bidi="en-US"/>
        </w:rPr>
      </w:pPr>
      <w:r>
        <w:rPr>
          <w:rFonts w:ascii="Arial" w:hAnsi="Arial" w:cs="Arial"/>
          <w:color w:val="000000"/>
          <w:sz w:val="22"/>
        </w:rPr>
        <w:t xml:space="preserve">E-mail: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XXXXXXXXXXXXXX</w:t>
      </w:r>
    </w:p>
    <w:p>
      <w:pPr>
        <w:spacing w:before="0" w:after="0"/>
        <w:ind w:left="567"/>
        <w:rPr>
          <w:rFonts w:ascii="Arial" w:hAnsi="Arial" w:cs="Arial"/>
          <w:color w:val="000000"/>
          <w:sz w:val="22"/>
        </w:rPr>
      </w:pPr>
    </w:p>
    <w:p>
      <w:pPr>
        <w:spacing w:before="0" w:after="0"/>
        <w:ind w:left="567"/>
        <w:rPr>
          <w:rFonts w:ascii="Arial" w:hAnsi="Arial" w:cs="Arial"/>
          <w:color w:val="000000"/>
          <w:sz w:val="22"/>
        </w:rPr>
      </w:pPr>
      <w:r>
        <w:rPr>
          <w:rFonts w:ascii="Arial" w:hAnsi="Arial" w:cs="Arial"/>
          <w:color w:val="000000"/>
          <w:sz w:val="22"/>
        </w:rPr>
        <w:t>(dále jen „</w:t>
      </w:r>
      <w:r>
        <w:rPr>
          <w:rFonts w:ascii="Arial" w:hAnsi="Arial" w:cs="Arial"/>
          <w:b/>
          <w:bCs/>
          <w:i/>
          <w:iCs/>
          <w:color w:val="000000"/>
          <w:sz w:val="22"/>
        </w:rPr>
        <w:t>Příkazník</w:t>
      </w:r>
      <w:r>
        <w:rPr>
          <w:rFonts w:ascii="Arial" w:hAnsi="Arial" w:cs="Arial"/>
          <w:color w:val="000000"/>
          <w:sz w:val="22"/>
        </w:rPr>
        <w:t>“; Příkazce společně s Příkazníkem dále také jako „</w:t>
      </w:r>
      <w:r>
        <w:rPr>
          <w:rFonts w:ascii="Arial" w:hAnsi="Arial" w:cs="Arial"/>
          <w:b/>
          <w:bCs/>
          <w:i/>
          <w:iCs/>
          <w:color w:val="000000"/>
          <w:sz w:val="22"/>
        </w:rPr>
        <w:t>Smluvní strany</w:t>
      </w:r>
      <w:r>
        <w:rPr>
          <w:rFonts w:ascii="Arial" w:hAnsi="Arial" w:cs="Arial"/>
          <w:color w:val="000000"/>
          <w:sz w:val="22"/>
        </w:rPr>
        <w:t>“)</w:t>
      </w:r>
    </w:p>
    <w:p>
      <w:pPr>
        <w:widowControl w:val="0"/>
        <w:tabs>
          <w:tab w:val="left" w:pos="2835"/>
        </w:tabs>
        <w:spacing w:before="0" w:after="0"/>
        <w:ind w:left="567"/>
        <w:rPr>
          <w:rFonts w:ascii="Arial" w:hAnsi="Arial" w:cs="Arial"/>
          <w:sz w:val="22"/>
        </w:rPr>
      </w:pPr>
    </w:p>
    <w:p>
      <w:pPr>
        <w:widowControl w:val="0"/>
        <w:tabs>
          <w:tab w:val="left" w:pos="2835"/>
        </w:tabs>
        <w:spacing w:before="0" w:after="0"/>
        <w:ind w:left="567"/>
        <w:rPr>
          <w:rFonts w:ascii="Arial" w:hAnsi="Arial" w:cs="Arial"/>
          <w:i/>
          <w:sz w:val="22"/>
        </w:rPr>
      </w:pPr>
      <w:r>
        <w:rPr>
          <w:rFonts w:ascii="Arial" w:hAnsi="Arial" w:cs="Arial"/>
          <w:sz w:val="22"/>
        </w:rPr>
        <w:t xml:space="preserve">Příkazce, jakožto zadavatel veřejné zakázky </w:t>
      </w:r>
      <w:r>
        <w:rPr>
          <w:rFonts w:ascii="Arial" w:hAnsi="Arial" w:cs="Arial"/>
          <w:b/>
          <w:bCs/>
          <w:sz w:val="22"/>
        </w:rPr>
        <w:t xml:space="preserve">TDS a koordinátor </w:t>
      </w:r>
      <w:proofErr w:type="gramStart"/>
      <w:r>
        <w:rPr>
          <w:rFonts w:ascii="Arial" w:hAnsi="Arial" w:cs="Arial"/>
          <w:b/>
          <w:bCs/>
          <w:sz w:val="22"/>
        </w:rPr>
        <w:t>BOZP - rekonstrukce</w:t>
      </w:r>
      <w:proofErr w:type="gramEnd"/>
      <w:r>
        <w:rPr>
          <w:rFonts w:ascii="Arial" w:hAnsi="Arial" w:cs="Arial"/>
          <w:b/>
          <w:bCs/>
          <w:sz w:val="22"/>
        </w:rPr>
        <w:t xml:space="preserve"> Vysocké ulice, Žďár nad Sázavou</w:t>
      </w:r>
      <w:r>
        <w:rPr>
          <w:rFonts w:ascii="Arial" w:hAnsi="Arial" w:cs="Arial"/>
          <w:i/>
          <w:sz w:val="22"/>
        </w:rPr>
        <w:t xml:space="preserve"> </w:t>
      </w:r>
      <w:r>
        <w:rPr>
          <w:rFonts w:ascii="Arial" w:hAnsi="Arial" w:cs="Arial"/>
          <w:iCs/>
          <w:sz w:val="22"/>
        </w:rPr>
        <w:t>(dále jen</w:t>
      </w:r>
      <w:r>
        <w:rPr>
          <w:rFonts w:ascii="Arial" w:hAnsi="Arial" w:cs="Arial"/>
          <w:i/>
          <w:sz w:val="22"/>
        </w:rPr>
        <w:t xml:space="preserve"> „</w:t>
      </w:r>
      <w:r>
        <w:rPr>
          <w:rFonts w:ascii="Arial" w:hAnsi="Arial" w:cs="Arial"/>
          <w:b/>
          <w:i/>
          <w:sz w:val="22"/>
        </w:rPr>
        <w:t>Veřejná zakázka</w:t>
      </w:r>
      <w:r>
        <w:rPr>
          <w:rFonts w:ascii="Arial" w:hAnsi="Arial" w:cs="Arial"/>
          <w:i/>
          <w:sz w:val="22"/>
        </w:rPr>
        <w:t>“</w:t>
      </w:r>
      <w:r>
        <w:rPr>
          <w:rFonts w:ascii="Arial" w:hAnsi="Arial" w:cs="Arial"/>
          <w:iCs/>
          <w:sz w:val="22"/>
        </w:rPr>
        <w:t>)</w:t>
      </w:r>
      <w:r>
        <w:rPr>
          <w:rFonts w:ascii="Arial" w:hAnsi="Arial" w:cs="Arial"/>
          <w:sz w:val="22"/>
        </w:rPr>
        <w:t xml:space="preserve"> zadávané </w:t>
      </w:r>
      <w:sdt>
        <w:sdtPr>
          <w:rPr>
            <w:rFonts w:ascii="Arial" w:hAnsi="Arial" w:cs="Arial"/>
            <w:sz w:val="22"/>
          </w:rPr>
          <w:id w:val="-54016491"/>
          <w:placeholder>
            <w:docPart w:val="4ABCD56735B51247B02CA08D944C715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Arial" w:hAnsi="Arial" w:cs="Arial"/>
              <w:sz w:val="22"/>
            </w:rPr>
            <w:t>ve výběrovém řízení mimo režim zákona</w:t>
          </w:r>
        </w:sdtContent>
      </w:sdt>
      <w:r>
        <w:rPr>
          <w:rFonts w:ascii="Arial" w:hAnsi="Arial" w:cs="Arial"/>
          <w:sz w:val="22"/>
        </w:rPr>
        <w:t xml:space="preserve"> č. 134/2016 Sb., o zadávání veřejných zakázek, ve znění </w:t>
      </w:r>
      <w:r>
        <w:rPr>
          <w:rFonts w:ascii="Arial" w:hAnsi="Arial" w:cs="Arial"/>
          <w:sz w:val="22"/>
        </w:rPr>
        <w:lastRenderedPageBreak/>
        <w:t xml:space="preserve">pozdějších předpisů, </w:t>
      </w:r>
      <w:r>
        <w:rPr>
          <w:rFonts w:ascii="Arial" w:hAnsi="Arial" w:cs="Arial"/>
          <w:iCs/>
          <w:sz w:val="22"/>
        </w:rPr>
        <w:t>(dále jen</w:t>
      </w:r>
      <w:r>
        <w:rPr>
          <w:rFonts w:ascii="Arial" w:hAnsi="Arial" w:cs="Arial"/>
          <w:i/>
          <w:sz w:val="22"/>
        </w:rPr>
        <w:t xml:space="preserve"> „</w:t>
      </w:r>
      <w:r>
        <w:rPr>
          <w:rFonts w:ascii="Arial" w:hAnsi="Arial" w:cs="Arial"/>
          <w:b/>
          <w:i/>
          <w:sz w:val="22"/>
        </w:rPr>
        <w:t>ZZVZ</w:t>
      </w:r>
      <w:r>
        <w:rPr>
          <w:rFonts w:ascii="Arial" w:hAnsi="Arial" w:cs="Arial"/>
          <w:i/>
          <w:sz w:val="22"/>
        </w:rPr>
        <w:t>“</w:t>
      </w:r>
      <w:r>
        <w:rPr>
          <w:rFonts w:ascii="Arial" w:hAnsi="Arial" w:cs="Arial"/>
          <w:iCs/>
          <w:sz w:val="22"/>
        </w:rPr>
        <w:t>)</w:t>
      </w:r>
      <w:r>
        <w:rPr>
          <w:rFonts w:ascii="Arial" w:hAnsi="Arial" w:cs="Arial"/>
          <w:sz w:val="22"/>
        </w:rPr>
        <w:t xml:space="preserve"> rozhodl o výběru Příkazníka ke splnění Veřejné zakázky. Příkazce a Příkazník tak uzavírají níže uvedeného dne, měsíce a roku tuto Příkazní smlouvu o výkonu technického dozoru stavebníka </w:t>
      </w:r>
      <w:r>
        <w:rPr>
          <w:rFonts w:ascii="Arial" w:hAnsi="Arial" w:cs="Arial"/>
          <w:iCs/>
          <w:sz w:val="22"/>
        </w:rPr>
        <w:t>(dále jen</w:t>
      </w:r>
      <w:r>
        <w:rPr>
          <w:rFonts w:ascii="Arial" w:hAnsi="Arial" w:cs="Arial"/>
          <w:i/>
          <w:sz w:val="22"/>
        </w:rPr>
        <w:t xml:space="preserve"> „</w:t>
      </w:r>
      <w:r>
        <w:rPr>
          <w:rFonts w:ascii="Arial" w:hAnsi="Arial" w:cs="Arial"/>
          <w:b/>
          <w:i/>
          <w:sz w:val="22"/>
        </w:rPr>
        <w:t>Smlouva</w:t>
      </w:r>
      <w:r>
        <w:rPr>
          <w:rFonts w:ascii="Arial" w:hAnsi="Arial" w:cs="Arial"/>
          <w:i/>
          <w:sz w:val="22"/>
        </w:rPr>
        <w:t>“</w:t>
      </w:r>
      <w:r>
        <w:rPr>
          <w:rFonts w:ascii="Arial" w:hAnsi="Arial" w:cs="Arial"/>
          <w:iCs/>
          <w:sz w:val="22"/>
        </w:rPr>
        <w:t>)</w:t>
      </w:r>
      <w:r>
        <w:rPr>
          <w:rFonts w:ascii="Arial" w:hAnsi="Arial" w:cs="Arial"/>
          <w:i/>
          <w:sz w:val="22"/>
        </w:rPr>
        <w:t>.</w:t>
      </w:r>
    </w:p>
    <w:p>
      <w:pPr>
        <w:pStyle w:val="SML1"/>
        <w:spacing w:before="480" w:after="240"/>
        <w:ind w:left="0" w:firstLine="0"/>
        <w:rPr>
          <w:rFonts w:ascii="Arial" w:hAnsi="Arial"/>
        </w:rPr>
      </w:pPr>
      <w:bookmarkStart w:id="1" w:name="_Ref141356673"/>
      <w:bookmarkEnd w:id="0"/>
      <w:r>
        <w:rPr>
          <w:rFonts w:ascii="Arial" w:hAnsi="Arial"/>
        </w:rPr>
        <w:t>ÚVODNÍ UJEDNÁNÍ A ÚČEL SMLOUVY</w:t>
      </w:r>
      <w:bookmarkEnd w:id="1"/>
    </w:p>
    <w:p>
      <w:pPr>
        <w:pStyle w:val="SML11"/>
        <w:numPr>
          <w:ilvl w:val="0"/>
          <w:numId w:val="16"/>
        </w:numPr>
        <w:rPr>
          <w:rFonts w:ascii="Arial" w:hAnsi="Arial"/>
        </w:rPr>
      </w:pPr>
      <w:bookmarkStart w:id="2" w:name="_Ref30600358"/>
      <w:r>
        <w:rPr>
          <w:rFonts w:ascii="Arial" w:hAnsi="Arial"/>
        </w:rPr>
        <w:t xml:space="preserve">Příkazce je společně s dalšími investory (Krajskou správou a údržbou silnic Vysočiny, příspěvkovou organizací, IČ 00090450, a </w:t>
      </w:r>
      <w:r>
        <w:rPr>
          <w:rFonts w:ascii="Arial" w:hAnsi="Arial"/>
          <w:color w:val="000000"/>
        </w:rPr>
        <w:t>Svazem vodovodů a kanalizací Žďársko, IČ 43383513)</w:t>
      </w:r>
      <w:r>
        <w:rPr>
          <w:rFonts w:ascii="Arial" w:hAnsi="Arial"/>
        </w:rPr>
        <w:t xml:space="preserve"> stavebníkem následujících staveb:</w:t>
      </w:r>
    </w:p>
    <w:p>
      <w:pPr>
        <w:pStyle w:val="SML11"/>
        <w:numPr>
          <w:ilvl w:val="1"/>
          <w:numId w:val="16"/>
        </w:numPr>
        <w:rPr>
          <w:rFonts w:ascii="Arial" w:hAnsi="Arial"/>
        </w:rPr>
      </w:pPr>
      <w:r>
        <w:rPr>
          <w:rFonts w:ascii="Arial" w:hAnsi="Arial"/>
        </w:rPr>
        <w:t xml:space="preserve">„Rekonstrukce chodníku ul. Vysocká, Žďár nad Sázavou“, v rozsahu projektové dokumentace ve stupni DPS; zpracovaná: 02/2023; zpracovatel: APC SILNICE s.r.o., IČO: 60705981; hlavní inženýr projektu: </w:t>
      </w:r>
      <w:r>
        <w:rPr>
          <w:rFonts w:ascii="Arial" w:hAnsi="Arial"/>
          <w:lang w:bidi="en-US"/>
        </w:rPr>
        <w:t>XXXXXXXXXXXXXX</w:t>
      </w:r>
      <w:r>
        <w:rPr>
          <w:rFonts w:ascii="Arial" w:hAnsi="Arial"/>
        </w:rPr>
        <w:t xml:space="preserve">, autorizovaný inženýr pro dopravní stavby, ČKAIT č. </w:t>
      </w:r>
      <w:r>
        <w:rPr>
          <w:rFonts w:ascii="Arial" w:hAnsi="Arial"/>
          <w:lang w:bidi="en-US"/>
        </w:rPr>
        <w:t>XXXXXXXXXXXXXX</w:t>
      </w:r>
      <w:r>
        <w:rPr>
          <w:rFonts w:ascii="Arial" w:hAnsi="Arial"/>
        </w:rPr>
        <w:t>; investor: Město Žďár nad Sázavou, IČ 00295841, se sídlem Žižkova 227/1, 591 01 Žďár nad Sázavou.</w:t>
      </w:r>
    </w:p>
    <w:p>
      <w:pPr>
        <w:pStyle w:val="SML11"/>
        <w:numPr>
          <w:ilvl w:val="1"/>
          <w:numId w:val="16"/>
        </w:numPr>
        <w:rPr>
          <w:rFonts w:ascii="Arial" w:hAnsi="Arial"/>
        </w:rPr>
      </w:pPr>
      <w:r>
        <w:rPr>
          <w:rFonts w:ascii="Arial" w:hAnsi="Arial"/>
        </w:rPr>
        <w:t>„Oprava mostu ev. č. ZR-004, ul. Studentská, Žďár nad Sázavou“, v rozsahu projektové dokumentace</w:t>
      </w:r>
      <w:r>
        <w:rPr>
          <w:rFonts w:ascii="Arial" w:eastAsia="Calibri" w:hAnsi="Arial"/>
          <w:bCs w:val="0"/>
          <w:lang w:eastAsia="en-US"/>
        </w:rPr>
        <w:t xml:space="preserve"> ve stupni DPS; zpracovaná: 06/2023; zpracovatel: Mostní projekce s. r. o., IČO: 067 54 449</w:t>
      </w:r>
      <w:r>
        <w:rPr>
          <w:rFonts w:ascii="Arial" w:hAnsi="Arial"/>
        </w:rPr>
        <w:t>; investor: Město Žďár nad Sázavou, IČ 00295841, se sídlem Žižkova 227/1, 591 01 Žďár nad Sázavou.</w:t>
      </w:r>
    </w:p>
    <w:p>
      <w:pPr>
        <w:pStyle w:val="SML11"/>
        <w:numPr>
          <w:ilvl w:val="1"/>
          <w:numId w:val="16"/>
        </w:numPr>
        <w:rPr>
          <w:rFonts w:ascii="Arial" w:hAnsi="Arial"/>
        </w:rPr>
      </w:pPr>
      <w:r>
        <w:rPr>
          <w:rFonts w:ascii="Arial" w:hAnsi="Arial"/>
        </w:rPr>
        <w:t>„II/353 Žďár nad Sázavou, průtah ulicí Vysocká vč. křižovatky s ul. Studentská“, v rozsahu projektové dokumentace</w:t>
      </w:r>
      <w:r>
        <w:rPr>
          <w:rFonts w:ascii="Arial" w:eastAsia="Calibri" w:hAnsi="Arial"/>
          <w:bCs w:val="0"/>
          <w:lang w:eastAsia="en-US"/>
        </w:rPr>
        <w:t xml:space="preserve"> ve stupni DPS; zpracovaná: 05/2023; zpracovatel: APC SILNICE s.r.o., IČO: 60705981</w:t>
      </w:r>
      <w:r>
        <w:rPr>
          <w:rFonts w:ascii="Arial" w:hAnsi="Arial"/>
        </w:rPr>
        <w:t>; investor:</w:t>
      </w:r>
      <w:r>
        <w:t xml:space="preserve"> </w:t>
      </w:r>
      <w:r>
        <w:rPr>
          <w:rFonts w:ascii="Arial" w:hAnsi="Arial"/>
        </w:rPr>
        <w:t>Krajská správa a údržba silnic Vysočiny, příspěvková organizace, IČ 00090450, se sídlem Kosovská 1122/16, 586 01 Jihlava.</w:t>
      </w:r>
    </w:p>
    <w:p>
      <w:pPr>
        <w:pStyle w:val="SML11"/>
        <w:numPr>
          <w:ilvl w:val="1"/>
          <w:numId w:val="16"/>
        </w:numPr>
        <w:rPr>
          <w:rFonts w:ascii="Arial" w:hAnsi="Arial"/>
        </w:rPr>
      </w:pPr>
      <w:r>
        <w:rPr>
          <w:rFonts w:ascii="Arial" w:hAnsi="Arial"/>
        </w:rPr>
        <w:t>ŽĎÁR NAD SÁZAVOU – REKONSTRUKCE KANALIZACE UL. VYSOCKÁ“, v rozsahu projektové dokumentace</w:t>
      </w:r>
      <w:r>
        <w:rPr>
          <w:rFonts w:ascii="Arial" w:eastAsia="Calibri" w:hAnsi="Arial"/>
          <w:bCs w:val="0"/>
          <w:lang w:eastAsia="en-US"/>
        </w:rPr>
        <w:t xml:space="preserve"> ve stupni DPS; zpracovaná: 06/2022; zpracovatel: Stanislav Blaha, IČO: 15261182</w:t>
      </w:r>
      <w:r>
        <w:rPr>
          <w:rFonts w:ascii="Arial" w:hAnsi="Arial"/>
        </w:rPr>
        <w:t>; investor: Svaz vodovodů a kanalizací Žďársko, IČ 43383513, se sídlem Vodárenská 244/2, 591 01 Žďár nad Sázavou.</w:t>
      </w:r>
    </w:p>
    <w:p>
      <w:pPr>
        <w:pStyle w:val="SML11"/>
        <w:numPr>
          <w:ilvl w:val="0"/>
          <w:numId w:val="0"/>
        </w:numPr>
        <w:ind w:left="709"/>
        <w:rPr>
          <w:rFonts w:ascii="Arial" w:hAnsi="Arial"/>
        </w:rPr>
      </w:pPr>
      <w:r>
        <w:rPr>
          <w:rFonts w:ascii="Arial" w:hAnsi="Arial"/>
        </w:rPr>
        <w:t>ve Žďáru nad Sázavou, na pozemcích ve vlastnictví shora uvedených investorů (dále jen „</w:t>
      </w:r>
      <w:r>
        <w:rPr>
          <w:rFonts w:ascii="Arial" w:hAnsi="Arial"/>
          <w:b/>
          <w:bCs w:val="0"/>
          <w:i/>
          <w:iCs/>
        </w:rPr>
        <w:t>Stavba</w:t>
      </w:r>
      <w:r>
        <w:rPr>
          <w:rFonts w:ascii="Arial" w:hAnsi="Arial"/>
        </w:rPr>
        <w:t>“).</w:t>
      </w:r>
      <w:bookmarkEnd w:id="2"/>
    </w:p>
    <w:p>
      <w:pPr>
        <w:pStyle w:val="SML11"/>
        <w:numPr>
          <w:ilvl w:val="0"/>
          <w:numId w:val="16"/>
        </w:numPr>
        <w:rPr>
          <w:rFonts w:ascii="Arial" w:hAnsi="Arial"/>
        </w:rPr>
      </w:pPr>
      <w:r>
        <w:rPr>
          <w:rFonts w:ascii="Arial" w:hAnsi="Arial"/>
        </w:rPr>
        <w:t>Osoba realizující stavební práce a dodávky v rámci Stavby bude dále označována jako „</w:t>
      </w:r>
      <w:r>
        <w:rPr>
          <w:rFonts w:ascii="Arial" w:hAnsi="Arial"/>
          <w:b/>
          <w:bCs w:val="0"/>
          <w:i/>
          <w:iCs/>
        </w:rPr>
        <w:t>Zhotovitel</w:t>
      </w:r>
      <w:r>
        <w:rPr>
          <w:rFonts w:ascii="Arial" w:hAnsi="Arial"/>
        </w:rPr>
        <w:t>“.</w:t>
      </w:r>
    </w:p>
    <w:p>
      <w:pPr>
        <w:pStyle w:val="SML11"/>
        <w:numPr>
          <w:ilvl w:val="0"/>
          <w:numId w:val="16"/>
        </w:numPr>
        <w:rPr>
          <w:rFonts w:ascii="Arial" w:hAnsi="Arial"/>
        </w:rPr>
      </w:pPr>
      <w:r>
        <w:rPr>
          <w:rFonts w:ascii="Arial" w:hAnsi="Arial"/>
        </w:rPr>
        <w:t xml:space="preserve">Smlouva je uzavřena na základě výsledků </w:t>
      </w:r>
      <w:sdt>
        <w:sdtPr>
          <w:rPr>
            <w:rFonts w:ascii="Arial" w:hAnsi="Arial"/>
          </w:rPr>
          <w:id w:val="-693310833"/>
          <w:placeholder>
            <w:docPart w:val="E8B94EB74B9FE4428BEA7F81B273DE64"/>
          </w:placeholder>
          <w:comboBox>
            <w:listItem w:value="Zvolte položku."/>
            <w:listItem w:displayText="zadávacího řízení" w:value="zadávacího řízení"/>
            <w:listItem w:displayText="výběrového řízení" w:value="výběrového řízení"/>
          </w:comboBox>
        </w:sdtPr>
        <w:sdtContent>
          <w:r>
            <w:rPr>
              <w:rFonts w:ascii="Arial" w:hAnsi="Arial"/>
            </w:rPr>
            <w:t>výběrového řízení</w:t>
          </w:r>
        </w:sdtContent>
      </w:sdt>
      <w:r>
        <w:rPr>
          <w:rFonts w:ascii="Arial" w:hAnsi="Arial"/>
        </w:rPr>
        <w:t xml:space="preserve"> Veřejné zakázky (dále jen „</w:t>
      </w:r>
      <w:r>
        <w:rPr>
          <w:rFonts w:ascii="Arial" w:hAnsi="Arial"/>
          <w:b/>
          <w:bCs w:val="0"/>
          <w:i/>
          <w:iCs/>
        </w:rPr>
        <w:t>Řízení veřejné zakázky</w:t>
      </w:r>
      <w:r>
        <w:rPr>
          <w:rFonts w:ascii="Arial" w:hAnsi="Arial"/>
        </w:rPr>
        <w:t>“). Jednotlivá ujednání Smlouvy tak budou vykládána v souladu se zadávacími podmínkami Veřejné zakázky a nabídkou Příkazníka podanou do Řízení veřejné zakázky.</w:t>
      </w:r>
    </w:p>
    <w:p>
      <w:pPr>
        <w:pStyle w:val="SML11"/>
        <w:numPr>
          <w:ilvl w:val="0"/>
          <w:numId w:val="16"/>
        </w:numPr>
        <w:rPr>
          <w:rFonts w:ascii="Arial" w:hAnsi="Arial"/>
        </w:rPr>
      </w:pPr>
      <w:r>
        <w:rPr>
          <w:rFonts w:ascii="Arial" w:hAnsi="Arial"/>
        </w:rPr>
        <w:t>Předmět Smlouvy je financován z prostředků Integrovaného regionálních operačního programu (dále jen „</w:t>
      </w:r>
      <w:r>
        <w:rPr>
          <w:rFonts w:ascii="Arial" w:hAnsi="Arial"/>
          <w:b/>
          <w:bCs w:val="0"/>
          <w:i/>
          <w:iCs/>
        </w:rPr>
        <w:t>IROP</w:t>
      </w:r>
      <w:r>
        <w:rPr>
          <w:rFonts w:ascii="Arial" w:hAnsi="Arial"/>
        </w:rPr>
        <w:t>”)</w:t>
      </w:r>
      <w:r>
        <w:t xml:space="preserve"> </w:t>
      </w:r>
      <w:r>
        <w:rPr>
          <w:rFonts w:ascii="Arial" w:hAnsi="Arial"/>
        </w:rPr>
        <w:t xml:space="preserve">v rámci 2. výzvy – Knihovny – SC 4.4 (PR), název projektu Rekonstrukce Knihovny M. J. Sychry, </w:t>
      </w:r>
      <w:proofErr w:type="spellStart"/>
      <w:r>
        <w:rPr>
          <w:rFonts w:ascii="Arial" w:hAnsi="Arial"/>
        </w:rPr>
        <w:t>reg</w:t>
      </w:r>
      <w:proofErr w:type="spellEnd"/>
      <w:r>
        <w:rPr>
          <w:rFonts w:ascii="Arial" w:hAnsi="Arial"/>
        </w:rPr>
        <w:t>. č. projektu CZ.06.04.04/00/22_002/0000450 (dále jen „</w:t>
      </w:r>
      <w:r>
        <w:rPr>
          <w:rFonts w:ascii="Arial" w:hAnsi="Arial"/>
          <w:b/>
          <w:bCs w:val="0"/>
          <w:i/>
          <w:iCs/>
        </w:rPr>
        <w:t>Program</w:t>
      </w:r>
      <w:r>
        <w:rPr>
          <w:rFonts w:ascii="Arial" w:hAnsi="Arial"/>
        </w:rPr>
        <w:t>“). Řízení veřejné zakázky bylo realizováno v souladu s pravidly Programu. Příkazník je povinen při plnění povinností vyplývajících ze Smlouvy dodržovat požadavky stanovené podmínkami pro poskytnutí dotace z Programu.</w:t>
      </w:r>
    </w:p>
    <w:p>
      <w:pPr>
        <w:pStyle w:val="SML11"/>
        <w:numPr>
          <w:ilvl w:val="0"/>
          <w:numId w:val="16"/>
        </w:numPr>
        <w:rPr>
          <w:rFonts w:ascii="Arial" w:hAnsi="Arial"/>
        </w:rPr>
      </w:pPr>
      <w:r>
        <w:rPr>
          <w:rFonts w:ascii="Arial" w:hAnsi="Arial"/>
        </w:rPr>
        <w:t>Příkazník bere na vědomí, že jakékoliv, byť jen částečné, neplnění Příkazníkových povinností vyplývajících ze Smlouvy, může vést k udělení sankcí a jiných odvodů ze strany příslušných orgánů. Příkazník odpovídá Příkazci za škodu, která může takovým nesplněním povinností vzniknout.</w:t>
      </w:r>
    </w:p>
    <w:p>
      <w:pPr>
        <w:pStyle w:val="SML11"/>
        <w:numPr>
          <w:ilvl w:val="0"/>
          <w:numId w:val="16"/>
        </w:numPr>
        <w:rPr>
          <w:rFonts w:ascii="Arial" w:hAnsi="Arial"/>
        </w:rPr>
      </w:pPr>
      <w:r>
        <w:rPr>
          <w:rFonts w:ascii="Arial" w:hAnsi="Arial"/>
        </w:rPr>
        <w:t>Účelem Smlouvy je provést předmět této Smlouvy, kdy realizací tohoto předmětu Příkazce sleduje kvalitní, včasné a hospodárné provádění stavebních prací a poskytování dalších plnění v rámci realizace Stavby, a to prostřednictvím zajištění technického dozoru stavebníka (dále jen „</w:t>
      </w:r>
      <w:r>
        <w:rPr>
          <w:rFonts w:ascii="Arial" w:hAnsi="Arial"/>
          <w:b/>
          <w:bCs w:val="0"/>
          <w:i/>
          <w:iCs/>
        </w:rPr>
        <w:t>TDS</w:t>
      </w:r>
      <w:r>
        <w:rPr>
          <w:rFonts w:ascii="Arial" w:hAnsi="Arial"/>
        </w:rPr>
        <w:t xml:space="preserve">“) a činnosti koordinátora bezpečnosti a ochrany zdraví při práci </w:t>
      </w:r>
      <w:r>
        <w:rPr>
          <w:rFonts w:ascii="Arial" w:hAnsi="Arial"/>
        </w:rPr>
        <w:lastRenderedPageBreak/>
        <w:t>(dále jen „</w:t>
      </w:r>
      <w:r>
        <w:rPr>
          <w:rFonts w:ascii="Arial" w:hAnsi="Arial"/>
          <w:b/>
          <w:bCs w:val="0"/>
          <w:i/>
          <w:iCs/>
        </w:rPr>
        <w:t>Koordinátor BOZP</w:t>
      </w:r>
      <w:r>
        <w:rPr>
          <w:rFonts w:ascii="Arial" w:hAnsi="Arial"/>
        </w:rPr>
        <w:t xml:space="preserve">“) nad prováděním Stavby dle příslušných právních předpisů. Účelem TDS a Koordinátora BOZP je zajištění odborné kontrolní a dozorové činnosti směřující k řádné přípravě, průběhu a dokončení Stavby v souladu s projektovou dokumentací a dalšími smluvními specifikacemi při dodržování platných norem a předpisů, a při respektování specifik místa plnění a charakteru Stavby, dodržování rozpočtových nákladů Stavby a předpokládaných termínů realizace a předání a převzetí Stavby. </w:t>
      </w:r>
    </w:p>
    <w:p>
      <w:pPr>
        <w:pStyle w:val="SML1"/>
        <w:spacing w:before="480" w:after="240"/>
        <w:ind w:left="0" w:firstLine="0"/>
        <w:rPr>
          <w:rFonts w:ascii="Arial" w:hAnsi="Arial"/>
        </w:rPr>
      </w:pPr>
      <w:bookmarkStart w:id="3" w:name="_Ref126768509"/>
      <w:r>
        <w:rPr>
          <w:rFonts w:ascii="Arial" w:hAnsi="Arial"/>
        </w:rPr>
        <w:t>PŘEDMĚT SMLOUVY</w:t>
      </w:r>
      <w:bookmarkEnd w:id="3"/>
    </w:p>
    <w:p>
      <w:pPr>
        <w:pStyle w:val="SML11"/>
        <w:numPr>
          <w:ilvl w:val="0"/>
          <w:numId w:val="16"/>
        </w:numPr>
        <w:rPr>
          <w:rFonts w:ascii="Arial" w:hAnsi="Arial"/>
        </w:rPr>
      </w:pPr>
      <w:r>
        <w:rPr>
          <w:rFonts w:ascii="Arial" w:hAnsi="Arial"/>
        </w:rPr>
        <w:t>Předmětem Smlouvy je závazek Příkazníka zajistit záležitosti Příkazce spočívající ve výkonu činnosti TDS a Koordinátora BOZP dle příslušných právních předpisů nad prováděním Stavby a závazek Příkazce zaplatit za tuto činnosti Příkazníkovi odměnu. Příkazník ve v rámci výkonu činnosti TDS a Koordinátora BOZP především oprávněn a povinen kontrolovat plnění veškerých povinností Zhotovitele dle smlouvy o Stavbě.</w:t>
      </w:r>
    </w:p>
    <w:p>
      <w:pPr>
        <w:pStyle w:val="SML11"/>
        <w:numPr>
          <w:ilvl w:val="0"/>
          <w:numId w:val="16"/>
        </w:numPr>
        <w:rPr>
          <w:rFonts w:ascii="Arial" w:hAnsi="Arial"/>
        </w:rPr>
      </w:pPr>
      <w:r>
        <w:rPr>
          <w:rFonts w:ascii="Arial" w:hAnsi="Arial"/>
        </w:rPr>
        <w:t>Příkazník se zavazuje v rámci výkonu TDS provádět v předinvestiční fázi zejména následující činnosti:</w:t>
      </w:r>
    </w:p>
    <w:p>
      <w:pPr>
        <w:pStyle w:val="SML11"/>
        <w:numPr>
          <w:ilvl w:val="1"/>
          <w:numId w:val="16"/>
        </w:numPr>
        <w:rPr>
          <w:rFonts w:ascii="Arial" w:hAnsi="Arial"/>
        </w:rPr>
      </w:pPr>
      <w:bookmarkStart w:id="4" w:name="_Ref151975298"/>
      <w:r>
        <w:rPr>
          <w:rFonts w:ascii="Arial" w:hAnsi="Arial"/>
        </w:rPr>
        <w:t>spolupracovat s Příkazcem při přípravě a realizaci zadávacího řízení na Zhotovitele Stavby.</w:t>
      </w:r>
      <w:bookmarkEnd w:id="4"/>
    </w:p>
    <w:p>
      <w:pPr>
        <w:pStyle w:val="SML11"/>
        <w:numPr>
          <w:ilvl w:val="0"/>
          <w:numId w:val="16"/>
        </w:numPr>
        <w:rPr>
          <w:rFonts w:ascii="Arial" w:hAnsi="Arial"/>
        </w:rPr>
      </w:pPr>
      <w:r>
        <w:rPr>
          <w:rFonts w:ascii="Arial" w:hAnsi="Arial"/>
          <w:b/>
          <w:bCs w:val="0"/>
          <w:u w:val="single"/>
        </w:rPr>
        <w:t>Příkazník se zavazuje v rámci výkonu TDS provádět</w:t>
      </w:r>
      <w:r>
        <w:rPr>
          <w:rFonts w:ascii="Arial" w:hAnsi="Arial"/>
        </w:rPr>
        <w:t xml:space="preserve"> (dále také jen „</w:t>
      </w:r>
      <w:r>
        <w:rPr>
          <w:rFonts w:ascii="Arial" w:hAnsi="Arial"/>
          <w:b/>
          <w:bCs w:val="0"/>
          <w:i/>
          <w:iCs/>
        </w:rPr>
        <w:t>Část plnění TDS</w:t>
      </w:r>
      <w:r>
        <w:rPr>
          <w:rFonts w:ascii="Arial" w:hAnsi="Arial"/>
        </w:rPr>
        <w:t>“):</w:t>
      </w:r>
    </w:p>
    <w:p>
      <w:pPr>
        <w:pStyle w:val="SML11"/>
        <w:numPr>
          <w:ilvl w:val="1"/>
          <w:numId w:val="16"/>
        </w:numPr>
        <w:rPr>
          <w:rFonts w:ascii="Arial" w:hAnsi="Arial"/>
        </w:rPr>
      </w:pPr>
      <w:r>
        <w:rPr>
          <w:rFonts w:ascii="Arial" w:hAnsi="Arial"/>
        </w:rPr>
        <w:t xml:space="preserve">Příkazník se zavazuje v rámci výkonu TDS provádět </w:t>
      </w:r>
      <w:r>
        <w:rPr>
          <w:rFonts w:ascii="Arial" w:hAnsi="Arial"/>
          <w:b/>
          <w:bCs w:val="0"/>
        </w:rPr>
        <w:t>před zahájením</w:t>
      </w:r>
      <w:r>
        <w:rPr>
          <w:rFonts w:ascii="Arial" w:hAnsi="Arial"/>
        </w:rPr>
        <w:t xml:space="preserve"> provádění Stavby zejména následující činnosti:</w:t>
      </w:r>
    </w:p>
    <w:p>
      <w:pPr>
        <w:pStyle w:val="SML11"/>
        <w:numPr>
          <w:ilvl w:val="2"/>
          <w:numId w:val="16"/>
        </w:numPr>
        <w:ind w:left="2127" w:hanging="709"/>
        <w:rPr>
          <w:rFonts w:ascii="Arial" w:hAnsi="Arial"/>
        </w:rPr>
      </w:pPr>
      <w:r>
        <w:rPr>
          <w:rFonts w:ascii="Arial" w:hAnsi="Arial"/>
        </w:rPr>
        <w:t>převzít od Příkazce a podrobně se seznámit s příslušnými podklady pro realizaci Stavby, tj. zejména: projektovou dokumentací, veřejnoprávními rozhodnutími, jakož i s doklady, na které se odkazují (a to nejen s jejich obsahem, ale i podmínkami v nich obsaženými), a dále se seznámit se smlouvami týkajícími se provádění Stavby,</w:t>
      </w:r>
    </w:p>
    <w:p>
      <w:pPr>
        <w:pStyle w:val="SML11"/>
        <w:numPr>
          <w:ilvl w:val="2"/>
          <w:numId w:val="16"/>
        </w:numPr>
        <w:ind w:left="2127" w:hanging="709"/>
        <w:rPr>
          <w:rFonts w:ascii="Arial" w:hAnsi="Arial"/>
        </w:rPr>
      </w:pPr>
      <w:r>
        <w:rPr>
          <w:rFonts w:ascii="Arial" w:hAnsi="Arial"/>
        </w:rPr>
        <w:t xml:space="preserve">upozornit Příkazce na případné nesrovnalosti v projektové dokumentaci, </w:t>
      </w:r>
    </w:p>
    <w:p>
      <w:pPr>
        <w:pStyle w:val="SML11"/>
        <w:numPr>
          <w:ilvl w:val="2"/>
          <w:numId w:val="16"/>
        </w:numPr>
        <w:ind w:left="2127" w:hanging="709"/>
        <w:rPr>
          <w:rFonts w:ascii="Arial" w:hAnsi="Arial"/>
        </w:rPr>
      </w:pPr>
      <w:r>
        <w:rPr>
          <w:rFonts w:ascii="Arial" w:hAnsi="Arial"/>
        </w:rPr>
        <w:t xml:space="preserve">dohlížet na maximální dodržování bezpečnostních předpisů a provozního režimu Stavby, </w:t>
      </w:r>
    </w:p>
    <w:p>
      <w:pPr>
        <w:pStyle w:val="SML11"/>
        <w:numPr>
          <w:ilvl w:val="2"/>
          <w:numId w:val="16"/>
        </w:numPr>
        <w:ind w:left="2127" w:hanging="709"/>
        <w:rPr>
          <w:rFonts w:ascii="Arial" w:hAnsi="Arial"/>
        </w:rPr>
      </w:pPr>
      <w:r>
        <w:rPr>
          <w:rFonts w:ascii="Arial" w:hAnsi="Arial"/>
        </w:rPr>
        <w:t xml:space="preserve">organizovat předání staveniště Zhotoviteli a podílet se na vypracování zápisu o předání a převzetí staveniště do stavebního deníku, </w:t>
      </w:r>
    </w:p>
    <w:p>
      <w:pPr>
        <w:pStyle w:val="SML11"/>
        <w:numPr>
          <w:ilvl w:val="2"/>
          <w:numId w:val="16"/>
        </w:numPr>
        <w:ind w:left="2127" w:hanging="709"/>
        <w:rPr>
          <w:rFonts w:ascii="Arial" w:hAnsi="Arial"/>
        </w:rPr>
      </w:pPr>
      <w:r>
        <w:rPr>
          <w:rFonts w:ascii="Arial" w:hAnsi="Arial"/>
        </w:rPr>
        <w:t xml:space="preserve">zajištění předání napojovacích míst na určené stávající inženýrské sítě a na dopravní infrastrukturu, </w:t>
      </w:r>
    </w:p>
    <w:p>
      <w:pPr>
        <w:pStyle w:val="SML11"/>
        <w:numPr>
          <w:ilvl w:val="2"/>
          <w:numId w:val="16"/>
        </w:numPr>
        <w:ind w:left="2127" w:hanging="709"/>
        <w:rPr>
          <w:rFonts w:ascii="Arial" w:hAnsi="Arial"/>
        </w:rPr>
      </w:pPr>
      <w:r>
        <w:rPr>
          <w:rFonts w:ascii="Arial" w:hAnsi="Arial"/>
        </w:rPr>
        <w:t xml:space="preserve">zkontrolovat, zda Zhotovitel zavedl stavební deník a tento vede po celou dobu realizace Stavby v souladu s příslušnými právními předpisy, </w:t>
      </w:r>
    </w:p>
    <w:p>
      <w:pPr>
        <w:pStyle w:val="SML11"/>
        <w:numPr>
          <w:ilvl w:val="2"/>
          <w:numId w:val="16"/>
        </w:numPr>
        <w:ind w:left="2127" w:hanging="709"/>
        <w:rPr>
          <w:rFonts w:ascii="Arial" w:hAnsi="Arial"/>
        </w:rPr>
      </w:pPr>
      <w:r>
        <w:rPr>
          <w:rFonts w:ascii="Arial" w:hAnsi="Arial"/>
        </w:rPr>
        <w:t>zkontrolovat, zda Zhotovitel zapsal do úvodního listu stavebního deníku předepsané (nebo potřebné) údaje a potvrdil převzetí příslušných dokladů, informací, údajů,</w:t>
      </w:r>
    </w:p>
    <w:p>
      <w:pPr>
        <w:pStyle w:val="SML11"/>
        <w:numPr>
          <w:ilvl w:val="2"/>
          <w:numId w:val="16"/>
        </w:numPr>
        <w:ind w:left="2127" w:hanging="709"/>
        <w:rPr>
          <w:rFonts w:ascii="Arial" w:hAnsi="Arial"/>
        </w:rPr>
      </w:pPr>
      <w:r>
        <w:rPr>
          <w:rFonts w:ascii="Arial" w:hAnsi="Arial"/>
        </w:rPr>
        <w:t xml:space="preserve">účastnit se kontrolního zaměření terénu prováděného Zhotovitelem,   </w:t>
      </w:r>
    </w:p>
    <w:p>
      <w:pPr>
        <w:pStyle w:val="SML11"/>
        <w:numPr>
          <w:ilvl w:val="2"/>
          <w:numId w:val="16"/>
        </w:numPr>
        <w:ind w:left="2127" w:hanging="709"/>
        <w:rPr>
          <w:rFonts w:ascii="Arial" w:hAnsi="Arial"/>
        </w:rPr>
      </w:pPr>
      <w:r>
        <w:rPr>
          <w:rFonts w:ascii="Arial" w:hAnsi="Arial"/>
        </w:rPr>
        <w:t>před zahájením Stavby stanovit termíny kontrolních dnů (dále jen „</w:t>
      </w:r>
      <w:r>
        <w:rPr>
          <w:rFonts w:ascii="Arial" w:hAnsi="Arial"/>
          <w:b/>
          <w:bCs w:val="0"/>
          <w:i/>
          <w:iCs/>
        </w:rPr>
        <w:t>KD</w:t>
      </w:r>
      <w:r>
        <w:rPr>
          <w:rFonts w:ascii="Arial" w:hAnsi="Arial"/>
        </w:rPr>
        <w:t>“), které předloží ostatním účastníkům výstavby, autorskému dozoru projektanta (dále jen „</w:t>
      </w:r>
      <w:r>
        <w:rPr>
          <w:rFonts w:ascii="Arial" w:hAnsi="Arial"/>
          <w:b/>
          <w:bCs w:val="0"/>
          <w:i/>
          <w:iCs/>
        </w:rPr>
        <w:t>AD</w:t>
      </w:r>
      <w:r>
        <w:rPr>
          <w:rFonts w:ascii="Arial" w:hAnsi="Arial"/>
        </w:rPr>
        <w:t>“), příslušnému stavebnímu úřadu a dalším orgánům; KD musí být organizovány alespoň 1x za 14 dnů po dobu provádění stavebních prací, nedohodnou-li se Smluvní strany jinak,</w:t>
      </w:r>
    </w:p>
    <w:p>
      <w:pPr>
        <w:pStyle w:val="SML11"/>
        <w:numPr>
          <w:ilvl w:val="2"/>
          <w:numId w:val="16"/>
        </w:numPr>
        <w:ind w:left="2127" w:hanging="709"/>
        <w:rPr>
          <w:rFonts w:ascii="Arial" w:hAnsi="Arial"/>
        </w:rPr>
      </w:pPr>
      <w:r>
        <w:rPr>
          <w:rFonts w:ascii="Arial" w:hAnsi="Arial"/>
        </w:rPr>
        <w:t xml:space="preserve">před zahájením stavebních prací umístit na viditelném místě u vstupu na staveniště štítek o povolení Stavby a ponechat jej tam až do dokončení </w:t>
      </w:r>
      <w:r>
        <w:rPr>
          <w:rFonts w:ascii="Arial" w:hAnsi="Arial"/>
        </w:rPr>
        <w:lastRenderedPageBreak/>
        <w:t>Stavby,</w:t>
      </w:r>
      <w:r>
        <w:rPr>
          <w:rFonts w:ascii="Arial" w:eastAsia="Calibri" w:hAnsi="Arial"/>
          <w:bCs w:val="0"/>
          <w:color w:val="000000"/>
          <w:sz w:val="20"/>
          <w:szCs w:val="20"/>
          <w:lang w:eastAsia="cs-CZ"/>
        </w:rPr>
        <w:t xml:space="preserve"> </w:t>
      </w:r>
      <w:r>
        <w:rPr>
          <w:rFonts w:ascii="Arial" w:hAnsi="Arial"/>
        </w:rPr>
        <w:t>případně do vydání kolaudačního rozhodnutí; rozsáhlé stavby se mohou označit jiným vhodným způsobem s uvedením údajů ze štítku,</w:t>
      </w:r>
    </w:p>
    <w:p>
      <w:pPr>
        <w:pStyle w:val="SML11"/>
        <w:numPr>
          <w:ilvl w:val="1"/>
          <w:numId w:val="16"/>
        </w:numPr>
        <w:rPr>
          <w:rFonts w:ascii="Arial" w:hAnsi="Arial"/>
        </w:rPr>
      </w:pPr>
      <w:r>
        <w:rPr>
          <w:rFonts w:ascii="Arial" w:hAnsi="Arial"/>
        </w:rPr>
        <w:t xml:space="preserve">Příkazník se zavazuje v rámci výkonu TDS provádět </w:t>
      </w:r>
      <w:r>
        <w:rPr>
          <w:rFonts w:ascii="Arial" w:hAnsi="Arial"/>
          <w:b/>
          <w:bCs w:val="0"/>
        </w:rPr>
        <w:t>v průběhu</w:t>
      </w:r>
      <w:r>
        <w:rPr>
          <w:rFonts w:ascii="Arial" w:hAnsi="Arial"/>
        </w:rPr>
        <w:t xml:space="preserve"> realizace Stavby zejména následující činnosti:</w:t>
      </w:r>
    </w:p>
    <w:p>
      <w:pPr>
        <w:pStyle w:val="SML11"/>
        <w:numPr>
          <w:ilvl w:val="2"/>
          <w:numId w:val="16"/>
        </w:numPr>
        <w:ind w:left="2127" w:hanging="709"/>
        <w:rPr>
          <w:rFonts w:ascii="Arial" w:hAnsi="Arial"/>
        </w:rPr>
      </w:pPr>
      <w:r>
        <w:rPr>
          <w:rFonts w:ascii="Arial" w:hAnsi="Arial"/>
        </w:rPr>
        <w:t>zajistit, aby na staveništi byla k dispozici ověřená dokumentace Stavby a všechny doklady týkající se prováděné Stavby nebo její změny, případně jejich kopie,</w:t>
      </w:r>
    </w:p>
    <w:p>
      <w:pPr>
        <w:pStyle w:val="SML11"/>
        <w:numPr>
          <w:ilvl w:val="2"/>
          <w:numId w:val="16"/>
        </w:numPr>
        <w:ind w:left="2127" w:hanging="709"/>
        <w:rPr>
          <w:rFonts w:ascii="Arial" w:hAnsi="Arial"/>
        </w:rPr>
      </w:pPr>
      <w:r>
        <w:rPr>
          <w:rFonts w:ascii="Arial" w:hAnsi="Arial"/>
        </w:rPr>
        <w:t xml:space="preserve">kontrolovat provedení přípravných prací a prací na zařízení staveniště, </w:t>
      </w:r>
    </w:p>
    <w:p>
      <w:pPr>
        <w:pStyle w:val="SML11"/>
        <w:numPr>
          <w:ilvl w:val="2"/>
          <w:numId w:val="16"/>
        </w:numPr>
        <w:ind w:left="2127" w:hanging="709"/>
        <w:rPr>
          <w:rFonts w:ascii="Arial" w:hAnsi="Arial"/>
        </w:rPr>
      </w:pPr>
      <w:r>
        <w:rPr>
          <w:rFonts w:ascii="Arial" w:hAnsi="Arial"/>
        </w:rPr>
        <w:t>organizovat KD, vyhotovovat zápisy a odpovídat za jejich distribuci; zápis z KD bude vždy obsahovat potvrzení souladu postupu prací vzhledem ke schválenému harmonogramu výstavby a platebnímu kalendáři a opatření přijatá v případě nedodržení harmonogramu výstavby,</w:t>
      </w:r>
    </w:p>
    <w:p>
      <w:pPr>
        <w:pStyle w:val="SML11"/>
        <w:numPr>
          <w:ilvl w:val="2"/>
          <w:numId w:val="16"/>
        </w:numPr>
        <w:ind w:left="2127" w:hanging="709"/>
        <w:rPr>
          <w:rFonts w:ascii="Arial" w:hAnsi="Arial"/>
        </w:rPr>
      </w:pPr>
      <w:bookmarkStart w:id="5" w:name="_Hlk151968944"/>
      <w:r>
        <w:rPr>
          <w:rFonts w:ascii="Arial" w:hAnsi="Arial"/>
        </w:rPr>
        <w:t xml:space="preserve">kontrolovat, zda Zhotovitel dodržuje na staveništi bezpečnostní a požární předpisy a předpisy ochrany životního prostředí a zda udržuje na staveništi čistotu a pořádek, </w:t>
      </w:r>
    </w:p>
    <w:bookmarkEnd w:id="5"/>
    <w:p>
      <w:pPr>
        <w:pStyle w:val="SML11"/>
        <w:numPr>
          <w:ilvl w:val="2"/>
          <w:numId w:val="16"/>
        </w:numPr>
        <w:ind w:left="2127" w:hanging="709"/>
        <w:rPr>
          <w:rFonts w:ascii="Arial" w:hAnsi="Arial"/>
        </w:rPr>
      </w:pPr>
      <w:r>
        <w:rPr>
          <w:rFonts w:ascii="Arial" w:hAnsi="Arial"/>
        </w:rPr>
        <w:t xml:space="preserve">odpovídat za soulad průběhu prací zejména se: </w:t>
      </w:r>
    </w:p>
    <w:p>
      <w:pPr>
        <w:pStyle w:val="SML11"/>
        <w:numPr>
          <w:ilvl w:val="3"/>
          <w:numId w:val="16"/>
        </w:numPr>
        <w:ind w:left="2977" w:hanging="850"/>
        <w:rPr>
          <w:rFonts w:ascii="Arial" w:hAnsi="Arial"/>
        </w:rPr>
      </w:pPr>
      <w:r>
        <w:rPr>
          <w:rFonts w:ascii="Arial" w:hAnsi="Arial"/>
        </w:rPr>
        <w:t xml:space="preserve">smlouvou o Stavbě, </w:t>
      </w:r>
    </w:p>
    <w:p>
      <w:pPr>
        <w:pStyle w:val="SML11"/>
        <w:numPr>
          <w:ilvl w:val="3"/>
          <w:numId w:val="16"/>
        </w:numPr>
        <w:ind w:left="2977" w:hanging="850"/>
        <w:rPr>
          <w:rFonts w:ascii="Arial" w:hAnsi="Arial"/>
        </w:rPr>
      </w:pPr>
      <w:r>
        <w:rPr>
          <w:rFonts w:ascii="Arial" w:hAnsi="Arial"/>
        </w:rPr>
        <w:t xml:space="preserve">ostatními smlouvami, uzavřenými Příkazcem k předmětu Stavby, </w:t>
      </w:r>
    </w:p>
    <w:p>
      <w:pPr>
        <w:pStyle w:val="SML11"/>
        <w:numPr>
          <w:ilvl w:val="3"/>
          <w:numId w:val="16"/>
        </w:numPr>
        <w:ind w:left="2977" w:hanging="850"/>
        <w:rPr>
          <w:rFonts w:ascii="Arial" w:hAnsi="Arial"/>
        </w:rPr>
      </w:pPr>
      <w:r>
        <w:rPr>
          <w:rFonts w:ascii="Arial" w:hAnsi="Arial"/>
        </w:rPr>
        <w:t xml:space="preserve">projektovou dokumentací pro provádění Stavby </w:t>
      </w:r>
    </w:p>
    <w:p>
      <w:pPr>
        <w:pStyle w:val="SML11"/>
        <w:numPr>
          <w:ilvl w:val="3"/>
          <w:numId w:val="16"/>
        </w:numPr>
        <w:ind w:left="2977" w:hanging="850"/>
        <w:rPr>
          <w:rFonts w:ascii="Arial" w:hAnsi="Arial"/>
        </w:rPr>
      </w:pPr>
      <w:r>
        <w:rPr>
          <w:rFonts w:ascii="Arial" w:hAnsi="Arial"/>
        </w:rPr>
        <w:t xml:space="preserve">schváleným harmonogramem postupu výstavby, </w:t>
      </w:r>
    </w:p>
    <w:p>
      <w:pPr>
        <w:pStyle w:val="SML11"/>
        <w:numPr>
          <w:ilvl w:val="3"/>
          <w:numId w:val="16"/>
        </w:numPr>
        <w:ind w:left="2977" w:hanging="850"/>
        <w:rPr>
          <w:rFonts w:ascii="Arial" w:hAnsi="Arial"/>
        </w:rPr>
      </w:pPr>
      <w:r>
        <w:rPr>
          <w:rFonts w:ascii="Arial" w:hAnsi="Arial"/>
        </w:rPr>
        <w:t>závaznými rozhodnutími a stanovisky vydanými veřejnoprávními orgány.</w:t>
      </w:r>
    </w:p>
    <w:p>
      <w:pPr>
        <w:pStyle w:val="SML11"/>
        <w:numPr>
          <w:ilvl w:val="2"/>
          <w:numId w:val="16"/>
        </w:numPr>
        <w:ind w:left="2127" w:hanging="709"/>
        <w:rPr>
          <w:rFonts w:ascii="Arial" w:hAnsi="Arial"/>
        </w:rPr>
      </w:pPr>
      <w:r>
        <w:rPr>
          <w:rFonts w:ascii="Arial" w:hAnsi="Arial"/>
        </w:rPr>
        <w:t xml:space="preserve">kontrolovat postup prací Zhotovitele, výsledky zapisovat do stavebního deníku a v případě zpoždění prací písemně informovat Příkazce, </w:t>
      </w:r>
    </w:p>
    <w:p>
      <w:pPr>
        <w:pStyle w:val="SML11"/>
        <w:numPr>
          <w:ilvl w:val="2"/>
          <w:numId w:val="16"/>
        </w:numPr>
        <w:ind w:left="2127" w:hanging="709"/>
        <w:rPr>
          <w:rFonts w:ascii="Arial" w:hAnsi="Arial"/>
        </w:rPr>
      </w:pPr>
      <w:r>
        <w:rPr>
          <w:rFonts w:ascii="Arial" w:hAnsi="Arial"/>
        </w:rPr>
        <w:t xml:space="preserve">sledovat obsah stavebního deníku a dbát na jeho řádné každodenní vedení (pokud příslušné smlouvy o Stavbě nestanovují jinak),  </w:t>
      </w:r>
    </w:p>
    <w:p>
      <w:pPr>
        <w:pStyle w:val="SML11"/>
        <w:numPr>
          <w:ilvl w:val="2"/>
          <w:numId w:val="16"/>
        </w:numPr>
        <w:ind w:left="2127" w:hanging="709"/>
        <w:rPr>
          <w:rFonts w:ascii="Arial" w:hAnsi="Arial"/>
        </w:rPr>
      </w:pPr>
      <w:r>
        <w:rPr>
          <w:rFonts w:ascii="Arial" w:hAnsi="Arial"/>
        </w:rPr>
        <w:t xml:space="preserve">kontrolovat úplnost zápisů Zhotovitele do stavebního deníku a připojovat k nim svá stanoviska, souhlasy či námitky, </w:t>
      </w:r>
    </w:p>
    <w:p>
      <w:pPr>
        <w:pStyle w:val="SML11"/>
        <w:numPr>
          <w:ilvl w:val="2"/>
          <w:numId w:val="16"/>
        </w:numPr>
        <w:ind w:left="2127" w:hanging="709"/>
        <w:rPr>
          <w:rFonts w:ascii="Arial" w:hAnsi="Arial"/>
        </w:rPr>
      </w:pPr>
      <w:r>
        <w:rPr>
          <w:rFonts w:ascii="Arial" w:hAnsi="Arial"/>
        </w:rPr>
        <w:t xml:space="preserve">ukládat první průpis stavebního deníku pro potřeby Příkazce, </w:t>
      </w:r>
    </w:p>
    <w:p>
      <w:pPr>
        <w:pStyle w:val="SML11"/>
        <w:numPr>
          <w:ilvl w:val="2"/>
          <w:numId w:val="16"/>
        </w:numPr>
        <w:ind w:left="2127" w:hanging="709"/>
        <w:rPr>
          <w:rFonts w:ascii="Arial" w:hAnsi="Arial"/>
        </w:rPr>
      </w:pPr>
      <w:r>
        <w:rPr>
          <w:rFonts w:ascii="Arial" w:hAnsi="Arial"/>
        </w:rPr>
        <w:t xml:space="preserve">kontrolovat průběžně dodržování technologického postupu prací stanoveného příslušnými normami a předpisy (nejsou-li, pak způsoby v odborné praxi užívanými a ověřenými), </w:t>
      </w:r>
    </w:p>
    <w:p>
      <w:pPr>
        <w:pStyle w:val="SML11"/>
        <w:numPr>
          <w:ilvl w:val="2"/>
          <w:numId w:val="16"/>
        </w:numPr>
        <w:ind w:left="2127" w:hanging="709"/>
        <w:rPr>
          <w:rFonts w:ascii="Arial" w:hAnsi="Arial"/>
        </w:rPr>
      </w:pPr>
      <w:r>
        <w:rPr>
          <w:rFonts w:ascii="Arial" w:hAnsi="Arial"/>
        </w:rPr>
        <w:t xml:space="preserve">upozorňovat Zhotovitele zápisem ve stavebním deníku (případně i dalšími vhodnými způsoby) na nedostatky zjištěné v průběhu provádění prací, požadovat a kontrolovat okamžité zjednání nápravy, </w:t>
      </w:r>
    </w:p>
    <w:p>
      <w:pPr>
        <w:pStyle w:val="SML11"/>
        <w:numPr>
          <w:ilvl w:val="2"/>
          <w:numId w:val="16"/>
        </w:numPr>
        <w:ind w:left="2127" w:hanging="709"/>
        <w:rPr>
          <w:rFonts w:ascii="Arial" w:hAnsi="Arial"/>
        </w:rPr>
      </w:pPr>
      <w:r>
        <w:rPr>
          <w:rFonts w:ascii="Arial" w:hAnsi="Arial"/>
        </w:rPr>
        <w:t>ohlásit stavebnímu úřadu neprodleně po jejich zjištění závady na Stavbě, které ohrožují životy a zdraví osob, nebo bezpečnost Stavby,</w:t>
      </w:r>
    </w:p>
    <w:p>
      <w:pPr>
        <w:pStyle w:val="SML11"/>
        <w:numPr>
          <w:ilvl w:val="2"/>
          <w:numId w:val="16"/>
        </w:numPr>
        <w:ind w:left="2127" w:hanging="709"/>
        <w:rPr>
          <w:rFonts w:ascii="Arial" w:hAnsi="Arial"/>
        </w:rPr>
      </w:pPr>
      <w:r>
        <w:rPr>
          <w:rFonts w:ascii="Arial" w:hAnsi="Arial"/>
        </w:rPr>
        <w:t xml:space="preserve">prověřovat části dodávek, které budou v dalším průběhu Stavby zakryty nebo se stanou nepřístupnými, zapisovat výsledky této kontroly do stavebního deníku a provádět fotodokumentaci těchto částí dodávek, a pokud je to možné, zajistit přítomnost Příkazce na provádění kontrol dle tohoto pododstavce, </w:t>
      </w:r>
    </w:p>
    <w:p>
      <w:pPr>
        <w:pStyle w:val="SML11"/>
        <w:numPr>
          <w:ilvl w:val="2"/>
          <w:numId w:val="16"/>
        </w:numPr>
        <w:ind w:left="2127" w:hanging="709"/>
        <w:rPr>
          <w:rFonts w:ascii="Arial" w:hAnsi="Arial"/>
        </w:rPr>
      </w:pPr>
      <w:r>
        <w:rPr>
          <w:rFonts w:ascii="Arial" w:hAnsi="Arial"/>
        </w:rPr>
        <w:t xml:space="preserve">dbát na to, aby Zhotovitel prováděl předepsané nebo dohodnuté zkoušky materiálů a konstrukcí, kontrolovat výsledky těchto zkoušek, soustřeďovat </w:t>
      </w:r>
      <w:r>
        <w:rPr>
          <w:rFonts w:ascii="Arial" w:hAnsi="Arial"/>
        </w:rPr>
        <w:lastRenderedPageBreak/>
        <w:t xml:space="preserve">a kompletovat doklady prokazující dodržení předepsané kvality prací a činit o tom zápisy do stavebního deníku, </w:t>
      </w:r>
    </w:p>
    <w:p>
      <w:pPr>
        <w:pStyle w:val="SML11"/>
        <w:numPr>
          <w:ilvl w:val="2"/>
          <w:numId w:val="16"/>
        </w:numPr>
        <w:ind w:left="2127" w:hanging="709"/>
        <w:rPr>
          <w:rFonts w:ascii="Arial" w:hAnsi="Arial"/>
        </w:rPr>
      </w:pPr>
      <w:r>
        <w:rPr>
          <w:rFonts w:ascii="Arial" w:hAnsi="Arial"/>
        </w:rPr>
        <w:t xml:space="preserve">spolupracovat s projektantem vykonávajícím AD, byl-li ustanoven, </w:t>
      </w:r>
    </w:p>
    <w:p>
      <w:pPr>
        <w:pStyle w:val="SML11"/>
        <w:numPr>
          <w:ilvl w:val="2"/>
          <w:numId w:val="16"/>
        </w:numPr>
        <w:ind w:left="2127" w:hanging="709"/>
        <w:rPr>
          <w:rFonts w:ascii="Arial" w:hAnsi="Arial"/>
        </w:rPr>
      </w:pPr>
      <w:r>
        <w:rPr>
          <w:rFonts w:ascii="Arial" w:hAnsi="Arial"/>
        </w:rPr>
        <w:t>spolupracovat s AD a Zhotovitelem při navrhování opatření k odstranění případných vad projektové dokumentace,</w:t>
      </w:r>
    </w:p>
    <w:p>
      <w:pPr>
        <w:pStyle w:val="SML11"/>
        <w:numPr>
          <w:ilvl w:val="2"/>
          <w:numId w:val="16"/>
        </w:numPr>
        <w:ind w:left="2127" w:hanging="709"/>
        <w:rPr>
          <w:rFonts w:ascii="Arial" w:hAnsi="Arial"/>
        </w:rPr>
      </w:pPr>
      <w:r>
        <w:rPr>
          <w:rFonts w:ascii="Arial" w:hAnsi="Arial"/>
        </w:rPr>
        <w:t xml:space="preserve">spolupracovat s pracovníky Zhotovitele při provádění opatření na odvrácení nebo omezení škod při ohrožení Stavby živelními událostmi, </w:t>
      </w:r>
    </w:p>
    <w:p>
      <w:pPr>
        <w:pStyle w:val="SML11"/>
        <w:numPr>
          <w:ilvl w:val="2"/>
          <w:numId w:val="16"/>
        </w:numPr>
        <w:ind w:left="2127" w:hanging="709"/>
        <w:rPr>
          <w:rFonts w:ascii="Arial" w:hAnsi="Arial"/>
        </w:rPr>
      </w:pPr>
      <w:r>
        <w:rPr>
          <w:rFonts w:ascii="Arial" w:hAnsi="Arial"/>
        </w:rPr>
        <w:t xml:space="preserve">v souladu se smlouvami odevzdávat připravené práce dalším Zhotovitelům na jejich navazující činnost, </w:t>
      </w:r>
    </w:p>
    <w:p>
      <w:pPr>
        <w:pStyle w:val="SML11"/>
        <w:numPr>
          <w:ilvl w:val="2"/>
          <w:numId w:val="16"/>
        </w:numPr>
        <w:ind w:left="2127" w:hanging="709"/>
        <w:rPr>
          <w:rFonts w:ascii="Arial" w:hAnsi="Arial"/>
        </w:rPr>
      </w:pPr>
      <w:r>
        <w:rPr>
          <w:rFonts w:ascii="Arial" w:hAnsi="Arial"/>
        </w:rPr>
        <w:t xml:space="preserve">uplatňovat náměty směřující ke zhospodárňování budoucího provozu (užívání) dokončené Stavby, </w:t>
      </w:r>
    </w:p>
    <w:p>
      <w:pPr>
        <w:pStyle w:val="SML11"/>
        <w:numPr>
          <w:ilvl w:val="2"/>
          <w:numId w:val="16"/>
        </w:numPr>
        <w:ind w:left="2127" w:hanging="709"/>
        <w:rPr>
          <w:rFonts w:ascii="Arial" w:hAnsi="Arial"/>
        </w:rPr>
      </w:pPr>
      <w:r>
        <w:rPr>
          <w:rFonts w:ascii="Arial" w:hAnsi="Arial"/>
        </w:rPr>
        <w:t>zastupovat Příkazce při jednáních s vlastníky technické infrastruktury a v záležitostech vyžadujících jednání se stavebním úřadem a dalšími orgány státní správy,</w:t>
      </w:r>
    </w:p>
    <w:p>
      <w:pPr>
        <w:pStyle w:val="SML11"/>
        <w:numPr>
          <w:ilvl w:val="2"/>
          <w:numId w:val="16"/>
        </w:numPr>
        <w:ind w:left="2127" w:hanging="709"/>
        <w:rPr>
          <w:rFonts w:ascii="Arial" w:hAnsi="Arial"/>
        </w:rPr>
      </w:pPr>
      <w:bookmarkStart w:id="6" w:name="_Hlk151968992"/>
      <w:r>
        <w:rPr>
          <w:rFonts w:ascii="Arial" w:hAnsi="Arial"/>
        </w:rPr>
        <w:t xml:space="preserve">kontrolovat řádné uskladnění materiálu, strojů a konstrukcí zajišťované Zhotovitelem, </w:t>
      </w:r>
    </w:p>
    <w:bookmarkEnd w:id="6"/>
    <w:p>
      <w:pPr>
        <w:pStyle w:val="SML11"/>
        <w:numPr>
          <w:ilvl w:val="2"/>
          <w:numId w:val="16"/>
        </w:numPr>
        <w:ind w:left="2127" w:hanging="709"/>
        <w:rPr>
          <w:rFonts w:ascii="Arial" w:hAnsi="Arial"/>
        </w:rPr>
      </w:pPr>
      <w:r>
        <w:rPr>
          <w:rFonts w:ascii="Arial" w:hAnsi="Arial"/>
        </w:rPr>
        <w:t xml:space="preserve">kontrolovat, zda materiály, konstrukce a výrobky pro Stavbu jsou doloženy osvědčením o jakosti a činit o případných nedostatcích zápisy do stavebního deníku, </w:t>
      </w:r>
    </w:p>
    <w:p>
      <w:pPr>
        <w:pStyle w:val="SML11"/>
        <w:numPr>
          <w:ilvl w:val="2"/>
          <w:numId w:val="16"/>
        </w:numPr>
        <w:ind w:left="2127" w:hanging="709"/>
        <w:rPr>
          <w:rFonts w:ascii="Arial" w:hAnsi="Arial"/>
        </w:rPr>
      </w:pPr>
      <w:r>
        <w:rPr>
          <w:rFonts w:ascii="Arial" w:hAnsi="Arial"/>
        </w:rPr>
        <w:t xml:space="preserve">do stavebního deníku zaznamenávat každé přerušení či zastavení prací, a pokud k němu dojde z důvodů na straně Příkazce, zajišťovat operativní odstranění překážek a pokračování prací, </w:t>
      </w:r>
    </w:p>
    <w:p>
      <w:pPr>
        <w:pStyle w:val="SML11"/>
        <w:numPr>
          <w:ilvl w:val="2"/>
          <w:numId w:val="16"/>
        </w:numPr>
        <w:ind w:left="2127" w:hanging="709"/>
        <w:rPr>
          <w:rFonts w:ascii="Arial" w:hAnsi="Arial"/>
        </w:rPr>
      </w:pPr>
      <w:r>
        <w:rPr>
          <w:rFonts w:ascii="Arial" w:hAnsi="Arial"/>
        </w:rPr>
        <w:t xml:space="preserve">poskytovat stanoviska k dodatkům a změnám projektové dokumentace, </w:t>
      </w:r>
    </w:p>
    <w:p>
      <w:pPr>
        <w:pStyle w:val="SML11"/>
        <w:numPr>
          <w:ilvl w:val="2"/>
          <w:numId w:val="16"/>
        </w:numPr>
        <w:ind w:left="2127" w:hanging="709"/>
        <w:rPr>
          <w:rFonts w:ascii="Arial" w:hAnsi="Arial"/>
        </w:rPr>
      </w:pPr>
      <w:r>
        <w:rPr>
          <w:rFonts w:ascii="Arial" w:hAnsi="Arial"/>
        </w:rPr>
        <w:t>projednat s Příkazcem změnové listy, které Příkazci předložil Zhotovitel a případně k nim poskytovat stanoviska; Příkazce si může vyžádat, aby návrh změnových listů zpracoval sám Příkazník; změnové listy obsahují práce, které nejsou obsaženy v projektové dokumentaci a představují vícepráce, popř. méněpráce, přičemž,</w:t>
      </w:r>
    </w:p>
    <w:p>
      <w:pPr>
        <w:pStyle w:val="SML11"/>
        <w:numPr>
          <w:ilvl w:val="3"/>
          <w:numId w:val="16"/>
        </w:numPr>
        <w:ind w:left="2977" w:hanging="992"/>
        <w:rPr>
          <w:rFonts w:ascii="Arial" w:hAnsi="Arial"/>
        </w:rPr>
      </w:pPr>
      <w:r>
        <w:rPr>
          <w:rFonts w:ascii="Arial" w:hAnsi="Arial"/>
        </w:rPr>
        <w:t xml:space="preserve">návrhy změnových listů musí být projednány na KD, </w:t>
      </w:r>
    </w:p>
    <w:p>
      <w:pPr>
        <w:pStyle w:val="SML11"/>
        <w:numPr>
          <w:ilvl w:val="3"/>
          <w:numId w:val="16"/>
        </w:numPr>
        <w:ind w:left="2977" w:hanging="992"/>
        <w:rPr>
          <w:rFonts w:ascii="Arial" w:hAnsi="Arial"/>
        </w:rPr>
      </w:pPr>
      <w:r>
        <w:rPr>
          <w:rFonts w:ascii="Arial" w:hAnsi="Arial"/>
        </w:rPr>
        <w:t xml:space="preserve">pokud změny vedou k úpravě schválených parametrů Stavby, zajistí Příkazník administraci dalšího postupu v souladu s ustanoveními smlouvy o Stavbě a návrh dodatku smlouvy o Stavbě, </w:t>
      </w:r>
    </w:p>
    <w:p>
      <w:pPr>
        <w:pStyle w:val="SML11"/>
        <w:numPr>
          <w:ilvl w:val="2"/>
          <w:numId w:val="16"/>
        </w:numPr>
        <w:ind w:left="2127" w:hanging="709"/>
        <w:rPr>
          <w:rFonts w:ascii="Arial" w:hAnsi="Arial"/>
        </w:rPr>
      </w:pPr>
      <w:r>
        <w:rPr>
          <w:rFonts w:ascii="Arial" w:hAnsi="Arial"/>
        </w:rPr>
        <w:t xml:space="preserve">pokud smlouva o Stavbě obsahuje tuto povinnost, kontrolovat, zda Zhotovitel průběžně a systematicky zakresluje do jednoho vyhotovení projektu veškeré změny (tj. doplňování a opravy), k nimž došlo při provádění Stavby a provádí evidenci dokumentace dokončených částí Stavby, </w:t>
      </w:r>
    </w:p>
    <w:p>
      <w:pPr>
        <w:pStyle w:val="SML11"/>
        <w:numPr>
          <w:ilvl w:val="2"/>
          <w:numId w:val="16"/>
        </w:numPr>
        <w:ind w:left="2127" w:hanging="709"/>
        <w:rPr>
          <w:rFonts w:ascii="Arial" w:hAnsi="Arial"/>
        </w:rPr>
      </w:pPr>
      <w:r>
        <w:rPr>
          <w:rFonts w:ascii="Arial" w:hAnsi="Arial"/>
        </w:rPr>
        <w:t>v souladu se závaznými stanovisky příslušných veřejnoprávních orgánů konzultovat a zajišťovat odsouhlasení doplnění, příp. výměny materiálů s pracovníkem dotčeného veřejnoprávního orgánu, a toto protokolárně zaznamenávat,</w:t>
      </w:r>
    </w:p>
    <w:p>
      <w:pPr>
        <w:pStyle w:val="SML11"/>
        <w:numPr>
          <w:ilvl w:val="2"/>
          <w:numId w:val="16"/>
        </w:numPr>
        <w:ind w:left="2127" w:hanging="709"/>
        <w:rPr>
          <w:rFonts w:ascii="Arial" w:hAnsi="Arial"/>
        </w:rPr>
      </w:pPr>
      <w:r>
        <w:rPr>
          <w:rFonts w:ascii="Arial" w:hAnsi="Arial"/>
        </w:rPr>
        <w:t xml:space="preserve">ohlašovat Příkazci a příslušným státním orgánům případné archeologické nálezy a navrhovat opatření s tím související, </w:t>
      </w:r>
    </w:p>
    <w:p>
      <w:pPr>
        <w:pStyle w:val="SML11"/>
        <w:numPr>
          <w:ilvl w:val="2"/>
          <w:numId w:val="16"/>
        </w:numPr>
        <w:ind w:left="2127" w:hanging="709"/>
        <w:rPr>
          <w:rFonts w:ascii="Arial" w:hAnsi="Arial"/>
        </w:rPr>
      </w:pPr>
      <w:r>
        <w:rPr>
          <w:rFonts w:ascii="Arial" w:hAnsi="Arial"/>
        </w:rPr>
        <w:t xml:space="preserve">provádět průběžnou kontrolu a písemné odsouhlasení rozsahu provedených prací, kontrolu soupisů provedených prací a jejich souladu s položkami ocenění, </w:t>
      </w:r>
    </w:p>
    <w:p>
      <w:pPr>
        <w:pStyle w:val="SML11"/>
        <w:numPr>
          <w:ilvl w:val="2"/>
          <w:numId w:val="16"/>
        </w:numPr>
        <w:ind w:left="2127" w:hanging="709"/>
        <w:rPr>
          <w:rFonts w:ascii="Arial" w:hAnsi="Arial"/>
        </w:rPr>
      </w:pPr>
      <w:r>
        <w:rPr>
          <w:rFonts w:ascii="Arial" w:hAnsi="Arial"/>
        </w:rPr>
        <w:lastRenderedPageBreak/>
        <w:t xml:space="preserve">kontrolovat fakturační podklady a faktury, sledovat jejich návaznost na projektovou a rozpočtovou dokumentaci a potvrzovat je způsobem sjednaným ve smlouvě o Stavbě, </w:t>
      </w:r>
    </w:p>
    <w:p>
      <w:pPr>
        <w:pStyle w:val="SML11"/>
        <w:numPr>
          <w:ilvl w:val="2"/>
          <w:numId w:val="16"/>
        </w:numPr>
        <w:ind w:left="2127" w:hanging="709"/>
        <w:rPr>
          <w:rFonts w:ascii="Arial" w:hAnsi="Arial"/>
        </w:rPr>
      </w:pPr>
      <w:r>
        <w:rPr>
          <w:rFonts w:ascii="Arial" w:hAnsi="Arial"/>
        </w:rPr>
        <w:t>provádět kontrolu věcné správnosti faktur a úplnosti oceňovacích podkladů, jejich soulad s platebními podmínkami ve smlouvách a předkládat je Příkazci k úhradě,</w:t>
      </w:r>
    </w:p>
    <w:p>
      <w:pPr>
        <w:pStyle w:val="SML11"/>
        <w:numPr>
          <w:ilvl w:val="2"/>
          <w:numId w:val="16"/>
        </w:numPr>
        <w:ind w:left="2127" w:hanging="709"/>
        <w:rPr>
          <w:rFonts w:ascii="Arial" w:hAnsi="Arial"/>
        </w:rPr>
      </w:pPr>
      <w:r>
        <w:rPr>
          <w:rFonts w:ascii="Arial" w:hAnsi="Arial"/>
        </w:rPr>
        <w:t xml:space="preserve">vyhotovovat podklady pro účtování smluvních pokut v případě porušení smluvních závazků Zhotovitele Stavby, </w:t>
      </w:r>
    </w:p>
    <w:p>
      <w:pPr>
        <w:pStyle w:val="SML11"/>
        <w:numPr>
          <w:ilvl w:val="2"/>
          <w:numId w:val="16"/>
        </w:numPr>
        <w:ind w:left="2127" w:hanging="709"/>
        <w:rPr>
          <w:rFonts w:ascii="Arial" w:hAnsi="Arial"/>
        </w:rPr>
      </w:pPr>
      <w:r>
        <w:rPr>
          <w:rFonts w:ascii="Arial" w:hAnsi="Arial"/>
        </w:rPr>
        <w:t xml:space="preserve">o všech závažných okolnostech, vyskytujících se při realizaci Stavby, informovat Příkazce, </w:t>
      </w:r>
    </w:p>
    <w:p>
      <w:pPr>
        <w:pStyle w:val="SML11"/>
        <w:numPr>
          <w:ilvl w:val="2"/>
          <w:numId w:val="16"/>
        </w:numPr>
        <w:ind w:left="2127" w:hanging="709"/>
        <w:rPr>
          <w:rFonts w:ascii="Arial" w:hAnsi="Arial"/>
        </w:rPr>
      </w:pPr>
      <w:r>
        <w:rPr>
          <w:rFonts w:ascii="Arial" w:hAnsi="Arial"/>
        </w:rPr>
        <w:t xml:space="preserve">v průběhu výstavby připravovat podklady pro vyhotovení závěrečné zprávy dle odst. </w:t>
      </w:r>
      <w:r>
        <w:rPr>
          <w:rFonts w:ascii="Arial" w:hAnsi="Arial"/>
        </w:rPr>
        <w:fldChar w:fldCharType="begin"/>
      </w:r>
      <w:r>
        <w:rPr>
          <w:rFonts w:ascii="Arial" w:hAnsi="Arial"/>
        </w:rPr>
        <w:instrText xml:space="preserve"> REF _Ref141356699 \r \h  \* MERGEFORMAT </w:instrText>
      </w:r>
      <w:r>
        <w:rPr>
          <w:rFonts w:ascii="Arial" w:hAnsi="Arial"/>
        </w:rPr>
      </w:r>
      <w:r>
        <w:rPr>
          <w:rFonts w:ascii="Arial" w:hAnsi="Arial"/>
        </w:rPr>
        <w:fldChar w:fldCharType="separate"/>
      </w:r>
      <w:r>
        <w:rPr>
          <w:rFonts w:ascii="Arial" w:hAnsi="Arial"/>
        </w:rPr>
        <w:t>9.4.9</w:t>
      </w:r>
      <w:r>
        <w:rPr>
          <w:rFonts w:ascii="Arial" w:hAnsi="Arial"/>
        </w:rPr>
        <w:fldChar w:fldCharType="end"/>
      </w:r>
      <w:r>
        <w:rPr>
          <w:rFonts w:ascii="Arial" w:hAnsi="Arial"/>
        </w:rPr>
        <w:t xml:space="preserve"> této Smlouvy, </w:t>
      </w:r>
    </w:p>
    <w:p>
      <w:pPr>
        <w:pStyle w:val="SML11"/>
        <w:numPr>
          <w:ilvl w:val="2"/>
          <w:numId w:val="16"/>
        </w:numPr>
        <w:ind w:left="2127" w:hanging="709"/>
        <w:rPr>
          <w:rFonts w:ascii="Arial" w:hAnsi="Arial"/>
        </w:rPr>
      </w:pPr>
      <w:r>
        <w:rPr>
          <w:rFonts w:ascii="Arial" w:hAnsi="Arial"/>
        </w:rPr>
        <w:t>ohlašovat stavebnímu úřadu fáze výstavby za účelem provedení kontrolních prohlídek Stavby, účastnit se kontrolní prohlídky Stavby prováděné stavebním úřadem a umožnit ve spolupráci se Zhotovitelem Stavby její konání; zjednat nápravu, pokud při kontrolní prohlídce Stavby je tato uložena stavebním úřadem,</w:t>
      </w:r>
    </w:p>
    <w:p>
      <w:pPr>
        <w:pStyle w:val="SML11"/>
        <w:numPr>
          <w:ilvl w:val="2"/>
          <w:numId w:val="16"/>
        </w:numPr>
        <w:ind w:left="2127" w:hanging="709"/>
        <w:rPr>
          <w:rFonts w:ascii="Arial" w:hAnsi="Arial"/>
        </w:rPr>
      </w:pPr>
      <w:r>
        <w:rPr>
          <w:rFonts w:ascii="Arial" w:hAnsi="Arial"/>
        </w:rPr>
        <w:t xml:space="preserve">kontrolovat plnění povinností souvisejících se sociálně a environmentálně odpovědným zadáváním (včetně inovací), pokud byly ve smlouvě o Stavbě ujednány, </w:t>
      </w:r>
    </w:p>
    <w:p>
      <w:pPr>
        <w:pStyle w:val="SML11"/>
        <w:numPr>
          <w:ilvl w:val="2"/>
          <w:numId w:val="16"/>
        </w:numPr>
        <w:ind w:left="2127" w:hanging="709"/>
        <w:rPr>
          <w:rFonts w:ascii="Arial" w:hAnsi="Arial"/>
        </w:rPr>
      </w:pPr>
      <w:r>
        <w:rPr>
          <w:rFonts w:ascii="Arial" w:hAnsi="Arial"/>
        </w:rPr>
        <w:t>oznámit stavebnímu úřadu předem zahájení zkušebního provozu.</w:t>
      </w:r>
    </w:p>
    <w:p>
      <w:pPr>
        <w:pStyle w:val="SML11"/>
        <w:numPr>
          <w:ilvl w:val="1"/>
          <w:numId w:val="16"/>
        </w:numPr>
        <w:rPr>
          <w:rFonts w:ascii="Arial" w:hAnsi="Arial"/>
        </w:rPr>
      </w:pPr>
      <w:r>
        <w:rPr>
          <w:rFonts w:ascii="Arial" w:hAnsi="Arial"/>
        </w:rPr>
        <w:t xml:space="preserve">Příkazník se zavazuje v rámci výkonu TDS provádět </w:t>
      </w:r>
      <w:r>
        <w:rPr>
          <w:rFonts w:ascii="Arial" w:hAnsi="Arial"/>
          <w:b/>
          <w:bCs w:val="0"/>
        </w:rPr>
        <w:t>před předáním a převzetím</w:t>
      </w:r>
      <w:r>
        <w:rPr>
          <w:rFonts w:ascii="Arial" w:hAnsi="Arial"/>
        </w:rPr>
        <w:t xml:space="preserve"> Stavby zejména následující činnosti:</w:t>
      </w:r>
    </w:p>
    <w:p>
      <w:pPr>
        <w:pStyle w:val="SML11"/>
        <w:numPr>
          <w:ilvl w:val="2"/>
          <w:numId w:val="16"/>
        </w:numPr>
        <w:ind w:left="2127" w:hanging="709"/>
        <w:rPr>
          <w:rFonts w:ascii="Arial" w:hAnsi="Arial"/>
        </w:rPr>
      </w:pPr>
      <w:r>
        <w:rPr>
          <w:rFonts w:ascii="Arial" w:hAnsi="Arial"/>
        </w:rPr>
        <w:t xml:space="preserve">na základě výzvy Zhotovitele se zúčastnit předběžné prohlídky předmětu Stavby, </w:t>
      </w:r>
    </w:p>
    <w:p>
      <w:pPr>
        <w:pStyle w:val="SML11"/>
        <w:numPr>
          <w:ilvl w:val="2"/>
          <w:numId w:val="16"/>
        </w:numPr>
        <w:ind w:left="2127" w:hanging="709"/>
        <w:rPr>
          <w:rFonts w:ascii="Arial" w:hAnsi="Arial"/>
        </w:rPr>
      </w:pPr>
      <w:r>
        <w:rPr>
          <w:rFonts w:ascii="Arial" w:hAnsi="Arial"/>
        </w:rPr>
        <w:t xml:space="preserve">zajistit připravenost Stavby pro kolaudaci a předání Stavby Příkazci, </w:t>
      </w:r>
    </w:p>
    <w:p>
      <w:pPr>
        <w:pStyle w:val="SML11"/>
        <w:numPr>
          <w:ilvl w:val="2"/>
          <w:numId w:val="16"/>
        </w:numPr>
        <w:ind w:left="2127" w:hanging="709"/>
        <w:rPr>
          <w:rFonts w:ascii="Arial" w:hAnsi="Arial"/>
        </w:rPr>
      </w:pPr>
      <w:r>
        <w:rPr>
          <w:rFonts w:ascii="Arial" w:hAnsi="Arial"/>
        </w:rPr>
        <w:t xml:space="preserve">provést podle zápisů ve stavebním deníku výpis odchylek od ověřené projektové dokumentace a zajistit doplnění ověřené projektové dokumentace podle skutečného provedení Stavby, </w:t>
      </w:r>
    </w:p>
    <w:p>
      <w:pPr>
        <w:pStyle w:val="SML11"/>
        <w:numPr>
          <w:ilvl w:val="2"/>
          <w:numId w:val="16"/>
        </w:numPr>
        <w:ind w:left="2127" w:hanging="709"/>
        <w:rPr>
          <w:rFonts w:ascii="Arial" w:hAnsi="Arial"/>
        </w:rPr>
      </w:pPr>
      <w:r>
        <w:rPr>
          <w:rFonts w:ascii="Arial" w:hAnsi="Arial"/>
        </w:rPr>
        <w:t xml:space="preserve">sestavit se Zhotovitelem časový plán předání a převzetí dokončené Stavby a předložit ho Příkazci, </w:t>
      </w:r>
    </w:p>
    <w:p>
      <w:pPr>
        <w:pStyle w:val="SML11"/>
        <w:numPr>
          <w:ilvl w:val="2"/>
          <w:numId w:val="16"/>
        </w:numPr>
        <w:ind w:left="2127" w:hanging="709"/>
        <w:rPr>
          <w:rFonts w:ascii="Arial" w:hAnsi="Arial"/>
        </w:rPr>
      </w:pPr>
      <w:r>
        <w:rPr>
          <w:rFonts w:ascii="Arial" w:hAnsi="Arial"/>
        </w:rPr>
        <w:t xml:space="preserve">zabezpečit účast osob určených Příkazcem na přejímacím řízení Stavby, </w:t>
      </w:r>
    </w:p>
    <w:p>
      <w:pPr>
        <w:pStyle w:val="SML11"/>
        <w:numPr>
          <w:ilvl w:val="2"/>
          <w:numId w:val="16"/>
        </w:numPr>
        <w:ind w:left="2127" w:hanging="709"/>
        <w:rPr>
          <w:rFonts w:ascii="Arial" w:hAnsi="Arial"/>
        </w:rPr>
      </w:pPr>
      <w:r>
        <w:rPr>
          <w:rFonts w:ascii="Arial" w:hAnsi="Arial"/>
        </w:rPr>
        <w:t xml:space="preserve">vyžaduje-li to povaha Stavby a prací zabezpečit součinnost a spolupráci s odpovědnými geodety (zákon č. 200/1994 Sb., o zeměměřičství, ve znění pozdějších předpisů). </w:t>
      </w:r>
    </w:p>
    <w:p>
      <w:pPr>
        <w:pStyle w:val="SML11"/>
        <w:numPr>
          <w:ilvl w:val="1"/>
          <w:numId w:val="16"/>
        </w:numPr>
        <w:rPr>
          <w:rFonts w:ascii="Arial" w:hAnsi="Arial"/>
        </w:rPr>
      </w:pPr>
      <w:r>
        <w:rPr>
          <w:rFonts w:ascii="Arial" w:hAnsi="Arial"/>
        </w:rPr>
        <w:t xml:space="preserve">Příkazník se zavazuje v rámci výkonu TDS provádět </w:t>
      </w:r>
      <w:r>
        <w:rPr>
          <w:rFonts w:ascii="Arial" w:hAnsi="Arial"/>
          <w:b/>
          <w:bCs w:val="0"/>
        </w:rPr>
        <w:t>při předání a převzetí</w:t>
      </w:r>
      <w:r>
        <w:rPr>
          <w:rFonts w:ascii="Arial" w:hAnsi="Arial"/>
        </w:rPr>
        <w:t xml:space="preserve"> Stavby zejména následující činnosti:</w:t>
      </w:r>
    </w:p>
    <w:p>
      <w:pPr>
        <w:pStyle w:val="SML11"/>
        <w:numPr>
          <w:ilvl w:val="2"/>
          <w:numId w:val="16"/>
        </w:numPr>
        <w:ind w:left="2127" w:hanging="709"/>
        <w:rPr>
          <w:rFonts w:ascii="Arial" w:hAnsi="Arial"/>
        </w:rPr>
      </w:pPr>
      <w:r>
        <w:rPr>
          <w:rFonts w:ascii="Arial" w:hAnsi="Arial"/>
        </w:rPr>
        <w:t xml:space="preserve">kontrolovat, přebírat od Zhotovitele a předložit Příkazci doklady připravené k přejímce Stavby, dokumentaci skutečného provedení Stavby, případně další potřebné doklady pro předání a převzetí, které připraví sám, </w:t>
      </w:r>
    </w:p>
    <w:p>
      <w:pPr>
        <w:pStyle w:val="SML11"/>
        <w:numPr>
          <w:ilvl w:val="2"/>
          <w:numId w:val="16"/>
        </w:numPr>
        <w:ind w:left="2127" w:hanging="709"/>
        <w:rPr>
          <w:rFonts w:ascii="Arial" w:hAnsi="Arial"/>
        </w:rPr>
      </w:pPr>
      <w:r>
        <w:rPr>
          <w:rFonts w:ascii="Arial" w:hAnsi="Arial"/>
        </w:rPr>
        <w:t>účastnit se přejímacího řízení a zjišťovat soupis vad a nedodělků zjištěných při předání a stanovit termíny pro jejich odstranění,</w:t>
      </w:r>
    </w:p>
    <w:p>
      <w:pPr>
        <w:pStyle w:val="SML11"/>
        <w:numPr>
          <w:ilvl w:val="2"/>
          <w:numId w:val="16"/>
        </w:numPr>
        <w:ind w:left="2127" w:hanging="709"/>
        <w:rPr>
          <w:rFonts w:ascii="Arial" w:hAnsi="Arial"/>
        </w:rPr>
      </w:pPr>
      <w:r>
        <w:rPr>
          <w:rFonts w:ascii="Arial" w:hAnsi="Arial"/>
        </w:rPr>
        <w:t xml:space="preserve">z předání a převzetí Stavby pořídit protokol, pokud dle smlouvy o Stavbě není tento povinen zpracovat Zhotovitel, </w:t>
      </w:r>
    </w:p>
    <w:p>
      <w:pPr>
        <w:pStyle w:val="SML11"/>
        <w:numPr>
          <w:ilvl w:val="2"/>
          <w:numId w:val="16"/>
        </w:numPr>
        <w:ind w:left="2127" w:hanging="709"/>
        <w:rPr>
          <w:rFonts w:ascii="Arial" w:hAnsi="Arial"/>
        </w:rPr>
      </w:pPr>
      <w:r>
        <w:rPr>
          <w:rFonts w:ascii="Arial" w:hAnsi="Arial"/>
        </w:rPr>
        <w:lastRenderedPageBreak/>
        <w:t xml:space="preserve">v součinnosti s Příkazcem zajišťovat Zhotoviteli přístup do těch částí objektu, kde mají být odstraněny případné vady a nedodělky, </w:t>
      </w:r>
    </w:p>
    <w:p>
      <w:pPr>
        <w:pStyle w:val="SML11"/>
        <w:numPr>
          <w:ilvl w:val="2"/>
          <w:numId w:val="16"/>
        </w:numPr>
        <w:ind w:left="2127" w:hanging="709"/>
        <w:rPr>
          <w:rFonts w:ascii="Arial" w:hAnsi="Arial"/>
        </w:rPr>
      </w:pPr>
      <w:r>
        <w:rPr>
          <w:rFonts w:ascii="Arial" w:hAnsi="Arial"/>
        </w:rPr>
        <w:t xml:space="preserve">kontrolovat a zápisem potvrzovat odstranění vad a nedodělků, v případě nedodržení dohodnutého termínu jejich odstranění vypracovat pro Příkazce podklady pro vyúčtování smluvní pokuty, </w:t>
      </w:r>
    </w:p>
    <w:p>
      <w:pPr>
        <w:pStyle w:val="SML11"/>
        <w:numPr>
          <w:ilvl w:val="2"/>
          <w:numId w:val="16"/>
        </w:numPr>
        <w:ind w:left="2127" w:hanging="709"/>
        <w:rPr>
          <w:rFonts w:ascii="Arial" w:hAnsi="Arial"/>
        </w:rPr>
      </w:pPr>
      <w:r>
        <w:rPr>
          <w:rFonts w:ascii="Arial" w:hAnsi="Arial"/>
        </w:rPr>
        <w:t xml:space="preserve">účastnit se na straně Příkazce závěrečné kontrolní prohlídky Stavby, </w:t>
      </w:r>
    </w:p>
    <w:p>
      <w:pPr>
        <w:pStyle w:val="SML11"/>
        <w:numPr>
          <w:ilvl w:val="2"/>
          <w:numId w:val="16"/>
        </w:numPr>
        <w:ind w:left="2127" w:hanging="709"/>
        <w:rPr>
          <w:rFonts w:ascii="Arial" w:hAnsi="Arial"/>
        </w:rPr>
      </w:pPr>
      <w:r>
        <w:rPr>
          <w:rFonts w:ascii="Arial" w:hAnsi="Arial"/>
        </w:rPr>
        <w:t xml:space="preserve">kontrolovat vyklizení staveniště Zhotovitelem Stavby, </w:t>
      </w:r>
    </w:p>
    <w:p>
      <w:pPr>
        <w:pStyle w:val="SML11"/>
        <w:numPr>
          <w:ilvl w:val="2"/>
          <w:numId w:val="16"/>
        </w:numPr>
        <w:ind w:left="2127" w:hanging="709"/>
        <w:rPr>
          <w:rFonts w:ascii="Arial" w:hAnsi="Arial"/>
        </w:rPr>
      </w:pPr>
      <w:r>
        <w:rPr>
          <w:rFonts w:ascii="Arial" w:hAnsi="Arial"/>
        </w:rPr>
        <w:t xml:space="preserve">obstarávat podklady, podat žádost o vydání kolaudačního souhlasu a zařídit vydání kolaudačního souhlasu na užívání Stavby, pokud podle jiných smluv není toto povinen vykonat Zhotovitel, </w:t>
      </w:r>
    </w:p>
    <w:p>
      <w:pPr>
        <w:pStyle w:val="SML11"/>
        <w:numPr>
          <w:ilvl w:val="2"/>
          <w:numId w:val="16"/>
        </w:numPr>
        <w:ind w:left="2127" w:hanging="709"/>
        <w:rPr>
          <w:rFonts w:ascii="Arial" w:hAnsi="Arial"/>
        </w:rPr>
      </w:pPr>
      <w:bookmarkStart w:id="7" w:name="_Ref140047705"/>
      <w:r>
        <w:rPr>
          <w:rFonts w:ascii="Arial" w:hAnsi="Arial"/>
        </w:rPr>
        <w:t>vypracovat pro Příkazce tzv. závěrečnou zprávu, ve které uvede zejména jak provedená Stavba odpovídá smlouvě o Stavbě, projektové dokumentaci, stavebnímu povolení, závazným rozhodnutím veřejnoprávních orgánů, právním předpisům a technickým normám, vyhodnotí zkoušky, které byly provedeny a sepíše případné vady a nedodělky; závěrečná zpráva musí dále obsahovat veškeré zápisy z KD, změnové listy a vyhodnocení průběhu výstavby vzhledem k harmonogramu a platebnímu kalendáři Stavby. Závěrečná zpráva bude zpracována nejpozději do 2 měsíců od předání a převzetí dokončené Stavby,</w:t>
      </w:r>
      <w:bookmarkEnd w:id="7"/>
      <w:r>
        <w:rPr>
          <w:rFonts w:ascii="Arial" w:hAnsi="Arial"/>
        </w:rPr>
        <w:t xml:space="preserve"> </w:t>
      </w:r>
      <w:bookmarkStart w:id="8" w:name="_Ref141356699"/>
    </w:p>
    <w:bookmarkEnd w:id="8"/>
    <w:p>
      <w:pPr>
        <w:pStyle w:val="SML11"/>
        <w:numPr>
          <w:ilvl w:val="2"/>
          <w:numId w:val="16"/>
        </w:numPr>
        <w:ind w:left="2127" w:hanging="709"/>
        <w:rPr>
          <w:rFonts w:ascii="Arial" w:hAnsi="Arial"/>
        </w:rPr>
      </w:pPr>
      <w:r>
        <w:rPr>
          <w:rFonts w:ascii="Arial" w:hAnsi="Arial"/>
        </w:rPr>
        <w:t xml:space="preserve">připravit ve spolupráci se Zhotovitelem Stavby návrh dodatku smlouvy o Stavbě, ukáže-li se to jako potřebné. </w:t>
      </w:r>
    </w:p>
    <w:p>
      <w:pPr>
        <w:pStyle w:val="SML11"/>
        <w:numPr>
          <w:ilvl w:val="0"/>
          <w:numId w:val="16"/>
        </w:numPr>
        <w:rPr>
          <w:rFonts w:ascii="Arial" w:hAnsi="Arial"/>
        </w:rPr>
      </w:pPr>
      <w:bookmarkStart w:id="9" w:name="_Hlk151969511"/>
      <w:r>
        <w:rPr>
          <w:rFonts w:ascii="Arial" w:hAnsi="Arial"/>
          <w:b/>
          <w:bCs w:val="0"/>
          <w:u w:val="single"/>
        </w:rPr>
        <w:t>Příkazník se zavazuje v rámci činnosti Koordinátora BOZP provádět</w:t>
      </w:r>
      <w:r>
        <w:rPr>
          <w:rFonts w:ascii="Arial" w:hAnsi="Arial"/>
        </w:rPr>
        <w:t xml:space="preserve"> (dále také jen „</w:t>
      </w:r>
      <w:r>
        <w:rPr>
          <w:rFonts w:ascii="Arial" w:hAnsi="Arial"/>
          <w:b/>
          <w:bCs w:val="0"/>
          <w:i/>
          <w:iCs/>
        </w:rPr>
        <w:t>Část plnění Koordinátor BOZP</w:t>
      </w:r>
      <w:r>
        <w:rPr>
          <w:rFonts w:ascii="Arial" w:hAnsi="Arial"/>
        </w:rPr>
        <w:t>“):</w:t>
      </w:r>
    </w:p>
    <w:p>
      <w:pPr>
        <w:pStyle w:val="SML11"/>
        <w:numPr>
          <w:ilvl w:val="1"/>
          <w:numId w:val="16"/>
        </w:numPr>
        <w:rPr>
          <w:rFonts w:ascii="Arial" w:hAnsi="Arial"/>
        </w:rPr>
      </w:pPr>
      <w:r>
        <w:rPr>
          <w:rFonts w:ascii="Arial" w:hAnsi="Arial"/>
        </w:rPr>
        <w:t>Příkazník se zavazuje v rámci činnosti Koordinátora BOZP provádět zejména následující činnosti:</w:t>
      </w:r>
    </w:p>
    <w:p>
      <w:pPr>
        <w:pStyle w:val="SML11"/>
        <w:numPr>
          <w:ilvl w:val="2"/>
          <w:numId w:val="16"/>
        </w:numPr>
        <w:ind w:left="2127" w:hanging="709"/>
        <w:rPr>
          <w:rFonts w:ascii="Arial" w:hAnsi="Arial"/>
        </w:rPr>
      </w:pPr>
      <w:r>
        <w:rPr>
          <w:rFonts w:ascii="Arial" w:hAnsi="Arial"/>
        </w:rPr>
        <w:t>zajištění ohlášení zahájení Stavby (stavebních prací) na staveništi ve stanoveném termínu příslušnému oblastnímu inspektorátu práce) dle Přílohy č. 4 k nařízení vlády č. 591/2006 Sb., Náležitosti oznámení o zahájení prací.</w:t>
      </w:r>
    </w:p>
    <w:p>
      <w:pPr>
        <w:pStyle w:val="SML11"/>
        <w:numPr>
          <w:ilvl w:val="2"/>
          <w:numId w:val="16"/>
        </w:numPr>
        <w:ind w:left="2127" w:hanging="709"/>
        <w:rPr>
          <w:rFonts w:ascii="Arial" w:hAnsi="Arial"/>
        </w:rPr>
      </w:pPr>
      <w:r>
        <w:rPr>
          <w:rFonts w:ascii="Arial" w:hAnsi="Arial"/>
        </w:rPr>
        <w:t xml:space="preserve"> zpracování, aktualizace a vedení plánu BOZP, včetně provádění kontrol jeho dodržování.</w:t>
      </w:r>
    </w:p>
    <w:p>
      <w:pPr>
        <w:pStyle w:val="SML11"/>
        <w:numPr>
          <w:ilvl w:val="2"/>
          <w:numId w:val="16"/>
        </w:numPr>
        <w:ind w:left="2127" w:hanging="709"/>
        <w:rPr>
          <w:rFonts w:ascii="Arial" w:hAnsi="Arial"/>
        </w:rPr>
      </w:pPr>
      <w:r>
        <w:rPr>
          <w:rFonts w:ascii="Arial" w:hAnsi="Arial"/>
        </w:rPr>
        <w:t>doporučovat na základě vlastích poznatků z kontrolní činnosti či na žádost Zhotovitelů technická řešení k zajištění BOZP a požární ochrany směřující k zajištění bezpečného a neohrožujícího pracoviště.</w:t>
      </w:r>
    </w:p>
    <w:p>
      <w:pPr>
        <w:pStyle w:val="SML11"/>
        <w:numPr>
          <w:ilvl w:val="2"/>
          <w:numId w:val="16"/>
        </w:numPr>
        <w:ind w:left="2127" w:hanging="709"/>
        <w:rPr>
          <w:rFonts w:ascii="Arial" w:hAnsi="Arial"/>
        </w:rPr>
      </w:pPr>
      <w:r>
        <w:rPr>
          <w:rFonts w:ascii="Arial" w:hAnsi="Arial"/>
        </w:rPr>
        <w:t>projednání a stanovení změn v podmínkách výstavby z hlediska BOZP se zapracováním do plánu BOZP.</w:t>
      </w:r>
    </w:p>
    <w:p>
      <w:pPr>
        <w:pStyle w:val="SML11"/>
        <w:numPr>
          <w:ilvl w:val="2"/>
          <w:numId w:val="16"/>
        </w:numPr>
        <w:ind w:left="2127" w:hanging="709"/>
        <w:rPr>
          <w:rFonts w:ascii="Arial" w:hAnsi="Arial"/>
        </w:rPr>
      </w:pPr>
      <w:r>
        <w:rPr>
          <w:rFonts w:ascii="Arial" w:hAnsi="Arial"/>
        </w:rPr>
        <w:t>vypracování přehledu pracovních rizik, která se vhledem k vykonávaným pracovním činnostem na staveništi mohou vyskytnout a mohou představovat pro osoby zvýšené ohrožení života nebo poškození zdraví.</w:t>
      </w:r>
    </w:p>
    <w:p>
      <w:pPr>
        <w:pStyle w:val="SML11"/>
        <w:numPr>
          <w:ilvl w:val="2"/>
          <w:numId w:val="16"/>
        </w:numPr>
        <w:ind w:left="2127" w:hanging="709"/>
        <w:rPr>
          <w:rFonts w:ascii="Arial" w:hAnsi="Arial"/>
        </w:rPr>
      </w:pPr>
      <w:r>
        <w:rPr>
          <w:rFonts w:ascii="Arial" w:hAnsi="Arial"/>
        </w:rPr>
        <w:t>plánování bezpečného provádění prací, které se s ohledem na věcné a časové vazby při realizaci Stavby uskuteční nebo budou na sebe bezprostředně navazovat.</w:t>
      </w:r>
    </w:p>
    <w:p>
      <w:pPr>
        <w:pStyle w:val="SML11"/>
        <w:numPr>
          <w:ilvl w:val="2"/>
          <w:numId w:val="16"/>
        </w:numPr>
        <w:ind w:left="2127" w:hanging="709"/>
        <w:rPr>
          <w:rFonts w:ascii="Arial" w:hAnsi="Arial"/>
        </w:rPr>
      </w:pPr>
      <w:r>
        <w:rPr>
          <w:rFonts w:ascii="Arial" w:hAnsi="Arial"/>
        </w:rPr>
        <w:t>spolupráce se Zhotovitelem při stanovení času k bezpečnému provádění prací.</w:t>
      </w:r>
    </w:p>
    <w:p>
      <w:pPr>
        <w:pStyle w:val="SML11"/>
        <w:numPr>
          <w:ilvl w:val="2"/>
          <w:numId w:val="16"/>
        </w:numPr>
        <w:ind w:left="2127" w:hanging="709"/>
        <w:rPr>
          <w:rFonts w:ascii="Arial" w:hAnsi="Arial"/>
        </w:rPr>
      </w:pPr>
      <w:r>
        <w:rPr>
          <w:rFonts w:ascii="Arial" w:hAnsi="Arial"/>
        </w:rPr>
        <w:t>Informování projektantů Stavby a Zhotovitele o všech známých bezpečnostních a zdravotních rizicích, která vyplývají z charakteru stavby a pracovních činností se stavbou souvisejících.</w:t>
      </w:r>
    </w:p>
    <w:p>
      <w:pPr>
        <w:pStyle w:val="SML11"/>
        <w:numPr>
          <w:ilvl w:val="2"/>
          <w:numId w:val="16"/>
        </w:numPr>
        <w:ind w:left="2127" w:hanging="709"/>
        <w:rPr>
          <w:rFonts w:ascii="Arial" w:hAnsi="Arial"/>
        </w:rPr>
      </w:pPr>
      <w:r>
        <w:rPr>
          <w:rFonts w:ascii="Arial" w:hAnsi="Arial"/>
        </w:rPr>
        <w:lastRenderedPageBreak/>
        <w:t>spolupráce se zástupci zaměstnanců Zhotovitele pro oblast bezpečnosti a ochrany zdraví při práci, popřípadě s fyzickou osobou provádějící TDS.</w:t>
      </w:r>
    </w:p>
    <w:p>
      <w:pPr>
        <w:pStyle w:val="SML11"/>
        <w:numPr>
          <w:ilvl w:val="2"/>
          <w:numId w:val="16"/>
        </w:numPr>
        <w:ind w:left="2127" w:hanging="851"/>
        <w:rPr>
          <w:rFonts w:ascii="Arial" w:hAnsi="Arial"/>
        </w:rPr>
      </w:pPr>
      <w:r>
        <w:rPr>
          <w:rFonts w:ascii="Arial" w:hAnsi="Arial"/>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zúčastněných na stavbě, zabraňovat pracovním úrazům a předcházet vzniku nemocí z povolání.</w:t>
      </w:r>
    </w:p>
    <w:p>
      <w:pPr>
        <w:pStyle w:val="SML11"/>
        <w:numPr>
          <w:ilvl w:val="2"/>
          <w:numId w:val="16"/>
        </w:numPr>
        <w:ind w:left="2127" w:hanging="851"/>
        <w:rPr>
          <w:rFonts w:ascii="Arial" w:hAnsi="Arial"/>
        </w:rPr>
      </w:pPr>
      <w:r>
        <w:rPr>
          <w:rFonts w:ascii="Arial" w:hAnsi="Arial"/>
        </w:rPr>
        <w:t>předkládání podnětů a na vyžádání zhotovitele doporučení technických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pPr>
        <w:pStyle w:val="SML11"/>
        <w:numPr>
          <w:ilvl w:val="2"/>
          <w:numId w:val="16"/>
        </w:numPr>
        <w:ind w:left="2127" w:hanging="851"/>
        <w:rPr>
          <w:rFonts w:ascii="Arial" w:hAnsi="Arial"/>
        </w:rPr>
      </w:pPr>
      <w:r>
        <w:rPr>
          <w:rFonts w:ascii="Arial" w:hAnsi="Arial"/>
        </w:rPr>
        <w:t>kontrola stavu zabezpečení obvodu staveniště (oplocení staveniště) s cílem zamezit vstup nepovolaným fyzickým osobám.</w:t>
      </w:r>
    </w:p>
    <w:p>
      <w:pPr>
        <w:pStyle w:val="SML11"/>
        <w:numPr>
          <w:ilvl w:val="2"/>
          <w:numId w:val="16"/>
        </w:numPr>
        <w:tabs>
          <w:tab w:val="num" w:pos="360"/>
          <w:tab w:val="num" w:pos="709"/>
        </w:tabs>
        <w:ind w:left="2127" w:hanging="851"/>
        <w:rPr>
          <w:rFonts w:ascii="Arial" w:hAnsi="Arial"/>
        </w:rPr>
      </w:pPr>
      <w:r>
        <w:rPr>
          <w:rFonts w:ascii="Arial" w:hAnsi="Arial"/>
        </w:rPr>
        <w:t>kontrola staveniště samotného, značení, komunikace, stav používané techniky, strojů a zařízení, aj. dle plánu BOZP. Kontrola řádného uskladnění materiálu, strojů a konstrukcí zajišťovaných Zhotovitelem. Sledování provádění prací na staveništi se zaměřením na zjišťování, zda jsou dodržovány požadavky na bezpečnost a ochranu zdraví při práci, upozorňuje na zjištěné nedostatky a požaduje bez zbytečného odkladu zjednání nápravy.</w:t>
      </w:r>
    </w:p>
    <w:p>
      <w:pPr>
        <w:pStyle w:val="SML11"/>
        <w:numPr>
          <w:ilvl w:val="2"/>
          <w:numId w:val="16"/>
        </w:numPr>
        <w:tabs>
          <w:tab w:val="num" w:pos="360"/>
          <w:tab w:val="num" w:pos="709"/>
        </w:tabs>
        <w:ind w:left="2127" w:hanging="851"/>
        <w:rPr>
          <w:rFonts w:ascii="Arial" w:hAnsi="Arial"/>
        </w:rPr>
      </w:pPr>
      <w:r>
        <w:rPr>
          <w:rFonts w:ascii="Arial" w:hAnsi="Arial"/>
        </w:rPr>
        <w:t xml:space="preserve">kontrolovat, zda Zhotovitel dodržuje na staveništi bezpečnostní a požární předpisy a předpisy ochrany životního prostředí a zda udržuje na staveništi čistotu a pořádek, </w:t>
      </w:r>
    </w:p>
    <w:p>
      <w:pPr>
        <w:pStyle w:val="SML11"/>
        <w:numPr>
          <w:ilvl w:val="2"/>
          <w:numId w:val="16"/>
        </w:numPr>
        <w:ind w:left="2127" w:hanging="851"/>
        <w:rPr>
          <w:rFonts w:ascii="Arial" w:hAnsi="Arial"/>
        </w:rPr>
      </w:pPr>
      <w:r>
        <w:rPr>
          <w:rFonts w:ascii="Arial" w:hAnsi="Arial"/>
        </w:rPr>
        <w:t>informování všech dotčených organizací o bezpečnostních, zdravotních a požárních rizicích, která vznikají na staveništi během průběhu jednotlivých prací.</w:t>
      </w:r>
    </w:p>
    <w:p>
      <w:pPr>
        <w:pStyle w:val="SML11"/>
        <w:numPr>
          <w:ilvl w:val="2"/>
          <w:numId w:val="16"/>
        </w:numPr>
        <w:ind w:left="2127" w:hanging="851"/>
        <w:rPr>
          <w:rFonts w:ascii="Arial" w:hAnsi="Arial"/>
        </w:rPr>
      </w:pPr>
      <w:r>
        <w:rPr>
          <w:rFonts w:ascii="Arial" w:hAnsi="Arial"/>
        </w:rPr>
        <w:t>Provádění zápisů o zjištěných nedostatcích v bezpečnosti a ochraně zdraví při práci na staveništi, na něž prokazatelně upozornil zhotovitele, a dále zapisuje údaje o tom, zda a jakým způsobem byly tyto nedostatky odstraněny.</w:t>
      </w:r>
    </w:p>
    <w:p>
      <w:pPr>
        <w:pStyle w:val="SML11"/>
        <w:numPr>
          <w:ilvl w:val="2"/>
          <w:numId w:val="16"/>
        </w:numPr>
        <w:ind w:left="2127" w:hanging="851"/>
        <w:rPr>
          <w:rFonts w:ascii="Arial" w:hAnsi="Arial"/>
        </w:rPr>
      </w:pPr>
      <w:r>
        <w:rPr>
          <w:rFonts w:ascii="Arial" w:hAnsi="Arial"/>
        </w:rPr>
        <w:t>účast při inspekci Stavby oblastním inspektorátem práce, a prohlídce Stavby stavebním úřadem.</w:t>
      </w:r>
    </w:p>
    <w:p>
      <w:pPr>
        <w:pStyle w:val="SML11"/>
        <w:numPr>
          <w:ilvl w:val="2"/>
          <w:numId w:val="16"/>
        </w:numPr>
        <w:ind w:left="2127" w:hanging="851"/>
        <w:rPr>
          <w:rFonts w:ascii="Arial" w:hAnsi="Arial"/>
        </w:rPr>
      </w:pPr>
      <w:r>
        <w:rPr>
          <w:rFonts w:ascii="Arial" w:hAnsi="Arial"/>
        </w:rPr>
        <w:t>účast při šetření pracovních úrazů a závažných kritických událostí s ohrožením BOZP fyzických osob.</w:t>
      </w:r>
    </w:p>
    <w:p>
      <w:pPr>
        <w:pStyle w:val="SML11"/>
        <w:numPr>
          <w:ilvl w:val="2"/>
          <w:numId w:val="16"/>
        </w:numPr>
        <w:ind w:left="2127" w:hanging="851"/>
        <w:rPr>
          <w:rFonts w:ascii="Arial" w:hAnsi="Arial"/>
        </w:rPr>
      </w:pPr>
      <w:r>
        <w:rPr>
          <w:rFonts w:ascii="Arial" w:hAnsi="Arial"/>
        </w:rPr>
        <w:t>zpracování výsledků kontrol a měsíční předkládání výsledků Příkazci včetně navržených opatření.</w:t>
      </w:r>
    </w:p>
    <w:p>
      <w:pPr>
        <w:pStyle w:val="SML11"/>
        <w:numPr>
          <w:ilvl w:val="2"/>
          <w:numId w:val="16"/>
        </w:numPr>
        <w:ind w:left="2127" w:hanging="851"/>
        <w:rPr>
          <w:rFonts w:ascii="Arial" w:hAnsi="Arial"/>
        </w:rPr>
      </w:pPr>
      <w:r>
        <w:rPr>
          <w:rFonts w:ascii="Arial" w:hAnsi="Arial"/>
        </w:rPr>
        <w:t>organizace kontrolních dnů zaměřených na kontrolu dodržování plánu BOZP a zajištění účasti všech Zhotovitelů Stavby.</w:t>
      </w:r>
    </w:p>
    <w:p>
      <w:pPr>
        <w:pStyle w:val="SML11"/>
        <w:numPr>
          <w:ilvl w:val="2"/>
          <w:numId w:val="16"/>
        </w:numPr>
        <w:ind w:left="2127" w:hanging="851"/>
        <w:rPr>
          <w:rFonts w:ascii="Arial" w:hAnsi="Arial"/>
        </w:rPr>
      </w:pPr>
      <w:r>
        <w:rPr>
          <w:rFonts w:ascii="Arial" w:hAnsi="Arial"/>
        </w:rPr>
        <w:t>provedení vyhodnocení stavby po stránce BOZP po ukončení Stavby.</w:t>
      </w:r>
    </w:p>
    <w:p>
      <w:pPr>
        <w:pStyle w:val="SML11"/>
        <w:numPr>
          <w:ilvl w:val="2"/>
          <w:numId w:val="16"/>
        </w:numPr>
        <w:ind w:left="2127" w:hanging="851"/>
        <w:rPr>
          <w:rFonts w:ascii="Arial" w:hAnsi="Arial"/>
        </w:rPr>
      </w:pPr>
      <w:r>
        <w:rPr>
          <w:rFonts w:ascii="Arial" w:hAnsi="Arial"/>
        </w:rPr>
        <w:t>zajišťování veškerých dalších činností směřujících k zajištění BOZP v rámci platné legislativy, zajištění zájmů a ochrany zadavatele stavby v oblasti BOZP.</w:t>
      </w:r>
    </w:p>
    <w:p>
      <w:pPr>
        <w:pStyle w:val="SML11"/>
        <w:numPr>
          <w:ilvl w:val="0"/>
          <w:numId w:val="16"/>
        </w:numPr>
        <w:rPr>
          <w:rFonts w:ascii="Arial" w:hAnsi="Arial"/>
        </w:rPr>
      </w:pPr>
      <w:r>
        <w:rPr>
          <w:rFonts w:ascii="Arial" w:hAnsi="Arial"/>
        </w:rPr>
        <w:t xml:space="preserve">Příkazník je oprávněn jménem Příkazce: </w:t>
      </w:r>
    </w:p>
    <w:p>
      <w:pPr>
        <w:pStyle w:val="SML11"/>
        <w:numPr>
          <w:ilvl w:val="1"/>
          <w:numId w:val="16"/>
        </w:numPr>
        <w:rPr>
          <w:rFonts w:ascii="Arial" w:hAnsi="Arial"/>
        </w:rPr>
      </w:pPr>
      <w:r>
        <w:rPr>
          <w:rFonts w:ascii="Arial" w:hAnsi="Arial"/>
        </w:rPr>
        <w:lastRenderedPageBreak/>
        <w:t xml:space="preserve">činit zápisy do stavebního deníku o zjištěných skutečnostech, vyzývat Zhotovitele ke zjednání nápravy a splnění výzvy kontrolovat, </w:t>
      </w:r>
    </w:p>
    <w:p>
      <w:pPr>
        <w:pStyle w:val="SML11"/>
        <w:numPr>
          <w:ilvl w:val="1"/>
          <w:numId w:val="16"/>
        </w:numPr>
        <w:rPr>
          <w:rFonts w:ascii="Arial" w:hAnsi="Arial"/>
        </w:rPr>
      </w:pPr>
      <w:r>
        <w:rPr>
          <w:rFonts w:ascii="Arial" w:hAnsi="Arial"/>
        </w:rPr>
        <w:t xml:space="preserve">dát Zhotoviteli příkaz k přerušení práce, je-li ohrožena bezpečnost provádění Stavby, život nebo zdraví osob, životní prostředí nebo hrozí-li vznik jiné vážné škody nebo Zhotovitel nedodržuje požadavky na kvalitu Stavby dle smlouvy o Stavbě, </w:t>
      </w:r>
    </w:p>
    <w:p>
      <w:pPr>
        <w:pStyle w:val="SML11"/>
        <w:numPr>
          <w:ilvl w:val="1"/>
          <w:numId w:val="16"/>
        </w:numPr>
        <w:rPr>
          <w:rFonts w:ascii="Arial" w:hAnsi="Arial"/>
        </w:rPr>
      </w:pPr>
      <w:r>
        <w:rPr>
          <w:rFonts w:ascii="Arial" w:hAnsi="Arial"/>
        </w:rPr>
        <w:t>spolupracovat s AD, orgány státního stavebního dohledu a památkové péče, příp. jiných státních dozorů a dohledů dle zvláštních právních předpisů, při zjišťování souladu prováděných prací s projektem a spolupracovat s nimi při navrhování opatření na odstranění případných vad projektu.</w:t>
      </w:r>
    </w:p>
    <w:p>
      <w:pPr>
        <w:pStyle w:val="SML11"/>
        <w:numPr>
          <w:ilvl w:val="0"/>
          <w:numId w:val="16"/>
        </w:numPr>
        <w:rPr>
          <w:rFonts w:ascii="Arial" w:hAnsi="Arial"/>
        </w:rPr>
      </w:pPr>
      <w:r>
        <w:rPr>
          <w:rFonts w:ascii="Arial" w:hAnsi="Arial"/>
        </w:rPr>
        <w:t>Příkazník se v rámci výkonu TDS zavazuje pro Příkazce vykonávat i další činnosti ve Smlouvě výslovně neuvedené, pokud jejich výkon bude třeba k naplnění účelu Smlouvy nebo k řádnému výkonu TDS nebo jsou uloženy Příkazníkovi příslušnými právními předpisy.</w:t>
      </w:r>
    </w:p>
    <w:p>
      <w:pPr>
        <w:pStyle w:val="SML1"/>
        <w:spacing w:before="480" w:after="240"/>
        <w:ind w:left="0" w:firstLine="0"/>
        <w:rPr>
          <w:rFonts w:ascii="Arial" w:hAnsi="Arial"/>
          <w:caps/>
        </w:rPr>
      </w:pPr>
      <w:bookmarkStart w:id="10" w:name="_Toc7101136"/>
      <w:bookmarkEnd w:id="9"/>
      <w:r>
        <w:rPr>
          <w:rFonts w:ascii="Arial" w:hAnsi="Arial"/>
          <w:caps/>
        </w:rPr>
        <w:t>Povinnosti Příkazník</w:t>
      </w:r>
      <w:bookmarkEnd w:id="10"/>
      <w:r>
        <w:rPr>
          <w:rFonts w:ascii="Arial" w:hAnsi="Arial"/>
          <w:caps/>
        </w:rPr>
        <w:t>a</w:t>
      </w:r>
    </w:p>
    <w:p>
      <w:pPr>
        <w:pStyle w:val="SML11"/>
        <w:numPr>
          <w:ilvl w:val="0"/>
          <w:numId w:val="16"/>
        </w:numPr>
        <w:rPr>
          <w:rFonts w:ascii="Arial" w:hAnsi="Arial"/>
        </w:rPr>
      </w:pPr>
      <w:r>
        <w:rPr>
          <w:rFonts w:ascii="Arial" w:hAnsi="Arial"/>
        </w:rPr>
        <w:t>Příkazník se zavazuje při plnění Smlouvy řídit zejména pokyny Příkazce a závaznými právními předpisy.</w:t>
      </w:r>
    </w:p>
    <w:p>
      <w:pPr>
        <w:pStyle w:val="SML11"/>
        <w:numPr>
          <w:ilvl w:val="0"/>
          <w:numId w:val="16"/>
        </w:numPr>
        <w:rPr>
          <w:rFonts w:ascii="Arial" w:hAnsi="Arial"/>
        </w:rPr>
      </w:pPr>
      <w:r>
        <w:rPr>
          <w:rFonts w:ascii="Arial" w:hAnsi="Arial"/>
        </w:rPr>
        <w:t>Příkazník je dále v průběhu realizace Stavby povinen na pokyn Příkazce připravit pro Příkazce veškerou dostupnou dokumentaci a informace o průběhu realizace Stavby a tyto podklady mu předat.</w:t>
      </w:r>
    </w:p>
    <w:p>
      <w:pPr>
        <w:pStyle w:val="SML11"/>
        <w:numPr>
          <w:ilvl w:val="0"/>
          <w:numId w:val="16"/>
        </w:numPr>
        <w:rPr>
          <w:rFonts w:ascii="Arial" w:hAnsi="Arial"/>
        </w:rPr>
      </w:pPr>
      <w:r>
        <w:rPr>
          <w:rFonts w:ascii="Arial" w:hAnsi="Arial"/>
        </w:rPr>
        <w:t>Příkazník je povinen postupovat poctivě, pečlivě podle svých schopností a s náležitou odbornou péčí, zajišťovat plnění předmětu Smlouvy v souladu se zájmy Příkazce, které zná nebo má znát a oznámit Příkazci všechny okolnosti, které zjistí při výkonu své činnosti a které mohou mít vliv na změnu pokynů Příkazce v rámci plnění předmětu Smlouvy.</w:t>
      </w:r>
    </w:p>
    <w:p>
      <w:pPr>
        <w:pStyle w:val="SML11"/>
        <w:numPr>
          <w:ilvl w:val="0"/>
          <w:numId w:val="16"/>
        </w:numPr>
        <w:rPr>
          <w:rFonts w:ascii="Arial" w:hAnsi="Arial"/>
        </w:rPr>
      </w:pPr>
      <w:r>
        <w:rPr>
          <w:rFonts w:ascii="Arial" w:hAnsi="Arial"/>
        </w:rPr>
        <w:t>Příkazník je kdykoliv v průběhu realizace Stavby povinen upozornit Příkazce na nevhodnost jeho pokynů a postupů, případně na zjevný rozpor úkonů či pokynů Příkazce s projektovou dokumentací, stavebním povolením, zadávací dokumentací Veřejné zakázky na realizaci Stavby, smlouvami se Zhotovitelem anebo jinými souvisejícími dokumenty či právními předpisy.</w:t>
      </w:r>
    </w:p>
    <w:p>
      <w:pPr>
        <w:pStyle w:val="SML11"/>
        <w:numPr>
          <w:ilvl w:val="0"/>
          <w:numId w:val="16"/>
        </w:numPr>
        <w:rPr>
          <w:rFonts w:ascii="Arial" w:hAnsi="Arial"/>
        </w:rPr>
      </w:pPr>
      <w:r>
        <w:rPr>
          <w:rFonts w:ascii="Arial" w:hAnsi="Arial"/>
        </w:rPr>
        <w:t>Příkazník odpovídá za škodu na věcech převzatých od Příkazce k vyřizování záležitosti dle Smlouvy i za škody na věcech převzatých pro Příkazce při zařizování takových záležitostí.</w:t>
      </w:r>
    </w:p>
    <w:p>
      <w:pPr>
        <w:pStyle w:val="SML11"/>
        <w:numPr>
          <w:ilvl w:val="0"/>
          <w:numId w:val="16"/>
        </w:numPr>
        <w:rPr>
          <w:rFonts w:ascii="Arial" w:hAnsi="Arial"/>
        </w:rPr>
      </w:pPr>
      <w:bookmarkStart w:id="11" w:name="_Ref149892512"/>
      <w:r>
        <w:rPr>
          <w:rFonts w:ascii="Arial" w:hAnsi="Arial"/>
        </w:rPr>
        <w:t>Příkazník je povinen držet se po dobu plnění Smlouvy jakož i v průběhu přípravy a provádění Stavby a jejího uvádění do provozu veškerých vlastních podnikatelských aktivit, a to i ve spojení s třetími osobami, jimiž by mohl ohrozit oprávněné zájmy Příkazce, být s těmito zájmy ve střetu, popřípadě neoprávněně zvýhodnit sebe nebo třetí osoby.</w:t>
      </w:r>
      <w:bookmarkEnd w:id="11"/>
      <w:r>
        <w:rPr>
          <w:rFonts w:ascii="Arial" w:hAnsi="Arial"/>
        </w:rPr>
        <w:t xml:space="preserve">  </w:t>
      </w:r>
    </w:p>
    <w:p>
      <w:pPr>
        <w:pStyle w:val="SML1"/>
        <w:spacing w:before="480" w:after="240"/>
        <w:ind w:left="0" w:firstLine="0"/>
        <w:rPr>
          <w:rFonts w:ascii="Arial" w:hAnsi="Arial"/>
          <w:caps/>
        </w:rPr>
      </w:pPr>
      <w:bookmarkStart w:id="12" w:name="_Toc7101137"/>
      <w:r>
        <w:rPr>
          <w:rFonts w:ascii="Arial" w:hAnsi="Arial"/>
          <w:caps/>
        </w:rPr>
        <w:t>povinnosti Příkazce</w:t>
      </w:r>
      <w:bookmarkEnd w:id="12"/>
    </w:p>
    <w:p>
      <w:pPr>
        <w:pStyle w:val="SML11"/>
        <w:numPr>
          <w:ilvl w:val="0"/>
          <w:numId w:val="16"/>
        </w:numPr>
        <w:rPr>
          <w:rFonts w:ascii="Arial" w:hAnsi="Arial"/>
        </w:rPr>
      </w:pPr>
      <w:r>
        <w:rPr>
          <w:rFonts w:ascii="Arial" w:hAnsi="Arial"/>
        </w:rPr>
        <w:t>Příkazce se zavazuje předat Příkazníkovi před započetím plnění předmětu Smlouvy zejména tyto podklady:</w:t>
      </w:r>
    </w:p>
    <w:p>
      <w:pPr>
        <w:pStyle w:val="SML11"/>
        <w:numPr>
          <w:ilvl w:val="1"/>
          <w:numId w:val="16"/>
        </w:numPr>
        <w:rPr>
          <w:rFonts w:ascii="Arial" w:hAnsi="Arial"/>
        </w:rPr>
      </w:pPr>
      <w:r>
        <w:rPr>
          <w:rFonts w:ascii="Arial" w:hAnsi="Arial"/>
        </w:rPr>
        <w:t>projektovou dokumentaci Stavby včetně soupisu stavebních prací, dodávek a služeb s výkazem výměr;</w:t>
      </w:r>
    </w:p>
    <w:p>
      <w:pPr>
        <w:pStyle w:val="SML11"/>
        <w:numPr>
          <w:ilvl w:val="1"/>
          <w:numId w:val="16"/>
        </w:numPr>
        <w:rPr>
          <w:rFonts w:ascii="Arial" w:hAnsi="Arial"/>
        </w:rPr>
      </w:pPr>
      <w:r>
        <w:rPr>
          <w:rFonts w:ascii="Arial" w:hAnsi="Arial"/>
        </w:rPr>
        <w:t>rozpočet Stavby;</w:t>
      </w:r>
    </w:p>
    <w:p>
      <w:pPr>
        <w:pStyle w:val="SML11"/>
        <w:numPr>
          <w:ilvl w:val="1"/>
          <w:numId w:val="16"/>
        </w:numPr>
        <w:rPr>
          <w:rFonts w:ascii="Arial" w:hAnsi="Arial"/>
        </w:rPr>
      </w:pPr>
      <w:r>
        <w:rPr>
          <w:rFonts w:ascii="Arial" w:hAnsi="Arial"/>
        </w:rPr>
        <w:t>kopii stavebního povolení;</w:t>
      </w:r>
    </w:p>
    <w:p>
      <w:pPr>
        <w:pStyle w:val="SML11"/>
        <w:numPr>
          <w:ilvl w:val="1"/>
          <w:numId w:val="16"/>
        </w:numPr>
        <w:rPr>
          <w:rFonts w:ascii="Arial" w:hAnsi="Arial"/>
        </w:rPr>
      </w:pPr>
      <w:r>
        <w:rPr>
          <w:rFonts w:ascii="Arial" w:hAnsi="Arial"/>
        </w:rPr>
        <w:lastRenderedPageBreak/>
        <w:t>závazná stanoviska dotčených orgánů;</w:t>
      </w:r>
    </w:p>
    <w:p>
      <w:pPr>
        <w:pStyle w:val="SML11"/>
        <w:numPr>
          <w:ilvl w:val="0"/>
          <w:numId w:val="16"/>
        </w:numPr>
        <w:rPr>
          <w:rFonts w:ascii="Arial" w:hAnsi="Arial"/>
        </w:rPr>
      </w:pPr>
      <w:r>
        <w:rPr>
          <w:rFonts w:ascii="Arial" w:hAnsi="Arial"/>
        </w:rPr>
        <w:t>Další podklady (jako např. smlouvy se Zhotovitelem nebo smlouva s koordinátorem bezpečnosti a ochrany zdraví při práci) budou Příkazníkovi předávány průběžně, po jejich obdržení Příkazcem.</w:t>
      </w:r>
    </w:p>
    <w:p>
      <w:pPr>
        <w:pStyle w:val="SML11"/>
        <w:numPr>
          <w:ilvl w:val="0"/>
          <w:numId w:val="16"/>
        </w:numPr>
        <w:rPr>
          <w:rFonts w:ascii="Arial" w:hAnsi="Arial"/>
        </w:rPr>
      </w:pPr>
      <w:r>
        <w:rPr>
          <w:rFonts w:ascii="Arial" w:hAnsi="Arial"/>
        </w:rPr>
        <w:t>Příkazce se zavazuje vystavit Příkazníkovi pro zařízení záležitostí dle této Smlouvy písemnou plnou moc či plné moci, a to bezodkladně poté, co vyjde najevo potřeba činit jednání jménem Příkazce. Platnost všech plných mocí udělených Příkazníkovi Příkazcem v souvislosti s plněním předmětu Smlouvy končí nejpozději zánikem závazku ze Smlouvy, nedohodnou-li se Smluvní strany písemně jinak.</w:t>
      </w:r>
    </w:p>
    <w:p>
      <w:pPr>
        <w:pStyle w:val="SML1"/>
        <w:spacing w:before="480" w:after="240"/>
        <w:ind w:left="0" w:firstLine="0"/>
        <w:rPr>
          <w:rFonts w:ascii="Arial" w:hAnsi="Arial"/>
          <w:caps/>
        </w:rPr>
      </w:pPr>
      <w:r>
        <w:rPr>
          <w:rFonts w:ascii="Arial" w:hAnsi="Arial"/>
          <w:caps/>
        </w:rPr>
        <w:t>ÚPRAVA PRÁV DUŠEVNÍHO VLASTNICTVÍ</w:t>
      </w:r>
    </w:p>
    <w:p>
      <w:pPr>
        <w:pStyle w:val="SML11"/>
        <w:numPr>
          <w:ilvl w:val="0"/>
          <w:numId w:val="16"/>
        </w:numPr>
        <w:rPr>
          <w:rFonts w:ascii="Arial" w:hAnsi="Arial"/>
        </w:rPr>
      </w:pPr>
      <w:r>
        <w:rPr>
          <w:rFonts w:ascii="Arial" w:hAnsi="Arial"/>
        </w:rPr>
        <w:t>Pakliže by v rámci činnosti dle této smlouvy vznikl výstup, který je předmětem ochrany práv duševního vlastnictví (dále jen „</w:t>
      </w:r>
      <w:r>
        <w:rPr>
          <w:rFonts w:ascii="Arial" w:hAnsi="Arial"/>
          <w:b/>
          <w:bCs w:val="0"/>
          <w:i/>
          <w:iCs/>
        </w:rPr>
        <w:t>Výstup</w:t>
      </w:r>
      <w:r>
        <w:rPr>
          <w:rFonts w:ascii="Arial" w:hAnsi="Arial"/>
        </w:rPr>
        <w:t>“), poskytuje Příkazník Příkazci k takovému Výstupu výhradní neodvolatelnou licenci, a to v neomezeném územním rozsahu a po celou dobu trvání majetkových práv Příkazníka k Výstupu.</w:t>
      </w:r>
    </w:p>
    <w:p>
      <w:pPr>
        <w:pStyle w:val="SML11"/>
        <w:numPr>
          <w:ilvl w:val="0"/>
          <w:numId w:val="16"/>
        </w:numPr>
        <w:rPr>
          <w:rFonts w:ascii="Arial" w:hAnsi="Arial"/>
        </w:rPr>
      </w:pPr>
      <w:r>
        <w:rPr>
          <w:rFonts w:ascii="Arial" w:hAnsi="Arial"/>
        </w:rPr>
        <w:t>Příkazce je na základě licence oprávněn Výstup nebo jeho části v původní nebo upravené podobě užít všemi způsoby užití, které vyplývají z účelu Výstupu, účelu Smlouvy nebo podmínek sjednaných ve Smlouvě.</w:t>
      </w:r>
    </w:p>
    <w:p>
      <w:pPr>
        <w:pStyle w:val="SML11"/>
        <w:numPr>
          <w:ilvl w:val="0"/>
          <w:numId w:val="16"/>
        </w:numPr>
        <w:rPr>
          <w:rFonts w:ascii="Arial" w:hAnsi="Arial"/>
        </w:rPr>
      </w:pPr>
      <w:r>
        <w:rPr>
          <w:rFonts w:ascii="Arial" w:hAnsi="Arial"/>
        </w:rPr>
        <w:t>Příkazce může postoupit licenci zcela nebo zčásti třetí osobě. Příkazce může poskytnout oprávnění, která jsou součástí licence, zcela nebo zčásti třetí osobě jako podlicenci.</w:t>
      </w:r>
    </w:p>
    <w:p>
      <w:pPr>
        <w:pStyle w:val="SML11"/>
        <w:numPr>
          <w:ilvl w:val="0"/>
          <w:numId w:val="16"/>
        </w:numPr>
        <w:rPr>
          <w:rFonts w:ascii="Arial" w:hAnsi="Arial"/>
        </w:rPr>
      </w:pPr>
      <w:r>
        <w:rPr>
          <w:rFonts w:ascii="Arial" w:hAnsi="Arial"/>
        </w:rPr>
        <w:t>Příkazce nemusí licenci využít.</w:t>
      </w:r>
    </w:p>
    <w:p>
      <w:pPr>
        <w:pStyle w:val="SML11"/>
        <w:numPr>
          <w:ilvl w:val="0"/>
          <w:numId w:val="16"/>
        </w:numPr>
        <w:rPr>
          <w:rFonts w:ascii="Arial" w:hAnsi="Arial"/>
        </w:rPr>
      </w:pPr>
      <w:r>
        <w:rPr>
          <w:rFonts w:ascii="Arial" w:hAnsi="Arial"/>
        </w:rPr>
        <w:t xml:space="preserve">Příkazce je dále oprávněn sám nebo prostřednictvím třetí osoby Výstup nebo jeho část neomezeně upravovat, spojovat s jinými díly, vytvářet odvozená díla, zařazovat do děl souborných nebo provádět jiné zásahy. </w:t>
      </w:r>
    </w:p>
    <w:p>
      <w:pPr>
        <w:pStyle w:val="SML11"/>
        <w:numPr>
          <w:ilvl w:val="0"/>
          <w:numId w:val="16"/>
        </w:numPr>
        <w:rPr>
          <w:rFonts w:ascii="Arial" w:hAnsi="Arial"/>
        </w:rPr>
      </w:pPr>
      <w:r>
        <w:rPr>
          <w:rFonts w:ascii="Arial" w:hAnsi="Arial"/>
        </w:rPr>
        <w:t>Příkazník odpovídá za to, že využitím licence Příkazcem nebo třetí osobou nemůže dojít k neoprávněnému zásahu do práv třetích osob ani k jinému porušení právních předpisů.</w:t>
      </w:r>
    </w:p>
    <w:p>
      <w:pPr>
        <w:pStyle w:val="SML11"/>
        <w:numPr>
          <w:ilvl w:val="0"/>
          <w:numId w:val="16"/>
        </w:numPr>
        <w:rPr>
          <w:rFonts w:ascii="Arial" w:hAnsi="Arial"/>
        </w:rPr>
      </w:pPr>
      <w:r>
        <w:rPr>
          <w:rFonts w:ascii="Arial" w:hAnsi="Arial"/>
        </w:rPr>
        <w:t xml:space="preserve">Odměna za poskytnutí licence je zahrnuta v ceně dle čl. </w:t>
      </w:r>
      <w:r>
        <w:rPr>
          <w:rFonts w:ascii="Arial" w:hAnsi="Arial"/>
        </w:rPr>
        <w:fldChar w:fldCharType="begin"/>
      </w:r>
      <w:r>
        <w:rPr>
          <w:rFonts w:ascii="Arial" w:hAnsi="Arial"/>
        </w:rPr>
        <w:instrText xml:space="preserve"> REF _Ref141358385 \r \h  \* MERGEFORMAT </w:instrText>
      </w:r>
      <w:r>
        <w:rPr>
          <w:rFonts w:ascii="Arial" w:hAnsi="Arial"/>
        </w:rPr>
      </w:r>
      <w:r>
        <w:rPr>
          <w:rFonts w:ascii="Arial" w:hAnsi="Arial"/>
        </w:rPr>
        <w:fldChar w:fldCharType="separate"/>
      </w:r>
      <w:r>
        <w:rPr>
          <w:rFonts w:ascii="Arial" w:hAnsi="Arial"/>
        </w:rPr>
        <w:t xml:space="preserve">VII. </w:t>
      </w:r>
      <w:r>
        <w:rPr>
          <w:rFonts w:ascii="Arial" w:hAnsi="Arial"/>
        </w:rPr>
        <w:fldChar w:fldCharType="end"/>
      </w:r>
      <w:r>
        <w:rPr>
          <w:rFonts w:ascii="Arial" w:hAnsi="Arial"/>
        </w:rPr>
        <w:t xml:space="preserve"> Smlouvy.</w:t>
      </w:r>
    </w:p>
    <w:p>
      <w:pPr>
        <w:pStyle w:val="SML1"/>
        <w:spacing w:before="480" w:after="240"/>
        <w:ind w:left="0" w:firstLine="0"/>
        <w:rPr>
          <w:rFonts w:ascii="Arial" w:hAnsi="Arial"/>
          <w:caps/>
        </w:rPr>
      </w:pPr>
      <w:bookmarkStart w:id="13" w:name="_Toc7101139"/>
      <w:r>
        <w:rPr>
          <w:rFonts w:ascii="Arial" w:hAnsi="Arial"/>
          <w:caps/>
        </w:rPr>
        <w:t>Místo a doba plnění</w:t>
      </w:r>
      <w:bookmarkEnd w:id="13"/>
    </w:p>
    <w:p>
      <w:pPr>
        <w:pStyle w:val="SML111"/>
        <w:numPr>
          <w:ilvl w:val="0"/>
          <w:numId w:val="16"/>
        </w:numPr>
        <w:rPr>
          <w:rFonts w:ascii="Arial" w:hAnsi="Arial"/>
        </w:rPr>
      </w:pPr>
      <w:r>
        <w:rPr>
          <w:rFonts w:ascii="Arial" w:hAnsi="Arial"/>
        </w:rPr>
        <w:t>Místem plnění této Smlouvy je místo Stavby, pokud z povahy věci nevyplývá jiné místo plnění.</w:t>
      </w:r>
    </w:p>
    <w:p>
      <w:pPr>
        <w:pStyle w:val="SML111"/>
        <w:numPr>
          <w:ilvl w:val="0"/>
          <w:numId w:val="16"/>
        </w:numPr>
        <w:rPr>
          <w:rFonts w:ascii="Arial" w:hAnsi="Arial"/>
        </w:rPr>
      </w:pPr>
      <w:r>
        <w:rPr>
          <w:rFonts w:ascii="Arial" w:hAnsi="Arial"/>
        </w:rPr>
        <w:t xml:space="preserve">Příkazník započne s výkonem TDS a činností Koordinátora BOZP do 5 pracovních dnů od obdržení písemné výzvy Příkazce. </w:t>
      </w:r>
    </w:p>
    <w:p>
      <w:pPr>
        <w:pStyle w:val="SML111"/>
        <w:numPr>
          <w:ilvl w:val="0"/>
          <w:numId w:val="16"/>
        </w:numPr>
        <w:rPr>
          <w:rFonts w:ascii="Arial" w:hAnsi="Arial"/>
        </w:rPr>
      </w:pPr>
      <w:bookmarkStart w:id="14" w:name="_Ref139977953"/>
      <w:r>
        <w:rPr>
          <w:rFonts w:ascii="Arial" w:hAnsi="Arial"/>
        </w:rPr>
        <w:t xml:space="preserve">Výkon TDS a Koordinátora BOZP bude ukončen předáním Závěrečné zprávy dle odst. </w:t>
      </w:r>
      <w:r>
        <w:rPr>
          <w:rFonts w:ascii="Arial" w:hAnsi="Arial"/>
        </w:rPr>
        <w:fldChar w:fldCharType="begin"/>
      </w:r>
      <w:r>
        <w:rPr>
          <w:rFonts w:ascii="Arial" w:hAnsi="Arial"/>
        </w:rPr>
        <w:instrText xml:space="preserve"> REF _Ref140047705 \r \h  \* MERGEFORMAT </w:instrText>
      </w:r>
      <w:r>
        <w:rPr>
          <w:rFonts w:ascii="Arial" w:hAnsi="Arial"/>
        </w:rPr>
      </w:r>
      <w:r>
        <w:rPr>
          <w:rFonts w:ascii="Arial" w:hAnsi="Arial"/>
        </w:rPr>
        <w:fldChar w:fldCharType="separate"/>
      </w:r>
      <w:r>
        <w:rPr>
          <w:rFonts w:ascii="Arial" w:hAnsi="Arial"/>
        </w:rPr>
        <w:t>9.4.9</w:t>
      </w:r>
      <w:r>
        <w:rPr>
          <w:rFonts w:ascii="Arial" w:hAnsi="Arial"/>
        </w:rPr>
        <w:fldChar w:fldCharType="end"/>
      </w:r>
      <w:r>
        <w:rPr>
          <w:rFonts w:ascii="Arial" w:hAnsi="Arial"/>
        </w:rPr>
        <w:t xml:space="preserve"> této Smlouvy.</w:t>
      </w:r>
      <w:bookmarkEnd w:id="14"/>
      <w:r>
        <w:rPr>
          <w:rFonts w:ascii="Arial" w:hAnsi="Arial"/>
        </w:rPr>
        <w:t xml:space="preserve"> </w:t>
      </w:r>
    </w:p>
    <w:p>
      <w:pPr>
        <w:pStyle w:val="SML111"/>
        <w:numPr>
          <w:ilvl w:val="0"/>
          <w:numId w:val="16"/>
        </w:numPr>
        <w:rPr>
          <w:rFonts w:ascii="Arial" w:hAnsi="Arial"/>
        </w:rPr>
      </w:pPr>
      <w:bookmarkStart w:id="15" w:name="_Ref146714908"/>
      <w:r>
        <w:rPr>
          <w:rFonts w:ascii="Arial" w:hAnsi="Arial"/>
        </w:rPr>
        <w:t xml:space="preserve">Předpokládaná doba realizace Stavby činí </w:t>
      </w:r>
      <w:r>
        <w:rPr>
          <w:rFonts w:ascii="Arial" w:hAnsi="Arial"/>
          <w:b/>
          <w:bCs/>
        </w:rPr>
        <w:t>15 měsíců</w:t>
      </w:r>
      <w:r>
        <w:rPr>
          <w:rFonts w:ascii="Arial" w:hAnsi="Arial"/>
        </w:rPr>
        <w:t>.</w:t>
      </w:r>
      <w:bookmarkEnd w:id="15"/>
    </w:p>
    <w:p>
      <w:pPr>
        <w:pStyle w:val="SML1"/>
        <w:spacing w:before="480" w:after="240"/>
        <w:ind w:left="0" w:firstLine="0"/>
        <w:rPr>
          <w:rFonts w:ascii="Arial" w:hAnsi="Arial"/>
          <w:caps/>
        </w:rPr>
      </w:pPr>
      <w:bookmarkStart w:id="16" w:name="_Toc7101141"/>
      <w:bookmarkStart w:id="17" w:name="_Ref141358385"/>
      <w:r>
        <w:rPr>
          <w:rFonts w:ascii="Arial" w:hAnsi="Arial"/>
          <w:caps/>
        </w:rPr>
        <w:t>CENA A Platební podmínky</w:t>
      </w:r>
      <w:bookmarkEnd w:id="16"/>
      <w:bookmarkEnd w:id="17"/>
    </w:p>
    <w:p>
      <w:pPr>
        <w:pStyle w:val="SML11"/>
        <w:numPr>
          <w:ilvl w:val="0"/>
          <w:numId w:val="16"/>
        </w:numPr>
        <w:rPr>
          <w:rFonts w:ascii="Arial" w:hAnsi="Arial"/>
        </w:rPr>
      </w:pPr>
      <w:r>
        <w:rPr>
          <w:rFonts w:ascii="Arial" w:hAnsi="Arial"/>
        </w:rPr>
        <w:t xml:space="preserve">Cena za poskytnutí všech částí plnění Příkazníkem dle této Smlouvy je sjednána ve výši </w:t>
      </w:r>
      <w:r>
        <w:rPr>
          <w:rFonts w:ascii="Arial" w:hAnsi="Arial"/>
          <w:b/>
          <w:bCs w:val="0"/>
        </w:rPr>
        <w:t>875.000,00 Kč bez DPH</w:t>
      </w:r>
      <w:r>
        <w:rPr>
          <w:rFonts w:ascii="Arial" w:hAnsi="Arial"/>
        </w:rPr>
        <w:t>, přičemž cena za poskytnutí všech částí plnění je dána součtem cen za jednotlivá dílčí plnění (dále jen „</w:t>
      </w:r>
      <w:r>
        <w:rPr>
          <w:rFonts w:ascii="Arial" w:hAnsi="Arial"/>
          <w:b/>
          <w:bCs w:val="0"/>
          <w:i/>
          <w:iCs/>
        </w:rPr>
        <w:t>Cena</w:t>
      </w:r>
      <w:r>
        <w:rPr>
          <w:rFonts w:ascii="Arial" w:hAnsi="Arial"/>
        </w:rPr>
        <w:t>“), jak je uvedeno následovně:</w:t>
      </w:r>
    </w:p>
    <w:p>
      <w:pPr>
        <w:pStyle w:val="SML11"/>
        <w:numPr>
          <w:ilvl w:val="1"/>
          <w:numId w:val="16"/>
        </w:numPr>
        <w:rPr>
          <w:rFonts w:ascii="Arial" w:hAnsi="Arial"/>
        </w:rPr>
      </w:pPr>
      <w:bookmarkStart w:id="18" w:name="_Ref151975379"/>
      <w:r>
        <w:rPr>
          <w:rFonts w:ascii="Arial" w:hAnsi="Arial"/>
        </w:rPr>
        <w:t>Cena za poskytnutí Části plnění TDS Příkazníkem dle této Smlouvy je sjednána ve výši 687.500,00 Kč bez DPH.</w:t>
      </w:r>
      <w:bookmarkEnd w:id="18"/>
      <w:r>
        <w:rPr>
          <w:rFonts w:ascii="Arial" w:hAnsi="Arial"/>
        </w:rPr>
        <w:t xml:space="preserve"> </w:t>
      </w:r>
    </w:p>
    <w:p>
      <w:pPr>
        <w:pStyle w:val="SML11"/>
        <w:numPr>
          <w:ilvl w:val="1"/>
          <w:numId w:val="16"/>
        </w:numPr>
        <w:rPr>
          <w:rFonts w:ascii="Arial" w:hAnsi="Arial"/>
        </w:rPr>
      </w:pPr>
      <w:r>
        <w:rPr>
          <w:rFonts w:ascii="Arial" w:hAnsi="Arial"/>
        </w:rPr>
        <w:lastRenderedPageBreak/>
        <w:t>Cena za poskytnutí Části plnění Koordinátor BOZP Příkazníkem dle této Smlouvy je sjednána ve výši 187.500,00 Kč bez DPH.</w:t>
      </w:r>
    </w:p>
    <w:p>
      <w:pPr>
        <w:pStyle w:val="SML11"/>
        <w:numPr>
          <w:ilvl w:val="1"/>
          <w:numId w:val="16"/>
        </w:numPr>
        <w:rPr>
          <w:rFonts w:ascii="Arial" w:hAnsi="Arial"/>
        </w:rPr>
      </w:pPr>
      <w:r>
        <w:rPr>
          <w:rFonts w:ascii="Arial" w:hAnsi="Arial"/>
        </w:rPr>
        <w:t xml:space="preserve">Cena za poskytnutí plnění dle odst. </w:t>
      </w:r>
      <w:r>
        <w:rPr>
          <w:rFonts w:ascii="Arial" w:hAnsi="Arial"/>
        </w:rPr>
        <w:fldChar w:fldCharType="begin"/>
      </w:r>
      <w:r>
        <w:rPr>
          <w:rFonts w:ascii="Arial" w:hAnsi="Arial"/>
        </w:rPr>
        <w:instrText xml:space="preserve"> REF _Ref151975298 \r \h </w:instrText>
      </w:r>
      <w:r>
        <w:rPr>
          <w:rFonts w:ascii="Arial" w:hAnsi="Arial"/>
        </w:rPr>
      </w:r>
      <w:r>
        <w:rPr>
          <w:rFonts w:ascii="Arial" w:hAnsi="Arial"/>
        </w:rPr>
        <w:fldChar w:fldCharType="separate"/>
      </w:r>
      <w:r>
        <w:rPr>
          <w:rFonts w:ascii="Arial" w:hAnsi="Arial"/>
        </w:rPr>
        <w:t>8.1</w:t>
      </w:r>
      <w:r>
        <w:rPr>
          <w:rFonts w:ascii="Arial" w:hAnsi="Arial"/>
        </w:rPr>
        <w:fldChar w:fldCharType="end"/>
      </w:r>
      <w:r>
        <w:rPr>
          <w:rFonts w:ascii="Arial" w:hAnsi="Arial"/>
        </w:rPr>
        <w:t xml:space="preserve"> této Smlouvy je zahrnuta v ceně za poskytnutí Části plnění TDS dle odst. </w:t>
      </w:r>
      <w:r>
        <w:rPr>
          <w:rFonts w:ascii="Arial" w:hAnsi="Arial"/>
        </w:rPr>
        <w:fldChar w:fldCharType="begin"/>
      </w:r>
      <w:r>
        <w:rPr>
          <w:rFonts w:ascii="Arial" w:hAnsi="Arial"/>
        </w:rPr>
        <w:instrText xml:space="preserve"> REF _Ref151975379 \r \h </w:instrText>
      </w:r>
      <w:r>
        <w:rPr>
          <w:rFonts w:ascii="Arial" w:hAnsi="Arial"/>
        </w:rPr>
      </w:r>
      <w:r>
        <w:rPr>
          <w:rFonts w:ascii="Arial" w:hAnsi="Arial"/>
        </w:rPr>
        <w:fldChar w:fldCharType="separate"/>
      </w:r>
      <w:r>
        <w:rPr>
          <w:rFonts w:ascii="Arial" w:hAnsi="Arial"/>
        </w:rPr>
        <w:t>33.1</w:t>
      </w:r>
      <w:r>
        <w:rPr>
          <w:rFonts w:ascii="Arial" w:hAnsi="Arial"/>
        </w:rPr>
        <w:fldChar w:fldCharType="end"/>
      </w:r>
      <w:r>
        <w:rPr>
          <w:rFonts w:ascii="Arial" w:hAnsi="Arial"/>
        </w:rPr>
        <w:t xml:space="preserve"> této Smlouvy.</w:t>
      </w:r>
    </w:p>
    <w:p>
      <w:pPr>
        <w:pStyle w:val="SML111"/>
        <w:numPr>
          <w:ilvl w:val="0"/>
          <w:numId w:val="16"/>
        </w:numPr>
        <w:rPr>
          <w:rFonts w:ascii="Arial" w:hAnsi="Arial"/>
        </w:rPr>
      </w:pPr>
      <w:r>
        <w:rPr>
          <w:rFonts w:ascii="Arial" w:hAnsi="Arial"/>
        </w:rPr>
        <w:t xml:space="preserve">Cena zahrnuje veškeré náklady Příkazníka na plnění předmětu Smlouvy a přiměřený zisk. </w:t>
      </w:r>
    </w:p>
    <w:p>
      <w:pPr>
        <w:pStyle w:val="SML111"/>
        <w:numPr>
          <w:ilvl w:val="0"/>
          <w:numId w:val="16"/>
        </w:numPr>
        <w:rPr>
          <w:rFonts w:ascii="Arial" w:hAnsi="Arial"/>
        </w:rPr>
      </w:pPr>
      <w:r>
        <w:rPr>
          <w:rFonts w:ascii="Arial" w:hAnsi="Arial"/>
        </w:rPr>
        <w:t xml:space="preserve">Výše cen za poskytnutí jednotlivých částí plnění Příkazníkem dle této Smlouvy jsou nejvýše přípustné a tyto je možno překročit pouze v případě zvýšení sazby DPH v rozsahu zákonné změny výše sazby DPH. </w:t>
      </w:r>
    </w:p>
    <w:p>
      <w:pPr>
        <w:pStyle w:val="SML111"/>
        <w:numPr>
          <w:ilvl w:val="0"/>
          <w:numId w:val="16"/>
        </w:numPr>
        <w:rPr>
          <w:rFonts w:ascii="Arial" w:hAnsi="Arial"/>
        </w:rPr>
      </w:pPr>
      <w:r>
        <w:rPr>
          <w:rFonts w:ascii="Arial" w:hAnsi="Arial"/>
        </w:rPr>
        <w:t xml:space="preserve">Část Ceny až do výše 80 % Ceny je Příkazník oprávněn účtovat Příkazci průběžně měsíčně, a to za každý uplynulý kalendářní měsíc, v němž vykonával TDS/Koordinátora BOZP, ve výši 1/15 z 80 % Ceny. Bude-li Stavba převzata Příkazcem před uplynutím 15. měsíce výkonu TDS/Koordinátora BOZP, je Příkazník oprávněn vyúčtovat Příkazci zbytek do výše 80 % Ceny. Smluvní strany dále sjednávají, že v Ceně jsou zahrnuty i činnosti vyplývající z případného prodloužení doby realizace Stavby do dvou měsíců výkonu TD/Koordinátora BOZP S nad rámec předpokládané doby realizace dle odst. </w:t>
      </w:r>
      <w:r>
        <w:rPr>
          <w:rFonts w:ascii="Arial" w:hAnsi="Arial"/>
        </w:rPr>
        <w:fldChar w:fldCharType="begin"/>
      </w:r>
      <w:r>
        <w:rPr>
          <w:rFonts w:ascii="Arial" w:hAnsi="Arial"/>
        </w:rPr>
        <w:instrText xml:space="preserve"> REF _Ref146714908 \r \h  \* MERGEFORMAT </w:instrText>
      </w:r>
      <w:r>
        <w:rPr>
          <w:rFonts w:ascii="Arial" w:hAnsi="Arial"/>
        </w:rPr>
      </w:r>
      <w:r>
        <w:rPr>
          <w:rFonts w:ascii="Arial" w:hAnsi="Arial"/>
        </w:rPr>
        <w:fldChar w:fldCharType="separate"/>
      </w:r>
      <w:r>
        <w:rPr>
          <w:rFonts w:ascii="Arial" w:hAnsi="Arial"/>
        </w:rPr>
        <w:t>32</w:t>
      </w:r>
      <w:r>
        <w:rPr>
          <w:rFonts w:ascii="Arial" w:hAnsi="Arial"/>
        </w:rPr>
        <w:fldChar w:fldCharType="end"/>
      </w:r>
      <w:r>
        <w:rPr>
          <w:rFonts w:ascii="Arial" w:hAnsi="Arial"/>
        </w:rPr>
        <w:t xml:space="preserve"> této Smlouvy. Přesáhne-li doba realizace Stavy předpokládanou dobu dle odst. </w:t>
      </w:r>
      <w:r>
        <w:rPr>
          <w:rFonts w:ascii="Arial" w:hAnsi="Arial"/>
        </w:rPr>
        <w:fldChar w:fldCharType="begin"/>
      </w:r>
      <w:r>
        <w:rPr>
          <w:rFonts w:ascii="Arial" w:hAnsi="Arial"/>
        </w:rPr>
        <w:instrText xml:space="preserve"> REF _Ref146714908 \r \h  \* MERGEFORMAT </w:instrText>
      </w:r>
      <w:r>
        <w:rPr>
          <w:rFonts w:ascii="Arial" w:hAnsi="Arial"/>
        </w:rPr>
      </w:r>
      <w:r>
        <w:rPr>
          <w:rFonts w:ascii="Arial" w:hAnsi="Arial"/>
        </w:rPr>
        <w:fldChar w:fldCharType="separate"/>
      </w:r>
      <w:r>
        <w:rPr>
          <w:rFonts w:ascii="Arial" w:hAnsi="Arial"/>
        </w:rPr>
        <w:t>32</w:t>
      </w:r>
      <w:r>
        <w:rPr>
          <w:rFonts w:ascii="Arial" w:hAnsi="Arial"/>
        </w:rPr>
        <w:fldChar w:fldCharType="end"/>
      </w:r>
      <w:r>
        <w:rPr>
          <w:rFonts w:ascii="Arial" w:hAnsi="Arial"/>
        </w:rPr>
        <w:t xml:space="preserve">. Smlouvy navýšenou o dva měsíce, je Příkazník oprávněn účtovat dodatečnou odměnu ve výši odpovídající 80 % Ceny přepočtené na 1 pracovní den (dle vzorce: 1 /15 z 80 % Ceny x 12 / 260 za každý den skutečného vykonávání TDS/Koordinátora BOZP v době přesahující předpokládanou dobu realizace Stavby dle odst. </w:t>
      </w:r>
      <w:r>
        <w:rPr>
          <w:rFonts w:ascii="Arial" w:hAnsi="Arial"/>
        </w:rPr>
        <w:fldChar w:fldCharType="begin"/>
      </w:r>
      <w:r>
        <w:rPr>
          <w:rFonts w:ascii="Arial" w:hAnsi="Arial"/>
        </w:rPr>
        <w:instrText xml:space="preserve"> REF _Ref146714908 \r \h  \* MERGEFORMAT </w:instrText>
      </w:r>
      <w:r>
        <w:rPr>
          <w:rFonts w:ascii="Arial" w:hAnsi="Arial"/>
        </w:rPr>
      </w:r>
      <w:r>
        <w:rPr>
          <w:rFonts w:ascii="Arial" w:hAnsi="Arial"/>
        </w:rPr>
        <w:fldChar w:fldCharType="separate"/>
      </w:r>
      <w:r>
        <w:rPr>
          <w:rFonts w:ascii="Arial" w:hAnsi="Arial"/>
        </w:rPr>
        <w:t>32</w:t>
      </w:r>
      <w:r>
        <w:rPr>
          <w:rFonts w:ascii="Arial" w:hAnsi="Arial"/>
        </w:rPr>
        <w:fldChar w:fldCharType="end"/>
      </w:r>
      <w:r>
        <w:rPr>
          <w:rFonts w:ascii="Arial" w:hAnsi="Arial"/>
        </w:rPr>
        <w:t>. Smlouvy.</w:t>
      </w:r>
    </w:p>
    <w:p>
      <w:pPr>
        <w:pStyle w:val="SML111"/>
        <w:numPr>
          <w:ilvl w:val="0"/>
          <w:numId w:val="16"/>
        </w:numPr>
        <w:rPr>
          <w:rFonts w:ascii="Arial" w:hAnsi="Arial"/>
        </w:rPr>
      </w:pPr>
      <w:r>
        <w:rPr>
          <w:rFonts w:ascii="Arial" w:hAnsi="Arial"/>
        </w:rPr>
        <w:t xml:space="preserve">Část Ceny ve výši 20 % Ceny je oprávněn Příkazník vyúčtovat Příkazci po ukončení výkonu TDS/Koordinátora BOZP dle odst. </w:t>
      </w:r>
      <w:r>
        <w:rPr>
          <w:rFonts w:ascii="Arial" w:hAnsi="Arial"/>
        </w:rPr>
        <w:fldChar w:fldCharType="begin"/>
      </w:r>
      <w:r>
        <w:rPr>
          <w:rFonts w:ascii="Arial" w:hAnsi="Arial"/>
        </w:rPr>
        <w:instrText xml:space="preserve"> REF _Ref139977953 \r \h  \* MERGEFORMAT </w:instrText>
      </w:r>
      <w:r>
        <w:rPr>
          <w:rFonts w:ascii="Arial" w:hAnsi="Arial"/>
        </w:rPr>
      </w:r>
      <w:r>
        <w:rPr>
          <w:rFonts w:ascii="Arial" w:hAnsi="Arial"/>
        </w:rPr>
        <w:fldChar w:fldCharType="separate"/>
      </w:r>
      <w:r>
        <w:rPr>
          <w:rFonts w:ascii="Arial" w:hAnsi="Arial"/>
        </w:rPr>
        <w:t>31</w:t>
      </w:r>
      <w:r>
        <w:rPr>
          <w:rFonts w:ascii="Arial" w:hAnsi="Arial"/>
        </w:rPr>
        <w:fldChar w:fldCharType="end"/>
      </w:r>
      <w:r>
        <w:rPr>
          <w:rFonts w:ascii="Arial" w:hAnsi="Arial"/>
        </w:rPr>
        <w:t xml:space="preserve"> Smlouvy.</w:t>
      </w:r>
    </w:p>
    <w:p>
      <w:pPr>
        <w:pStyle w:val="SML111"/>
        <w:numPr>
          <w:ilvl w:val="0"/>
          <w:numId w:val="16"/>
        </w:numPr>
        <w:rPr>
          <w:rFonts w:ascii="Arial" w:hAnsi="Arial"/>
        </w:rPr>
      </w:pPr>
      <w:r>
        <w:rPr>
          <w:rFonts w:ascii="Arial" w:hAnsi="Arial"/>
        </w:rPr>
        <w:t>Podkladem pro platbu Příkazce je vždy daňový doklad – faktura, kterou Příkazník vystaví nejpozději do 10 dnů ode dne, kdy vznikl Příkazníkovi na část Ceny nárok.</w:t>
      </w:r>
    </w:p>
    <w:p>
      <w:pPr>
        <w:pStyle w:val="SML111"/>
        <w:numPr>
          <w:ilvl w:val="0"/>
          <w:numId w:val="16"/>
        </w:numPr>
        <w:rPr>
          <w:rFonts w:ascii="Arial" w:hAnsi="Arial"/>
        </w:rPr>
      </w:pPr>
      <w:r>
        <w:rPr>
          <w:rFonts w:ascii="Arial" w:hAnsi="Arial"/>
        </w:rPr>
        <w:t>Splatnost faktur se sjednává lhůtou 30 dnů od jejich doručení Příkazcem.</w:t>
      </w:r>
    </w:p>
    <w:p>
      <w:pPr>
        <w:pStyle w:val="SML111"/>
        <w:numPr>
          <w:ilvl w:val="0"/>
          <w:numId w:val="16"/>
        </w:numPr>
        <w:rPr>
          <w:rFonts w:ascii="Arial" w:hAnsi="Arial"/>
        </w:rPr>
      </w:pPr>
      <w:r>
        <w:rPr>
          <w:rFonts w:ascii="Arial" w:hAnsi="Arial"/>
        </w:rPr>
        <w:t>Daňový doklad – faktura musí obsahovat veškeré náležitosti daňového dokladu stanovené v zákoně č. 235/2004 Sb., o dani z přidané hodnoty, ve znění pozdějších předpisů, a § 435 Občanského zákoníku.</w:t>
      </w:r>
    </w:p>
    <w:p>
      <w:pPr>
        <w:pStyle w:val="SML111"/>
        <w:numPr>
          <w:ilvl w:val="0"/>
          <w:numId w:val="16"/>
        </w:numPr>
        <w:rPr>
          <w:rFonts w:ascii="Arial" w:hAnsi="Arial"/>
        </w:rPr>
      </w:pPr>
      <w:r>
        <w:rPr>
          <w:rFonts w:ascii="Arial" w:hAnsi="Arial"/>
        </w:rPr>
        <w:t>Faktura bude dále obsahovat požadavky stanovené podmínkami pro poskytnutí dotace z Programu, zejména musí být označena příslušným názvem a číslem projektu.</w:t>
      </w:r>
    </w:p>
    <w:p>
      <w:pPr>
        <w:pStyle w:val="SML111"/>
        <w:numPr>
          <w:ilvl w:val="0"/>
          <w:numId w:val="16"/>
        </w:numPr>
        <w:rPr>
          <w:rFonts w:ascii="Arial" w:hAnsi="Arial"/>
        </w:rPr>
      </w:pPr>
      <w:r>
        <w:rPr>
          <w:rFonts w:ascii="Arial" w:hAnsi="Arial"/>
        </w:rPr>
        <w:t>Příkazce je oprávněn před uplynutím lhůty splatnosti vrátit Příkazníkovi fakturu, která neobsahuje požadované náležitosti nebo obsahuje nesprávné údaje nebo nesprávný výpočet poměrné části ceny plnění, kterou má Příkazce uhradit. Příkazník je povinen podle povahy nesprávnosti fakturu opravit nebo fakturu nově vyhotovit. V takovém případě není Příkazce v prodlení se zaplacením plnění, kterého se příslušná faktura týká. Okamžikem doručení náležitě doplněné či opravené faktury Příkazci začne běžet nová lhůta splatnosti.</w:t>
      </w:r>
    </w:p>
    <w:p>
      <w:pPr>
        <w:pStyle w:val="SML111"/>
        <w:numPr>
          <w:ilvl w:val="0"/>
          <w:numId w:val="16"/>
        </w:numPr>
        <w:rPr>
          <w:rFonts w:ascii="Arial" w:hAnsi="Arial"/>
        </w:rPr>
      </w:pPr>
      <w:r>
        <w:rPr>
          <w:rFonts w:ascii="Arial" w:hAnsi="Arial"/>
        </w:rPr>
        <w:t>Příkazce neposkytuje zálohy.</w:t>
      </w:r>
    </w:p>
    <w:p>
      <w:pPr>
        <w:pStyle w:val="SML111"/>
        <w:numPr>
          <w:ilvl w:val="0"/>
          <w:numId w:val="16"/>
        </w:numPr>
        <w:rPr>
          <w:rFonts w:ascii="Arial" w:hAnsi="Arial"/>
        </w:rPr>
      </w:pPr>
      <w:r>
        <w:rPr>
          <w:rFonts w:ascii="Arial" w:hAnsi="Arial"/>
        </w:rPr>
        <w:t xml:space="preserve">Platby vč. DPH dle této Smlouvy budou hrazeny v korunách českých, a to bezhotovostním převodem na účet Příkazníka. Cena za poskytnutí plnění či jeho části se považuje za uhrazenou okamžikem odepsání fakturované ceny z bankovního účtu Příkazce ve prospěch účtu Příkazníka. Bankovní účet Příkazníka musí být zveřejněn správcem daně způsobem umožňujícím dálkový přístup. V případě, že účet tímto způsobem zveřejněn nebude, je Příkazce oprávněn uhradit Příkazníkovi cenu na úrovni bez DPH. DPH Příkazce poukáže správci daně. Stane-li se Příkazník nespolehlivým plátcem ve smyslu </w:t>
      </w:r>
      <w:proofErr w:type="spellStart"/>
      <w:r>
        <w:rPr>
          <w:rFonts w:ascii="Arial" w:hAnsi="Arial"/>
        </w:rPr>
        <w:t>ust</w:t>
      </w:r>
      <w:proofErr w:type="spellEnd"/>
      <w:r>
        <w:rPr>
          <w:rFonts w:ascii="Arial" w:hAnsi="Arial"/>
        </w:rPr>
        <w:t xml:space="preserve">. § 106a </w:t>
      </w:r>
      <w:proofErr w:type="spellStart"/>
      <w:r>
        <w:rPr>
          <w:rFonts w:ascii="Arial" w:hAnsi="Arial"/>
        </w:rPr>
        <w:t>ZoDPH</w:t>
      </w:r>
      <w:proofErr w:type="spellEnd"/>
      <w:r>
        <w:rPr>
          <w:rFonts w:ascii="Arial" w:hAnsi="Arial"/>
        </w:rPr>
        <w:t>, je povinen neprodleně o tomto písemně informovat Příkazce.</w:t>
      </w:r>
    </w:p>
    <w:p>
      <w:pPr>
        <w:pStyle w:val="SML1"/>
        <w:spacing w:before="480" w:after="240"/>
        <w:ind w:left="0" w:firstLine="0"/>
        <w:rPr>
          <w:rFonts w:ascii="Arial" w:hAnsi="Arial"/>
          <w:caps/>
        </w:rPr>
      </w:pPr>
      <w:bookmarkStart w:id="19" w:name="_Ref7093445"/>
      <w:bookmarkStart w:id="20" w:name="_Toc7101151"/>
      <w:r>
        <w:rPr>
          <w:rFonts w:ascii="Arial" w:hAnsi="Arial"/>
          <w:caps/>
        </w:rPr>
        <w:lastRenderedPageBreak/>
        <w:t>Pojištění odpovědnosti</w:t>
      </w:r>
      <w:bookmarkEnd w:id="19"/>
      <w:bookmarkEnd w:id="20"/>
    </w:p>
    <w:p>
      <w:pPr>
        <w:pStyle w:val="SML111"/>
        <w:numPr>
          <w:ilvl w:val="0"/>
          <w:numId w:val="16"/>
        </w:numPr>
        <w:rPr>
          <w:rFonts w:ascii="Arial" w:hAnsi="Arial"/>
        </w:rPr>
      </w:pPr>
      <w:r>
        <w:rPr>
          <w:rFonts w:ascii="Arial" w:hAnsi="Arial"/>
        </w:rPr>
        <w:t>Příkazník je povinen mít sjednáno pojištění své odpovědnosti pokrývající újmy způsobené porušením povinností plynoucích z této Smlouvy, přičemž výše pojistného krytí musí být nejméně 1.000.000 Kč (dále jen „</w:t>
      </w:r>
      <w:r>
        <w:rPr>
          <w:rFonts w:ascii="Arial" w:hAnsi="Arial"/>
          <w:b/>
        </w:rPr>
        <w:t>Pojištění odpovědnosti</w:t>
      </w:r>
      <w:r>
        <w:rPr>
          <w:rFonts w:ascii="Arial" w:hAnsi="Arial"/>
        </w:rPr>
        <w:t>“). V případě, že Smlouvu uzavřelo na straně Příkazníka více osob (členů sdružení, členů společnosti apod.), musí pojistná smlouva prokazatelně pokrývat případnou škodu způsobenou kteroukoli z těchto osob.</w:t>
      </w:r>
    </w:p>
    <w:p>
      <w:pPr>
        <w:pStyle w:val="SML111"/>
        <w:numPr>
          <w:ilvl w:val="0"/>
          <w:numId w:val="16"/>
        </w:numPr>
        <w:rPr>
          <w:rFonts w:ascii="Arial" w:hAnsi="Arial"/>
        </w:rPr>
      </w:pPr>
      <w:r>
        <w:rPr>
          <w:rFonts w:ascii="Arial" w:hAnsi="Arial"/>
        </w:rPr>
        <w:t>Příkazník je povinen Pojištění odpovědnosti v tomto rozsahu a výši udržovat po celou dobu plnění závazku z této Smlouvy a v průběhu plnění Smlouvy je také kdykoli povinen nejpozději do patnácti dnů na žádost Příkazce doložit splnění této povinnosti předložením příslušné pojistné smlouvy zakládající Pojištění odpovědnosti nebo dokladu vystaveného pojišťovnou prokazujícího existenci Pojištění odpovědnosti, a to v originále nebo úředně ověřené kopii.</w:t>
      </w:r>
    </w:p>
    <w:p>
      <w:pPr>
        <w:pStyle w:val="SML111"/>
        <w:numPr>
          <w:ilvl w:val="0"/>
          <w:numId w:val="16"/>
        </w:numPr>
        <w:rPr>
          <w:rFonts w:ascii="Arial" w:hAnsi="Arial"/>
        </w:rPr>
      </w:pPr>
      <w:r>
        <w:rPr>
          <w:rFonts w:ascii="Arial" w:hAnsi="Arial"/>
        </w:rPr>
        <w:t>Náklady na Pojištění odpovědnosti nese Příkazník a jsou zahrnuty v sjednaných cenách a úplatách dle této Smlouvy.</w:t>
      </w:r>
    </w:p>
    <w:p>
      <w:pPr>
        <w:pStyle w:val="SML1"/>
        <w:spacing w:before="480" w:after="240"/>
        <w:ind w:left="0" w:firstLine="0"/>
        <w:rPr>
          <w:rFonts w:ascii="Arial" w:hAnsi="Arial"/>
          <w:caps/>
        </w:rPr>
      </w:pPr>
      <w:bookmarkStart w:id="21" w:name="_Toc7101154"/>
      <w:r>
        <w:rPr>
          <w:rFonts w:ascii="Arial" w:hAnsi="Arial"/>
          <w:caps/>
        </w:rPr>
        <w:t>Realizační tým Zhotovitele a Kvalifikované osoby</w:t>
      </w:r>
      <w:bookmarkEnd w:id="21"/>
    </w:p>
    <w:p>
      <w:pPr>
        <w:pStyle w:val="SML111"/>
        <w:numPr>
          <w:ilvl w:val="0"/>
          <w:numId w:val="16"/>
        </w:numPr>
        <w:rPr>
          <w:rFonts w:ascii="Arial" w:hAnsi="Arial"/>
        </w:rPr>
      </w:pPr>
      <w:r>
        <w:rPr>
          <w:rFonts w:ascii="Arial" w:hAnsi="Arial"/>
        </w:rPr>
        <w:t>Příkazník prohlašuje, že výkon činnosti TDS a Koordinátora BOZP zajistí realizační tým složený z:</w:t>
      </w:r>
    </w:p>
    <w:p>
      <w:pPr>
        <w:pStyle w:val="SML111"/>
        <w:numPr>
          <w:ilvl w:val="1"/>
          <w:numId w:val="16"/>
        </w:numPr>
        <w:rPr>
          <w:rFonts w:ascii="Arial" w:hAnsi="Arial"/>
        </w:rPr>
      </w:pPr>
      <w:r>
        <w:rPr>
          <w:rFonts w:ascii="Arial" w:hAnsi="Arial"/>
        </w:rPr>
        <w:t xml:space="preserve">Stavební dozor 1 – Rekonstrukce silnice: </w:t>
      </w:r>
      <w:r>
        <w:rPr>
          <w:rFonts w:ascii="Arial" w:hAnsi="Arial"/>
          <w:lang w:bidi="en-US"/>
        </w:rPr>
        <w:t>XXXXXXXXXXXXXX</w:t>
      </w:r>
      <w:r>
        <w:rPr>
          <w:rFonts w:ascii="Arial" w:hAnsi="Arial"/>
        </w:rPr>
        <w:t xml:space="preserve">, e-mail: </w:t>
      </w:r>
      <w:r>
        <w:rPr>
          <w:rFonts w:ascii="Arial" w:hAnsi="Arial"/>
          <w:lang w:bidi="en-US"/>
        </w:rPr>
        <w:t>XXXXXXXXXXXXXX</w:t>
      </w:r>
      <w:r>
        <w:rPr>
          <w:rFonts w:ascii="Arial" w:hAnsi="Arial"/>
        </w:rPr>
        <w:t xml:space="preserve">, tel.: </w:t>
      </w:r>
      <w:r>
        <w:rPr>
          <w:rFonts w:ascii="Arial" w:hAnsi="Arial"/>
          <w:lang w:bidi="en-US"/>
        </w:rPr>
        <w:t>XXXXXXXXXXXXXX</w:t>
      </w:r>
      <w:r>
        <w:rPr>
          <w:rFonts w:ascii="Arial" w:hAnsi="Arial"/>
        </w:rPr>
        <w:t>,</w:t>
      </w:r>
    </w:p>
    <w:p>
      <w:pPr>
        <w:pStyle w:val="SML111"/>
        <w:numPr>
          <w:ilvl w:val="1"/>
          <w:numId w:val="16"/>
        </w:numPr>
        <w:rPr>
          <w:rFonts w:ascii="Arial" w:hAnsi="Arial"/>
        </w:rPr>
      </w:pPr>
      <w:r>
        <w:rPr>
          <w:rFonts w:ascii="Arial" w:hAnsi="Arial"/>
        </w:rPr>
        <w:t xml:space="preserve">Stavební dozor 2 – Rekonstrukce kanalizace: </w:t>
      </w:r>
      <w:r>
        <w:rPr>
          <w:rFonts w:ascii="Arial" w:hAnsi="Arial"/>
          <w:lang w:bidi="en-US"/>
        </w:rPr>
        <w:t>XXXXXXXXXXXXXX</w:t>
      </w:r>
      <w:r>
        <w:rPr>
          <w:rFonts w:ascii="Arial" w:hAnsi="Arial"/>
        </w:rPr>
        <w:t xml:space="preserve">, e-mail: </w:t>
      </w:r>
      <w:r>
        <w:rPr>
          <w:rFonts w:ascii="Arial" w:hAnsi="Arial"/>
          <w:lang w:bidi="en-US"/>
        </w:rPr>
        <w:t>XXXXXXXXXXXXXX</w:t>
      </w:r>
      <w:r>
        <w:rPr>
          <w:rFonts w:ascii="Arial" w:hAnsi="Arial"/>
        </w:rPr>
        <w:t xml:space="preserve">, tel.: </w:t>
      </w:r>
      <w:r>
        <w:rPr>
          <w:rFonts w:ascii="Arial" w:hAnsi="Arial"/>
          <w:lang w:bidi="en-US"/>
        </w:rPr>
        <w:t>XXXXXXXXXXXXXX</w:t>
      </w:r>
      <w:r>
        <w:rPr>
          <w:rFonts w:ascii="Arial" w:hAnsi="Arial"/>
        </w:rPr>
        <w:t>,</w:t>
      </w:r>
    </w:p>
    <w:p>
      <w:pPr>
        <w:pStyle w:val="SML111"/>
        <w:numPr>
          <w:ilvl w:val="1"/>
          <w:numId w:val="16"/>
        </w:numPr>
        <w:rPr>
          <w:rFonts w:ascii="Arial" w:hAnsi="Arial"/>
        </w:rPr>
      </w:pPr>
      <w:r>
        <w:rPr>
          <w:rFonts w:ascii="Arial" w:hAnsi="Arial"/>
        </w:rPr>
        <w:t xml:space="preserve">Stavební dozor 3 – Rekonstrukce mostu: </w:t>
      </w:r>
      <w:r>
        <w:rPr>
          <w:rFonts w:ascii="Arial" w:hAnsi="Arial"/>
          <w:lang w:bidi="en-US"/>
        </w:rPr>
        <w:t>XXXXXXXXXXXXXX</w:t>
      </w:r>
      <w:r>
        <w:rPr>
          <w:rFonts w:ascii="Arial" w:hAnsi="Arial"/>
        </w:rPr>
        <w:t xml:space="preserve">, e-mail: </w:t>
      </w:r>
      <w:r>
        <w:rPr>
          <w:rFonts w:ascii="Arial" w:hAnsi="Arial"/>
          <w:lang w:bidi="en-US"/>
        </w:rPr>
        <w:t>XXXXXXXXXXXXXX</w:t>
      </w:r>
      <w:r>
        <w:rPr>
          <w:rFonts w:ascii="Arial" w:hAnsi="Arial"/>
        </w:rPr>
        <w:t xml:space="preserve">, tel.: </w:t>
      </w:r>
      <w:r>
        <w:rPr>
          <w:rFonts w:ascii="Arial" w:hAnsi="Arial"/>
          <w:lang w:bidi="en-US"/>
        </w:rPr>
        <w:t>XXXXXXXXXXXXXX</w:t>
      </w:r>
      <w:r>
        <w:rPr>
          <w:rFonts w:ascii="Arial" w:hAnsi="Arial"/>
        </w:rPr>
        <w:t>,</w:t>
      </w:r>
    </w:p>
    <w:p>
      <w:pPr>
        <w:pStyle w:val="SML111"/>
        <w:numPr>
          <w:ilvl w:val="1"/>
          <w:numId w:val="16"/>
        </w:numPr>
        <w:rPr>
          <w:rFonts w:ascii="Arial" w:hAnsi="Arial"/>
        </w:rPr>
      </w:pPr>
      <w:r>
        <w:rPr>
          <w:rFonts w:ascii="Arial" w:hAnsi="Arial"/>
        </w:rPr>
        <w:t xml:space="preserve">Koordinátor BOZP: </w:t>
      </w:r>
      <w:r>
        <w:rPr>
          <w:rFonts w:ascii="Arial" w:hAnsi="Arial"/>
          <w:lang w:bidi="en-US"/>
        </w:rPr>
        <w:t>XXXXXXXXXXXXXX</w:t>
      </w:r>
      <w:r>
        <w:rPr>
          <w:rFonts w:ascii="Arial" w:hAnsi="Arial"/>
        </w:rPr>
        <w:t xml:space="preserve">, e-mail: </w:t>
      </w:r>
      <w:r>
        <w:rPr>
          <w:rFonts w:ascii="Arial" w:hAnsi="Arial"/>
          <w:lang w:bidi="en-US"/>
        </w:rPr>
        <w:t>XXXXXXXXXXXXXX</w:t>
      </w:r>
      <w:r>
        <w:rPr>
          <w:rFonts w:ascii="Arial" w:hAnsi="Arial"/>
        </w:rPr>
        <w:t xml:space="preserve">, tel.: </w:t>
      </w:r>
      <w:r>
        <w:rPr>
          <w:rFonts w:ascii="Arial" w:hAnsi="Arial"/>
          <w:lang w:bidi="en-US"/>
        </w:rPr>
        <w:t>XXXXXXXXXXXXXX</w:t>
      </w:r>
      <w:r>
        <w:rPr>
          <w:rFonts w:ascii="Arial" w:hAnsi="Arial"/>
        </w:rPr>
        <w:t>,</w:t>
      </w:r>
    </w:p>
    <w:p>
      <w:pPr>
        <w:pStyle w:val="SML111"/>
        <w:ind w:left="1418"/>
        <w:rPr>
          <w:rFonts w:ascii="Arial" w:hAnsi="Arial"/>
        </w:rPr>
      </w:pPr>
      <w:r>
        <w:rPr>
          <w:rFonts w:ascii="Arial" w:hAnsi="Arial"/>
        </w:rPr>
        <w:t>dále jen „</w:t>
      </w:r>
      <w:r>
        <w:rPr>
          <w:rFonts w:ascii="Arial" w:hAnsi="Arial"/>
          <w:b/>
        </w:rPr>
        <w:t>Realizační tým</w:t>
      </w:r>
      <w:r>
        <w:rPr>
          <w:rFonts w:ascii="Arial" w:hAnsi="Arial"/>
        </w:rPr>
        <w:t>“).</w:t>
      </w:r>
    </w:p>
    <w:p>
      <w:pPr>
        <w:pStyle w:val="SML111"/>
        <w:numPr>
          <w:ilvl w:val="0"/>
          <w:numId w:val="16"/>
        </w:numPr>
        <w:rPr>
          <w:rFonts w:ascii="Arial" w:hAnsi="Arial"/>
        </w:rPr>
      </w:pPr>
      <w:r>
        <w:rPr>
          <w:rFonts w:ascii="Arial" w:hAnsi="Arial"/>
        </w:rPr>
        <w:t>Realizační tým bude plně v souladu s dokumenty Příkazníka předkládanými v Řízení veřejné zakázky. Příkazník se zavazuje zachovávat po celou dobu plnění této Smlouvy profesionální složení Realizačního týmu v souladu s požadavky stanovenými v této Smlouvě a zadávací dokumentaci k Veřejné zakázce. Příkazník je povinen Příkazci sdělit pracovní zařazení jednotlivých členů Realizačního týmu.</w:t>
      </w:r>
    </w:p>
    <w:p>
      <w:pPr>
        <w:pStyle w:val="SML111"/>
        <w:numPr>
          <w:ilvl w:val="0"/>
          <w:numId w:val="16"/>
        </w:numPr>
        <w:rPr>
          <w:rFonts w:ascii="Arial" w:hAnsi="Arial"/>
        </w:rPr>
      </w:pPr>
      <w:r>
        <w:rPr>
          <w:rFonts w:ascii="Arial" w:hAnsi="Arial"/>
        </w:rPr>
        <w:t xml:space="preserve">Příkazník oznamuje Příkazci změny v osobách Realizačního týmu, a to bez zbytečného odkladu, nejpozději do následujícího pracovního dne; tím nejsou dotčeny povinnosti Příkazníka Zhotovitele ohledně změn v Kvalifikovaných osobách dle odst. </w:t>
      </w:r>
      <w:r>
        <w:rPr>
          <w:rFonts w:ascii="Arial" w:hAnsi="Arial"/>
        </w:rPr>
        <w:fldChar w:fldCharType="begin"/>
      </w:r>
      <w:r>
        <w:rPr>
          <w:rFonts w:ascii="Arial" w:hAnsi="Arial"/>
        </w:rPr>
        <w:instrText xml:space="preserve"> REF _Ref7100057 \r \h  \* MERGEFORMAT </w:instrText>
      </w:r>
      <w:r>
        <w:rPr>
          <w:rFonts w:ascii="Arial" w:hAnsi="Arial"/>
        </w:rPr>
      </w:r>
      <w:r>
        <w:rPr>
          <w:rFonts w:ascii="Arial" w:hAnsi="Arial"/>
        </w:rPr>
        <w:fldChar w:fldCharType="separate"/>
      </w:r>
      <w:r>
        <w:rPr>
          <w:rFonts w:ascii="Arial" w:hAnsi="Arial"/>
        </w:rPr>
        <w:t>51</w:t>
      </w:r>
      <w:r>
        <w:rPr>
          <w:rFonts w:ascii="Arial" w:hAnsi="Arial"/>
        </w:rPr>
        <w:fldChar w:fldCharType="end"/>
      </w:r>
      <w:r>
        <w:rPr>
          <w:rFonts w:ascii="Arial" w:hAnsi="Arial"/>
        </w:rPr>
        <w:t xml:space="preserve"> Smlouvy. Příkazce si vyhrazuje právo na odmítnutí významných změn ve složení Realizačního týmu. Příkazce nemá obecné oprávnění bránit Příkazníkovi v udělení souhlasu se změnou ve složení Realizačního týmu a je povinen jej bez zbytečného odkladu udělit, a to i ústním nebo telefonickým oznámením. Příkazce je oprávněn odmítnout významnou změnu ve složení Realizačního týmu v případě, že k tomu má podstatný důvod; za tento důvod se považuje mj.:</w:t>
      </w:r>
    </w:p>
    <w:p>
      <w:pPr>
        <w:pStyle w:val="SML11"/>
        <w:numPr>
          <w:ilvl w:val="0"/>
          <w:numId w:val="7"/>
        </w:numPr>
        <w:ind w:left="1134"/>
        <w:rPr>
          <w:rFonts w:ascii="Arial" w:hAnsi="Arial"/>
        </w:rPr>
      </w:pPr>
      <w:r>
        <w:rPr>
          <w:rFonts w:ascii="Arial" w:hAnsi="Arial"/>
        </w:rPr>
        <w:t>neprokázání odborných požadavků na člena Realizačního týmu v rozsahu požadavků, jaké na tohoto člena klade tato Smlouva, resp. zadávací dokumentace k Veřejné zakázce (pokud Smlouva prokázání takové kvalifikace požaduje); prokázání pro tyto účely zajišťuje na vlastní náklady a odpovědnost Příkazník,</w:t>
      </w:r>
    </w:p>
    <w:p>
      <w:pPr>
        <w:pStyle w:val="i"/>
        <w:numPr>
          <w:ilvl w:val="0"/>
          <w:numId w:val="7"/>
        </w:numPr>
        <w:ind w:left="1134" w:hanging="425"/>
        <w:rPr>
          <w:rFonts w:ascii="Arial" w:hAnsi="Arial" w:cs="Arial"/>
          <w:sz w:val="22"/>
          <w:szCs w:val="22"/>
        </w:rPr>
      </w:pPr>
      <w:r>
        <w:rPr>
          <w:rFonts w:ascii="Arial" w:hAnsi="Arial" w:cs="Arial"/>
          <w:sz w:val="22"/>
          <w:szCs w:val="22"/>
        </w:rPr>
        <w:lastRenderedPageBreak/>
        <w:t>důvodná pochybnost Příkazce o řádném plnění Smlouvy Příkazníkem po změně v Realizačním týmu,</w:t>
      </w:r>
    </w:p>
    <w:p>
      <w:pPr>
        <w:pStyle w:val="SML11"/>
        <w:numPr>
          <w:ilvl w:val="0"/>
          <w:numId w:val="7"/>
        </w:numPr>
        <w:ind w:left="1134"/>
        <w:rPr>
          <w:rFonts w:ascii="Arial" w:hAnsi="Arial"/>
        </w:rPr>
      </w:pPr>
      <w:r>
        <w:rPr>
          <w:rFonts w:ascii="Arial" w:hAnsi="Arial"/>
        </w:rPr>
        <w:t>riziko zvýšení nákladů Příkazce či zvýšení administrativní zátěže pro Příkazce v případě navržené změny ve složení Realizačního týmu.</w:t>
      </w:r>
    </w:p>
    <w:p>
      <w:pPr>
        <w:pStyle w:val="SML11"/>
        <w:numPr>
          <w:ilvl w:val="0"/>
          <w:numId w:val="0"/>
        </w:numPr>
        <w:ind w:left="709"/>
        <w:rPr>
          <w:rFonts w:ascii="Arial" w:hAnsi="Arial"/>
        </w:rPr>
      </w:pPr>
      <w:r>
        <w:rPr>
          <w:rFonts w:ascii="Arial" w:hAnsi="Arial"/>
        </w:rPr>
        <w:t>Současně si Příkazce vyhrazuje právo požádat o výměnu člena Realizačního týmu pro závažné nebo jakékoliv opakované či trvající, byť i méně závažné pochybení při výkonu jím realizované činnosti. Pokud Příkazce oprávněně odmítne změnu v Realizačním týmu nebo oprávněně požádá o výměnu člena Realizačního týmu, není Příkazník oprávněn nadále plnit prostřednictvím osoby, která měla dle návrhu Příkazce nastoupit do pozice člena Realizačního týmu nebo o jejíž výměnu Příkazce požádal, své povinnosti dle této Smlouvy.</w:t>
      </w:r>
    </w:p>
    <w:p>
      <w:pPr>
        <w:pStyle w:val="SML111"/>
        <w:numPr>
          <w:ilvl w:val="0"/>
          <w:numId w:val="16"/>
        </w:numPr>
        <w:rPr>
          <w:rFonts w:ascii="Arial" w:hAnsi="Arial"/>
        </w:rPr>
      </w:pPr>
      <w:bookmarkStart w:id="22" w:name="_Ref7100057"/>
      <w:r>
        <w:rPr>
          <w:rFonts w:ascii="Arial" w:hAnsi="Arial"/>
        </w:rPr>
        <w:t>Pokud Příkazník v rámci Řízení veřejné zakázky prokazoval splnění kvalifikačních požadavků prostřednictvím konkrétních osob (dále též „</w:t>
      </w:r>
      <w:r>
        <w:rPr>
          <w:rFonts w:ascii="Arial" w:hAnsi="Arial"/>
          <w:b/>
          <w:bCs/>
        </w:rPr>
        <w:t>Kvalifikovaná osoba</w:t>
      </w:r>
      <w:r>
        <w:rPr>
          <w:rFonts w:ascii="Arial" w:hAnsi="Arial"/>
        </w:rPr>
        <w:t>“), zavazuje se zabezpečovat plnění předmětu této Smlouvy v rozsahu činností vymezených zadávací dokumentací k Veřejné zakázce a touto Smlouvou (dále též „</w:t>
      </w:r>
      <w:r>
        <w:rPr>
          <w:rFonts w:ascii="Arial" w:hAnsi="Arial"/>
          <w:b/>
          <w:bCs/>
        </w:rPr>
        <w:t>Kvalifikované činnosti</w:t>
      </w:r>
      <w:r>
        <w:rPr>
          <w:rFonts w:ascii="Arial" w:hAnsi="Arial"/>
        </w:rPr>
        <w:t>“) prostřednictvím příslušných Kvalifikovaných osob (pro vyloučení pochybností se deklaruje, že Kvalifikované osoby jsou členy Realizačního týmu). V případě změny Kvalifikované osoby musí osoba, která se má stát novou Kvalifikovanou osobou, splňovat příslušné požadavky na kvalifikaci této Kvalifikované osoby stanovené v zadávací dokumentaci k Veřejné zakázce, což je Příkazník povinen Příkazci doložit odpovídajícími dokumenty. Příkazník je povinen vyžádat si předchozí písemný souhlas Příkazce se změnou Kvalifikované osoby. Příkazce je oprávněn odmítnout udělit souhlas se změnou Kvalifikované osoby pouze v případě, má-li k tomu podstatný důvod; za takový důvod se považují obecné důvody pro odmítnutí změny v Realizačním týmu ze strany Příkazce dle této Smlouvy.</w:t>
      </w:r>
      <w:bookmarkEnd w:id="22"/>
    </w:p>
    <w:p>
      <w:pPr>
        <w:pStyle w:val="SML1"/>
        <w:spacing w:before="480" w:after="240"/>
        <w:ind w:left="0" w:firstLine="0"/>
        <w:rPr>
          <w:rFonts w:ascii="Arial" w:hAnsi="Arial"/>
          <w:caps/>
        </w:rPr>
      </w:pPr>
      <w:bookmarkStart w:id="23" w:name="_Toc7101155"/>
      <w:r>
        <w:rPr>
          <w:rFonts w:ascii="Arial" w:hAnsi="Arial"/>
          <w:caps/>
        </w:rPr>
        <w:t>Odpovědné osoby a komunikace mezi Smluvními stranami</w:t>
      </w:r>
      <w:bookmarkEnd w:id="23"/>
    </w:p>
    <w:p>
      <w:pPr>
        <w:pStyle w:val="SML111"/>
        <w:numPr>
          <w:ilvl w:val="0"/>
          <w:numId w:val="16"/>
        </w:numPr>
        <w:rPr>
          <w:rFonts w:ascii="Arial" w:hAnsi="Arial"/>
        </w:rPr>
      </w:pPr>
      <w:r>
        <w:rPr>
          <w:rFonts w:ascii="Arial" w:hAnsi="Arial"/>
        </w:rPr>
        <w:t>Každá ze Smluvních stran jmenuje v počáteční fázi plnění dle této Smlouvy odpovědné osoby, které budou vystupovat jako zástupci Smluvních stran (dále též „</w:t>
      </w:r>
      <w:r>
        <w:rPr>
          <w:rFonts w:ascii="Arial" w:hAnsi="Arial"/>
          <w:b/>
        </w:rPr>
        <w:t>Odpovědná osoba</w:t>
      </w:r>
      <w:r>
        <w:rPr>
          <w:rFonts w:ascii="Arial" w:hAnsi="Arial"/>
        </w:rPr>
        <w:t>“). Odpovědné osoby zastupují Smluvní stranu ve smluvních, obchodních a technických záležitostech souvisejících s plněním předmětu této Smlouvy, zejména podávají a přijímají informace o průběhu plnění této Smlouvy. Není-li mezi Smluvními stranami určeno jinak, jsou Odpovědné osoby ty osoby, které jsou uvedeny v záhlaví této Smlouvy jako osoby oprávněné zastupovat účastníka Smlouvy a osoby, které jsou zástupci ve věcech technických.</w:t>
      </w:r>
    </w:p>
    <w:p>
      <w:pPr>
        <w:pStyle w:val="SML111"/>
        <w:numPr>
          <w:ilvl w:val="0"/>
          <w:numId w:val="16"/>
        </w:numPr>
        <w:rPr>
          <w:rFonts w:ascii="Arial" w:hAnsi="Arial"/>
        </w:rPr>
      </w:pPr>
      <w:r>
        <w:rPr>
          <w:rFonts w:ascii="Arial" w:hAnsi="Arial"/>
        </w:rPr>
        <w:t>Smluvní strany se zavazují zajistit, že Odpovědné osoby budou oprávněny činit rozhodnutí závazná pro Smluvní strany ve vztahu ke Smlouvě v rámci své pravomoci. Odpovědné osoby, nejsou-li statutárními orgány nebo jinými osobami, jejichž pravomoc jednat vyplývá z veřejné evidence nebo rozhodnutí orgánu veřejné správy, však nejsou oprávněny provádět změny ani zrušení Smlouvy, nebude-li jim k tomu udělena plná moc.</w:t>
      </w:r>
    </w:p>
    <w:p>
      <w:pPr>
        <w:pStyle w:val="SML111"/>
        <w:numPr>
          <w:ilvl w:val="0"/>
          <w:numId w:val="16"/>
        </w:numPr>
        <w:rPr>
          <w:rFonts w:ascii="Arial" w:hAnsi="Arial"/>
        </w:rPr>
      </w:pPr>
      <w:r>
        <w:rPr>
          <w:rFonts w:ascii="Arial" w:hAnsi="Arial"/>
        </w:rPr>
        <w:t>Každá ze Smluvních stran má právo změnit jí jmenované Odpovědné osoby, musí však o každé změně vyrozumět písemně druhou Smluvní stranu. Změna Odpovědných osob je vůči druhé Straně účinná okamžikem, kdy o ní byla tato druhá Strana písemně vyrozuměna.</w:t>
      </w:r>
    </w:p>
    <w:p>
      <w:pPr>
        <w:pStyle w:val="SML111"/>
        <w:numPr>
          <w:ilvl w:val="0"/>
          <w:numId w:val="16"/>
        </w:numPr>
        <w:rPr>
          <w:rFonts w:ascii="Arial" w:hAnsi="Arial"/>
        </w:rPr>
      </w:pPr>
      <w:r>
        <w:rPr>
          <w:rFonts w:ascii="Arial" w:hAnsi="Arial"/>
        </w:rPr>
        <w:t xml:space="preserve">Není-li v této Smlouvě stanoven jiný zvláštní způsob komunikace, jakákoliv komunikace na základě této Smlouvy bude probíhat v souladu s tímto článkem Smlouvy. Kromě jiných způsobů komunikace dohodnutých mezi Smluvními stranami se za účinné považují osobní doručování, doručování doporučenou poštou, kurýrní službou či elektronickou poštou, a to na adresy Smluvních stran uvedené v záhlaví Smlouvy, nebo na takové adresy, které si Smluvní strany vzájemně písemně oznámí. Komunikace a právní jednání </w:t>
      </w:r>
      <w:r>
        <w:rPr>
          <w:rFonts w:ascii="Arial" w:hAnsi="Arial"/>
        </w:rPr>
        <w:lastRenderedPageBreak/>
        <w:t>prostřednictvím elektronické pošty na adresy Smluvních stran uvedené v záhlaví Smlouvy, nebo na takové adresy, které si Smluvní strany vzájemně písemně oznámí, se považují za komunikaci a právní jednání učiněná v písemné formě, a to i když nejsou elektronicky podepsány. Pro vyloučení pochybností Smluvní strany uvádějí, že toto ustanovení se nevztahuje na změny Smlouvy.</w:t>
      </w:r>
    </w:p>
    <w:p>
      <w:pPr>
        <w:pStyle w:val="SML111"/>
        <w:numPr>
          <w:ilvl w:val="0"/>
          <w:numId w:val="16"/>
        </w:numPr>
        <w:rPr>
          <w:rFonts w:ascii="Arial" w:hAnsi="Arial"/>
        </w:rPr>
      </w:pPr>
      <w:r>
        <w:rPr>
          <w:rFonts w:ascii="Arial" w:hAnsi="Arial"/>
        </w:rPr>
        <w:t>Zpráva adresovaná prostřednictvím elektronické pošty na elektronickou adresu uvedenou v záhlaví této Smlouvy (včetně adresy změněné oznámením Smluvní strany, které adresa náleží, druhé Smluvní straně) se považuje za doručenou v okamžiku, kdy se zpráva prostřednictvím elektronické pošty dostala do dispozice adresáta.</w:t>
      </w:r>
    </w:p>
    <w:p>
      <w:pPr>
        <w:pStyle w:val="SML111"/>
        <w:numPr>
          <w:ilvl w:val="0"/>
          <w:numId w:val="16"/>
        </w:numPr>
        <w:rPr>
          <w:rFonts w:ascii="Arial" w:hAnsi="Arial"/>
        </w:rPr>
      </w:pPr>
      <w:r>
        <w:rPr>
          <w:rFonts w:ascii="Arial" w:hAnsi="Arial"/>
        </w:rPr>
        <w:t>Strany se zavazují, že změny identifikačních nebo kontaktních údajů uvedených v záhlaví této Smlouvy nebo změny kontaktních údajů, které si sdělily dříve, písemně oznámí bez zbytečného odkladu druhé Smluvní straně. Změna identifikačních nebo kontaktních údajů je vůči druhé Smluvní straně účinná okamžikem doručení informace o této změně druhé Smluvní straně. Při změně identifikačních a kontaktních údajů některé ze Smluvních stran není nutné uzavírat ke Smlouvě dodatek. Změna identifikačních a kontaktních údajů dle tohoto odstavce neznamená změnu subjektu Smlouvy vyjma případu, kdy u jedné ze Smluvních stran dojde k přeměně subjektu v souladu s právním řádem.</w:t>
      </w:r>
    </w:p>
    <w:p>
      <w:pPr>
        <w:pStyle w:val="SML1"/>
        <w:spacing w:before="480" w:after="240"/>
        <w:ind w:left="0" w:firstLine="0"/>
        <w:rPr>
          <w:rFonts w:ascii="Arial" w:hAnsi="Arial"/>
          <w:caps/>
        </w:rPr>
      </w:pPr>
      <w:bookmarkStart w:id="24" w:name="_Toc7101156"/>
      <w:r>
        <w:rPr>
          <w:rFonts w:ascii="Arial" w:hAnsi="Arial"/>
          <w:caps/>
        </w:rPr>
        <w:t>Ochrana důvěrných informací</w:t>
      </w:r>
      <w:bookmarkEnd w:id="24"/>
    </w:p>
    <w:p>
      <w:pPr>
        <w:pStyle w:val="SML111"/>
        <w:numPr>
          <w:ilvl w:val="0"/>
          <w:numId w:val="16"/>
        </w:numPr>
        <w:rPr>
          <w:rFonts w:ascii="Arial" w:hAnsi="Arial"/>
        </w:rPr>
      </w:pPr>
      <w:r>
        <w:rPr>
          <w:rFonts w:ascii="Arial" w:hAnsi="Arial"/>
        </w:rPr>
        <w:t>Veškeré skutečnosti obchodního, know-how, technického, průmyslového, projektového, produkčního, distribučního, investičního, finančního, účetního, daňového, právního, smluvního, administrativního, marketingového, pracovně-právního, manažerského nebo strategického charakteru související s Příkazcem, které nejsou běžně dostupné v obchodních kruzích a se kterými se Příkazník (dále též v této souvislosti „</w:t>
      </w:r>
      <w:r>
        <w:rPr>
          <w:rFonts w:ascii="Arial" w:hAnsi="Arial"/>
          <w:b/>
        </w:rPr>
        <w:t>Příjemce informace</w:t>
      </w:r>
      <w:r>
        <w:rPr>
          <w:rFonts w:ascii="Arial" w:hAnsi="Arial"/>
        </w:rPr>
        <w:t>“) seznámí při sjednávání této Smlouvy nebo při realizaci předmětu této Smlouvy nebo v souvislosti s touto Smlouvou, se považují za důvěrné informace, bez ohledu na to, zda tyto skutečnosti tvoří předmět obchodního tajemství a bez ohledu na to, zda jsou jako Důvěrné informace výslovně označeny a bez ohledu na formu jejich zpřístupnění Příkazníkovi či jeho smluvním partnerům (dále jen „</w:t>
      </w:r>
      <w:r>
        <w:rPr>
          <w:rFonts w:ascii="Arial" w:hAnsi="Arial"/>
          <w:b/>
        </w:rPr>
        <w:t>Důvěrné informace</w:t>
      </w:r>
      <w:r>
        <w:rPr>
          <w:rFonts w:ascii="Arial" w:hAnsi="Arial"/>
        </w:rPr>
        <w:t>“).</w:t>
      </w:r>
    </w:p>
    <w:p>
      <w:pPr>
        <w:pStyle w:val="SML111"/>
        <w:numPr>
          <w:ilvl w:val="0"/>
          <w:numId w:val="16"/>
        </w:numPr>
        <w:rPr>
          <w:rFonts w:ascii="Arial" w:hAnsi="Arial"/>
        </w:rPr>
      </w:pPr>
      <w:r>
        <w:rPr>
          <w:rFonts w:ascii="Arial" w:hAnsi="Arial"/>
        </w:rPr>
        <w:t>Za Důvěrné informace se nepovažují informace:</w:t>
      </w:r>
    </w:p>
    <w:p>
      <w:pPr>
        <w:pStyle w:val="SML11"/>
        <w:numPr>
          <w:ilvl w:val="0"/>
          <w:numId w:val="4"/>
        </w:numPr>
        <w:ind w:left="1134" w:hanging="425"/>
        <w:rPr>
          <w:rFonts w:ascii="Arial" w:hAnsi="Arial"/>
        </w:rPr>
      </w:pPr>
      <w:r>
        <w:rPr>
          <w:rFonts w:ascii="Arial" w:hAnsi="Arial"/>
        </w:rPr>
        <w:t>jež byly nade všechny pochybnosti Příjemci informace známé ještě před jejich zpřístupněním Příjemci informace účastníkem této Smlouvy, kterého se Důvěrná informace týká,</w:t>
      </w:r>
    </w:p>
    <w:p>
      <w:pPr>
        <w:pStyle w:val="Styl3"/>
        <w:numPr>
          <w:ilvl w:val="0"/>
          <w:numId w:val="4"/>
        </w:numPr>
        <w:ind w:left="1134" w:hanging="425"/>
        <w:rPr>
          <w:rFonts w:ascii="Arial" w:hAnsi="Arial"/>
          <w:sz w:val="22"/>
          <w:szCs w:val="22"/>
        </w:rPr>
      </w:pPr>
      <w:bookmarkStart w:id="25" w:name="_Toc7101157"/>
      <w:r>
        <w:rPr>
          <w:rFonts w:ascii="Arial" w:hAnsi="Arial"/>
          <w:sz w:val="22"/>
          <w:szCs w:val="22"/>
        </w:rPr>
        <w:t>jež byly nebo jsou nade všechny pochybnosti veřejně známé před tím, než byly poskytnuty Příjemci informace v souladu s touto Smlouvou a Příjemce uveřejnění takové informace nezpůsobil či jakkoliv, byť i nepřímo nezapříčinil,</w:t>
      </w:r>
      <w:bookmarkEnd w:id="25"/>
    </w:p>
    <w:p>
      <w:pPr>
        <w:pStyle w:val="Styl3"/>
        <w:numPr>
          <w:ilvl w:val="0"/>
          <w:numId w:val="4"/>
        </w:numPr>
        <w:ind w:left="1134" w:hanging="425"/>
        <w:rPr>
          <w:rFonts w:ascii="Arial" w:hAnsi="Arial"/>
          <w:sz w:val="22"/>
          <w:szCs w:val="22"/>
        </w:rPr>
      </w:pPr>
      <w:bookmarkStart w:id="26" w:name="_Toc7101158"/>
      <w:r>
        <w:rPr>
          <w:rFonts w:ascii="Arial" w:hAnsi="Arial"/>
          <w:sz w:val="22"/>
          <w:szCs w:val="22"/>
        </w:rPr>
        <w:t>jež zveřejnil Příkazce nebo organizace, která vykonává pro Příkazce činnost,</w:t>
      </w:r>
      <w:bookmarkEnd w:id="26"/>
    </w:p>
    <w:p>
      <w:pPr>
        <w:pStyle w:val="Styl3"/>
        <w:numPr>
          <w:ilvl w:val="0"/>
          <w:numId w:val="4"/>
        </w:numPr>
        <w:ind w:left="1134" w:hanging="425"/>
        <w:rPr>
          <w:rFonts w:ascii="Arial" w:hAnsi="Arial"/>
          <w:sz w:val="22"/>
          <w:szCs w:val="22"/>
        </w:rPr>
      </w:pPr>
      <w:bookmarkStart w:id="27" w:name="_Toc7101159"/>
      <w:r>
        <w:rPr>
          <w:rFonts w:ascii="Arial" w:hAnsi="Arial"/>
          <w:sz w:val="22"/>
          <w:szCs w:val="22"/>
        </w:rPr>
        <w:t>které byly označeny výslovně oprávněnou osobou na straně Příkazce jako nedůvěrné,</w:t>
      </w:r>
      <w:bookmarkEnd w:id="27"/>
    </w:p>
    <w:p>
      <w:pPr>
        <w:pStyle w:val="SML11"/>
        <w:numPr>
          <w:ilvl w:val="0"/>
          <w:numId w:val="4"/>
        </w:numPr>
        <w:ind w:left="1134" w:hanging="425"/>
        <w:rPr>
          <w:rFonts w:ascii="Arial" w:hAnsi="Arial"/>
        </w:rPr>
      </w:pPr>
      <w:r>
        <w:rPr>
          <w:rFonts w:ascii="Arial" w:hAnsi="Arial"/>
        </w:rPr>
        <w:t>které jsou výsledkem postupu, při kterém k nim Příjemce informace dospěje nezávisle na Příkazci, a tuto skutečnost Příjemce informace prokáže.</w:t>
      </w:r>
    </w:p>
    <w:p>
      <w:pPr>
        <w:pStyle w:val="SML111"/>
        <w:numPr>
          <w:ilvl w:val="0"/>
          <w:numId w:val="16"/>
        </w:numPr>
        <w:rPr>
          <w:rFonts w:ascii="Arial" w:hAnsi="Arial"/>
        </w:rPr>
      </w:pPr>
      <w:r>
        <w:rPr>
          <w:rFonts w:ascii="Arial" w:hAnsi="Arial"/>
        </w:rPr>
        <w:t>Příjemce informace je povinen s Důvěrnými informacemi nakládat tak, aby nedošlo k jejich úniku či zneužití. Příjemce informace vyvine největší možné úsilí, jaké po něm lze rozumně požadovat, k zachování důvěrnosti Důvěrných informací a ochraně Důvěrných informaci proti jakémukoli zpřístupnění třetí osobě, jež by bylo v rozporu s touto Smlouvou. Příjemce informace se zavazuje zabezpečit, aby všechny osoby, prostřednictvím kterých plní závazky z této Smlouvy, byly k ochraně Důvěrných informací zavázány vůči němu přiměřeně k tomu, jako je on sám zavázán vůči Příkazci a splnění této povinnosti je na žádost Příkazce povinen prokázat.</w:t>
      </w:r>
    </w:p>
    <w:p>
      <w:pPr>
        <w:pStyle w:val="SML111"/>
        <w:numPr>
          <w:ilvl w:val="0"/>
          <w:numId w:val="16"/>
        </w:numPr>
        <w:rPr>
          <w:rFonts w:ascii="Arial" w:hAnsi="Arial"/>
        </w:rPr>
      </w:pPr>
      <w:r>
        <w:rPr>
          <w:rFonts w:ascii="Arial" w:hAnsi="Arial"/>
        </w:rPr>
        <w:lastRenderedPageBreak/>
        <w:t>Příjemce informace se zavazuje, že:</w:t>
      </w:r>
    </w:p>
    <w:p>
      <w:pPr>
        <w:pStyle w:val="SML111"/>
        <w:numPr>
          <w:ilvl w:val="1"/>
          <w:numId w:val="16"/>
        </w:numPr>
        <w:rPr>
          <w:rFonts w:ascii="Arial" w:hAnsi="Arial"/>
        </w:rPr>
      </w:pPr>
      <w:r>
        <w:rPr>
          <w:rFonts w:ascii="Arial" w:hAnsi="Arial"/>
        </w:rPr>
        <w:t>použije všechny Důvěrné informace výhradně pro účely předpokládané touto Smlouvou, a nikoliv pro účely jiné,</w:t>
      </w:r>
    </w:p>
    <w:p>
      <w:pPr>
        <w:pStyle w:val="SML111"/>
        <w:numPr>
          <w:ilvl w:val="1"/>
          <w:numId w:val="16"/>
        </w:numPr>
        <w:rPr>
          <w:rFonts w:ascii="Arial" w:hAnsi="Arial"/>
        </w:rPr>
      </w:pPr>
      <w:r>
        <w:rPr>
          <w:rFonts w:ascii="Arial" w:hAnsi="Arial"/>
        </w:rPr>
        <w:t xml:space="preserve">Důvěrné informace jiným subjektům nesdělí, nezpřístupní, ani nevyužije pro sebe nebo pro jinou osobu, není-li takové nakládání realizací práv a povinností dle této Smlouvy (například zpřístupnění Důvěrných informací v nezbytném rozsahu svým zaměstnancům nebo poddodavatelům, kteří jsou pověřeni </w:t>
      </w:r>
      <w:bookmarkStart w:id="28" w:name="page32"/>
      <w:bookmarkEnd w:id="28"/>
      <w:r>
        <w:rPr>
          <w:rFonts w:ascii="Arial" w:hAnsi="Arial"/>
        </w:rPr>
        <w:t>plněním této Smlouvy a za tímto účelem jsou oprávněni se s těmito informacemi v nezbytném rozsahu seznámit);</w:t>
      </w:r>
    </w:p>
    <w:p>
      <w:pPr>
        <w:pStyle w:val="SML111"/>
        <w:numPr>
          <w:ilvl w:val="1"/>
          <w:numId w:val="16"/>
        </w:numPr>
        <w:rPr>
          <w:rFonts w:ascii="Arial" w:hAnsi="Arial"/>
        </w:rPr>
      </w:pPr>
      <w:r>
        <w:rPr>
          <w:rFonts w:ascii="Arial" w:hAnsi="Arial"/>
        </w:rPr>
        <w:t>nepoužije žádnou Důvěrnou informaci pro vlastní ekonomický či jiný prospěch nebo pro jakýkoli prospěch jakékoli třetí osoby s výjimkou použití Důvěrných informací pro realizaci účelu této Smlouvy.</w:t>
      </w:r>
    </w:p>
    <w:p>
      <w:pPr>
        <w:pStyle w:val="SML111"/>
        <w:numPr>
          <w:ilvl w:val="0"/>
          <w:numId w:val="16"/>
        </w:numPr>
        <w:rPr>
          <w:rFonts w:ascii="Arial" w:hAnsi="Arial"/>
        </w:rPr>
      </w:pPr>
      <w:r>
        <w:rPr>
          <w:rFonts w:ascii="Arial" w:hAnsi="Arial"/>
        </w:rPr>
        <w:t>Povinnost plnit ustanovení tohoto článku Smlouvy se nevztahuje na jinak Důvěrné informace, které:</w:t>
      </w:r>
    </w:p>
    <w:p>
      <w:pPr>
        <w:pStyle w:val="SML111"/>
        <w:numPr>
          <w:ilvl w:val="0"/>
          <w:numId w:val="5"/>
        </w:numPr>
        <w:ind w:left="1134" w:hanging="414"/>
        <w:rPr>
          <w:rFonts w:ascii="Arial" w:hAnsi="Arial"/>
        </w:rPr>
      </w:pPr>
      <w:r>
        <w:rPr>
          <w:rFonts w:ascii="Arial" w:hAnsi="Arial"/>
        </w:rPr>
        <w:t>byly písemným souhlasem obou Smluvních stran zproštěny těchto omezení,</w:t>
      </w:r>
    </w:p>
    <w:p>
      <w:pPr>
        <w:pStyle w:val="Styl3"/>
        <w:numPr>
          <w:ilvl w:val="0"/>
          <w:numId w:val="5"/>
        </w:numPr>
        <w:ind w:left="1134" w:hanging="414"/>
        <w:rPr>
          <w:rFonts w:ascii="Arial" w:hAnsi="Arial"/>
          <w:sz w:val="22"/>
          <w:szCs w:val="22"/>
        </w:rPr>
      </w:pPr>
      <w:bookmarkStart w:id="29" w:name="_Toc7101160"/>
      <w:r>
        <w:rPr>
          <w:rFonts w:ascii="Arial" w:hAnsi="Arial"/>
          <w:sz w:val="22"/>
          <w:szCs w:val="22"/>
        </w:rPr>
        <w:t>dodatečně se staly bez porušení povinnosti Příjemce informace informací, kterou nelze nadále považovat za Důvěrnou informaci;</w:t>
      </w:r>
      <w:bookmarkEnd w:id="29"/>
    </w:p>
    <w:p>
      <w:pPr>
        <w:pStyle w:val="SML111"/>
        <w:numPr>
          <w:ilvl w:val="0"/>
          <w:numId w:val="5"/>
        </w:numPr>
        <w:ind w:left="1134" w:hanging="414"/>
        <w:rPr>
          <w:rFonts w:ascii="Arial" w:hAnsi="Arial"/>
        </w:rPr>
      </w:pPr>
      <w:r>
        <w:rPr>
          <w:rFonts w:ascii="Arial" w:hAnsi="Arial"/>
        </w:rPr>
        <w:t>jsou vyžádány soudem, státním zastupitelstvím nebo jiným orgánem veřejné moci na základě zákona, popřípadě je jejich uveřejnění stanoveno zákonem (o takovém vyžádání, včetně jeho obsahu a důvodu, je Příkazník povinen Příkazce před sdělením Důvěrné informace bezodkladně písemně informovat);</w:t>
      </w:r>
    </w:p>
    <w:p>
      <w:pPr>
        <w:pStyle w:val="SML111"/>
        <w:numPr>
          <w:ilvl w:val="0"/>
          <w:numId w:val="5"/>
        </w:numPr>
        <w:ind w:left="1134" w:hanging="414"/>
        <w:rPr>
          <w:rFonts w:ascii="Arial" w:hAnsi="Arial"/>
        </w:rPr>
      </w:pPr>
      <w:r>
        <w:rPr>
          <w:rFonts w:ascii="Arial" w:hAnsi="Arial"/>
        </w:rPr>
        <w:t>Příjemce informace sdělí osobě či organizaci vázané zákonnou povinností mlčenlivosti (např. advokátovi, daňovému poradci, soudu) za účelem uplatňování svých práv.</w:t>
      </w:r>
    </w:p>
    <w:p>
      <w:pPr>
        <w:pStyle w:val="SML111"/>
        <w:numPr>
          <w:ilvl w:val="0"/>
          <w:numId w:val="16"/>
        </w:numPr>
        <w:rPr>
          <w:rFonts w:ascii="Arial" w:hAnsi="Arial"/>
        </w:rPr>
      </w:pPr>
      <w:r>
        <w:rPr>
          <w:rFonts w:ascii="Arial" w:hAnsi="Arial"/>
        </w:rPr>
        <w:t>Povinnosti týkající se Důvěrných informací trvají bez ohledu na ukončení platnosti této Smlouvy.</w:t>
      </w:r>
    </w:p>
    <w:p>
      <w:pPr>
        <w:pStyle w:val="SML1"/>
        <w:spacing w:before="480" w:after="240"/>
        <w:ind w:left="0" w:firstLine="0"/>
        <w:rPr>
          <w:rFonts w:ascii="Arial" w:hAnsi="Arial"/>
          <w:caps/>
        </w:rPr>
      </w:pPr>
      <w:r>
        <w:rPr>
          <w:rFonts w:ascii="Arial" w:hAnsi="Arial"/>
          <w:caps/>
        </w:rPr>
        <w:t>Sankční ujednání</w:t>
      </w:r>
    </w:p>
    <w:p>
      <w:pPr>
        <w:pStyle w:val="SML111"/>
        <w:numPr>
          <w:ilvl w:val="0"/>
          <w:numId w:val="16"/>
        </w:numPr>
        <w:rPr>
          <w:rFonts w:ascii="Arial" w:hAnsi="Arial"/>
        </w:rPr>
      </w:pPr>
      <w:r>
        <w:rPr>
          <w:rFonts w:ascii="Arial" w:hAnsi="Arial"/>
        </w:rPr>
        <w:t>Každá ze Smluvních stran nese odpovědnost za prodlení, za vady a způsobenou škodu plynoucí z porušení povinnosti vyplývající z této Smlouvy. Tím není dotčena odpovědnost Smluvní strany v ostatních případech, ve kterých právní řád s určitou právní skutečností odpovědnost této Smluvní strany spojuje.</w:t>
      </w:r>
    </w:p>
    <w:p>
      <w:pPr>
        <w:pStyle w:val="SML111"/>
        <w:numPr>
          <w:ilvl w:val="0"/>
          <w:numId w:val="16"/>
        </w:numPr>
        <w:rPr>
          <w:rFonts w:ascii="Arial" w:hAnsi="Arial"/>
        </w:rPr>
      </w:pPr>
      <w:r>
        <w:rPr>
          <w:rFonts w:ascii="Arial" w:hAnsi="Arial"/>
        </w:rPr>
        <w:t>Obě Smluvní strany se zavazují k vyvinutí maximálního úsilí k předcházení škod a k minimalizaci vzniklých škod. Každá ze Smluvních stran se zavazuje upozornit vždy druhou Smluvní stranu bez zbytečného odkladu na vzniklé okolnosti bránící řádnému plnění této Smlouvy a zavazují se k maximálnímu úsilí k jejich odvrácení a překonání.</w:t>
      </w:r>
    </w:p>
    <w:p>
      <w:pPr>
        <w:pStyle w:val="SML111"/>
        <w:numPr>
          <w:ilvl w:val="0"/>
          <w:numId w:val="16"/>
        </w:numPr>
        <w:rPr>
          <w:rFonts w:ascii="Arial" w:hAnsi="Arial"/>
        </w:rPr>
      </w:pPr>
      <w:r>
        <w:rPr>
          <w:rFonts w:ascii="Arial" w:hAnsi="Arial"/>
        </w:rPr>
        <w:t>V případě prodlení Příkazce s úhradou oprávněně ve vztahu k jeho osobě vystavené faktury proti sjednanému termínu je Příkazník oprávněn účtovat Příkazci zákonný úrok z prodlení ve výši dle právních předpisů z částky v Kč bez DPH, s jejíž úhradou je Příkazce v prodlení, a to za každý i započatý den prodlení až do doby zaplacení dlužné částky.</w:t>
      </w:r>
    </w:p>
    <w:p>
      <w:pPr>
        <w:pStyle w:val="SML111"/>
        <w:numPr>
          <w:ilvl w:val="0"/>
          <w:numId w:val="16"/>
        </w:numPr>
        <w:rPr>
          <w:rFonts w:ascii="Arial" w:hAnsi="Arial"/>
        </w:rPr>
      </w:pPr>
      <w:r>
        <w:rPr>
          <w:rFonts w:ascii="Arial" w:hAnsi="Arial"/>
        </w:rPr>
        <w:t xml:space="preserve">V případě porušení jakékoli povinností při výkonu TDS/Koordinátora BOZP uvedené v čl. </w:t>
      </w:r>
      <w:r>
        <w:rPr>
          <w:rFonts w:ascii="Arial" w:hAnsi="Arial"/>
        </w:rPr>
        <w:fldChar w:fldCharType="begin"/>
      </w:r>
      <w:r>
        <w:rPr>
          <w:rFonts w:ascii="Arial" w:hAnsi="Arial"/>
        </w:rPr>
        <w:instrText xml:space="preserve"> REF _Ref126768509 \r \h  \* MERGEFORMAT </w:instrText>
      </w:r>
      <w:r>
        <w:rPr>
          <w:rFonts w:ascii="Arial" w:hAnsi="Arial"/>
        </w:rPr>
      </w:r>
      <w:r>
        <w:rPr>
          <w:rFonts w:ascii="Arial" w:hAnsi="Arial"/>
        </w:rPr>
        <w:fldChar w:fldCharType="separate"/>
      </w:r>
      <w:r>
        <w:rPr>
          <w:rFonts w:ascii="Arial" w:hAnsi="Arial"/>
        </w:rPr>
        <w:t xml:space="preserve">II. </w:t>
      </w:r>
      <w:r>
        <w:rPr>
          <w:rFonts w:ascii="Arial" w:hAnsi="Arial"/>
        </w:rPr>
        <w:fldChar w:fldCharType="end"/>
      </w:r>
      <w:r>
        <w:rPr>
          <w:rFonts w:ascii="Arial" w:hAnsi="Arial"/>
        </w:rPr>
        <w:t>. Smlouvy, pokud pro porušení takové povinnosti neupravuje Smlouva zvláštní smluvní pokutu, je Příkazník povinen zaplatit Příkazci smluvní pokutu ve výši 10.000 Kč za každý jednotlivý případ porušení povinnosti Příkazníkem, a to i opakovaně.</w:t>
      </w:r>
    </w:p>
    <w:p>
      <w:pPr>
        <w:pStyle w:val="SML111"/>
        <w:numPr>
          <w:ilvl w:val="0"/>
          <w:numId w:val="16"/>
        </w:numPr>
        <w:rPr>
          <w:rFonts w:ascii="Arial" w:hAnsi="Arial"/>
        </w:rPr>
      </w:pPr>
      <w:r>
        <w:rPr>
          <w:rFonts w:ascii="Arial" w:hAnsi="Arial"/>
        </w:rPr>
        <w:t xml:space="preserve">V případě porušení jakékoliv povinnosti Příkazníkem ohledně ochrany Důvěrných informací </w:t>
      </w:r>
      <w:bookmarkStart w:id="30" w:name="page30"/>
      <w:bookmarkEnd w:id="30"/>
      <w:r>
        <w:rPr>
          <w:rFonts w:ascii="Arial" w:hAnsi="Arial"/>
        </w:rPr>
        <w:t>je Příkazník povinen zaplatit Příkazci smluvní pokutu ve výši 50.000 Kč za každý jednotlivý případ porušení této povinnosti.</w:t>
      </w:r>
    </w:p>
    <w:p>
      <w:pPr>
        <w:pStyle w:val="SML111"/>
        <w:numPr>
          <w:ilvl w:val="0"/>
          <w:numId w:val="16"/>
        </w:numPr>
        <w:rPr>
          <w:rFonts w:ascii="Arial" w:hAnsi="Arial"/>
        </w:rPr>
      </w:pPr>
      <w:r>
        <w:rPr>
          <w:rFonts w:ascii="Arial" w:hAnsi="Arial"/>
        </w:rPr>
        <w:lastRenderedPageBreak/>
        <w:t>V případě porušení povinnosti Příkazníka do patnácti dnů na žádost Příkazce předložit příslušnou pojistnou smlouvu nebo doklad vystavený pojišťovnou (k doložení splnění povinnosti mít sjednáno Pojištění odpovědnosti) se Příkazník zavazuje zaplatit Příkazci smluvní pokutu ve výši 0,3 % ze stanovené výše pojistného za každý započatý den prodlení.</w:t>
      </w:r>
    </w:p>
    <w:p>
      <w:pPr>
        <w:pStyle w:val="SML111"/>
        <w:numPr>
          <w:ilvl w:val="0"/>
          <w:numId w:val="16"/>
        </w:numPr>
        <w:rPr>
          <w:rFonts w:ascii="Arial" w:hAnsi="Arial"/>
        </w:rPr>
      </w:pPr>
      <w:r>
        <w:rPr>
          <w:rFonts w:ascii="Arial" w:hAnsi="Arial"/>
        </w:rPr>
        <w:t xml:space="preserve">V případě porušení povinností Příkazníka dle odst. </w:t>
      </w:r>
      <w:r>
        <w:rPr>
          <w:rFonts w:ascii="Arial" w:hAnsi="Arial"/>
        </w:rPr>
        <w:fldChar w:fldCharType="begin"/>
      </w:r>
      <w:r>
        <w:rPr>
          <w:rFonts w:ascii="Arial" w:hAnsi="Arial"/>
        </w:rPr>
        <w:instrText xml:space="preserve"> REF _Ref7095746 \r \h  \* MERGEFORMAT </w:instrText>
      </w:r>
      <w:r>
        <w:rPr>
          <w:rFonts w:ascii="Arial" w:hAnsi="Arial"/>
        </w:rPr>
      </w:r>
      <w:r>
        <w:rPr>
          <w:rFonts w:ascii="Arial" w:hAnsi="Arial"/>
        </w:rPr>
        <w:fldChar w:fldCharType="separate"/>
      </w:r>
      <w:r>
        <w:rPr>
          <w:rFonts w:ascii="Arial" w:hAnsi="Arial"/>
        </w:rPr>
        <w:t>95</w:t>
      </w:r>
      <w:r>
        <w:rPr>
          <w:rFonts w:ascii="Arial" w:hAnsi="Arial"/>
        </w:rPr>
        <w:fldChar w:fldCharType="end"/>
      </w:r>
      <w:r>
        <w:rPr>
          <w:rFonts w:ascii="Arial" w:hAnsi="Arial"/>
        </w:rPr>
        <w:t xml:space="preserve"> této Smlouvy je Příkazník povinen zaplatit Příkazci smluvní pokutu ve výši 50.000 Kč za každý jednotlivý případ porušení těchto povinností.</w:t>
      </w:r>
    </w:p>
    <w:p>
      <w:pPr>
        <w:pStyle w:val="SML111"/>
        <w:numPr>
          <w:ilvl w:val="0"/>
          <w:numId w:val="16"/>
        </w:numPr>
        <w:rPr>
          <w:rFonts w:ascii="Arial" w:hAnsi="Arial"/>
        </w:rPr>
      </w:pPr>
      <w:r>
        <w:rPr>
          <w:rFonts w:ascii="Arial" w:hAnsi="Arial"/>
        </w:rPr>
        <w:t xml:space="preserve">V případě porušení povinností Příkazníka dle odst. </w:t>
      </w:r>
      <w:r>
        <w:rPr>
          <w:rFonts w:ascii="Arial" w:hAnsi="Arial"/>
        </w:rPr>
        <w:fldChar w:fldCharType="begin"/>
      </w:r>
      <w:r>
        <w:rPr>
          <w:rFonts w:ascii="Arial" w:hAnsi="Arial"/>
        </w:rPr>
        <w:instrText xml:space="preserve"> REF _Ref141359534 \r \h  \* MERGEFORMAT </w:instrText>
      </w:r>
      <w:r>
        <w:rPr>
          <w:rFonts w:ascii="Arial" w:hAnsi="Arial"/>
        </w:rPr>
      </w:r>
      <w:r>
        <w:rPr>
          <w:rFonts w:ascii="Arial" w:hAnsi="Arial"/>
        </w:rPr>
        <w:fldChar w:fldCharType="separate"/>
      </w:r>
      <w:r>
        <w:rPr>
          <w:rFonts w:ascii="Arial" w:hAnsi="Arial"/>
        </w:rPr>
        <w:t>87</w:t>
      </w:r>
      <w:r>
        <w:rPr>
          <w:rFonts w:ascii="Arial" w:hAnsi="Arial"/>
        </w:rPr>
        <w:fldChar w:fldCharType="end"/>
      </w:r>
      <w:r>
        <w:rPr>
          <w:rFonts w:ascii="Arial" w:hAnsi="Arial"/>
        </w:rPr>
        <w:t xml:space="preserve"> této Smlouvy je Příkazník povinen zaplatit Příkazci smluvní pokutu ve výši 50.000 Kč za každý jednotlivý případ porušení těchto povinností.</w:t>
      </w:r>
    </w:p>
    <w:p>
      <w:pPr>
        <w:pStyle w:val="SML111"/>
        <w:numPr>
          <w:ilvl w:val="0"/>
          <w:numId w:val="16"/>
        </w:numPr>
        <w:rPr>
          <w:rFonts w:ascii="Arial" w:hAnsi="Arial"/>
        </w:rPr>
      </w:pPr>
      <w:r>
        <w:rPr>
          <w:rFonts w:ascii="Arial" w:hAnsi="Arial"/>
        </w:rPr>
        <w:t xml:space="preserve">V Případě porušení povinností Příkazníka dle odst. </w:t>
      </w:r>
      <w:r>
        <w:rPr>
          <w:rFonts w:ascii="Arial" w:hAnsi="Arial"/>
        </w:rPr>
        <w:fldChar w:fldCharType="begin"/>
      </w:r>
      <w:r>
        <w:rPr>
          <w:rFonts w:ascii="Arial" w:hAnsi="Arial"/>
        </w:rPr>
        <w:instrText xml:space="preserve"> REF _Ref149892512 \r \h  \* MERGEFORMAT </w:instrText>
      </w:r>
      <w:r>
        <w:rPr>
          <w:rFonts w:ascii="Arial" w:hAnsi="Arial"/>
        </w:rPr>
      </w:r>
      <w:r>
        <w:rPr>
          <w:rFonts w:ascii="Arial" w:hAnsi="Arial"/>
        </w:rPr>
        <w:fldChar w:fldCharType="separate"/>
      </w:r>
      <w:r>
        <w:rPr>
          <w:rFonts w:ascii="Arial" w:hAnsi="Arial"/>
        </w:rPr>
        <w:t>18</w:t>
      </w:r>
      <w:r>
        <w:rPr>
          <w:rFonts w:ascii="Arial" w:hAnsi="Arial"/>
        </w:rPr>
        <w:fldChar w:fldCharType="end"/>
      </w:r>
      <w:r>
        <w:rPr>
          <w:rFonts w:ascii="Arial" w:hAnsi="Arial"/>
        </w:rPr>
        <w:t xml:space="preserve"> této Smlouvy je Příkazník povinen zaplatit Smluvní pokutu ve výši 50.000 Kč za každý jednotlivý případ porušení těchto povinností.</w:t>
      </w:r>
    </w:p>
    <w:p>
      <w:pPr>
        <w:pStyle w:val="SML111"/>
        <w:numPr>
          <w:ilvl w:val="0"/>
          <w:numId w:val="16"/>
        </w:numPr>
        <w:rPr>
          <w:rFonts w:ascii="Arial" w:hAnsi="Arial"/>
        </w:rPr>
      </w:pPr>
      <w:r>
        <w:rPr>
          <w:rFonts w:ascii="Arial" w:hAnsi="Arial"/>
        </w:rPr>
        <w:t>V případě porušení povinnosti Příkazníka zdržet se plnění této Smlouvy prostřednictvím osoby, která není Kvalifikovanou osobou, se Příkazník zavazuje zaplatit Příkazci Smluvní pokutu ve výši 50.000 Kč za každý případ porušení této povinnosti.</w:t>
      </w:r>
    </w:p>
    <w:p>
      <w:pPr>
        <w:pStyle w:val="SML111"/>
        <w:numPr>
          <w:ilvl w:val="0"/>
          <w:numId w:val="16"/>
        </w:numPr>
        <w:rPr>
          <w:rFonts w:ascii="Arial" w:hAnsi="Arial"/>
        </w:rPr>
      </w:pPr>
      <w:r>
        <w:rPr>
          <w:rFonts w:ascii="Arial" w:hAnsi="Arial"/>
        </w:rPr>
        <w:t>V případě porušení jakékoliv smluvní povinnosti Příkazníka, za jejíž porušení není ve Smlouvě stanovena specifická smluvní pokuta, pokud tuto smluvní povinnost Příkazník nesplní ani v dodatečné přiměřené lhůtě poskytnuté Příkazcem (nevylučuje-li to charakter porušené povinnosti), uhradí Příkazník Příkazci smluvní pokutu ve výši 10.000 Kč za každý jednotlivý případ porušení takové povinnosti; v pochybnostech se má za to, že dodatečná lhůta je přiměřená, pokud činila alespoň 5 pracovních dnů.</w:t>
      </w:r>
    </w:p>
    <w:p>
      <w:pPr>
        <w:pStyle w:val="SML111"/>
        <w:numPr>
          <w:ilvl w:val="0"/>
          <w:numId w:val="16"/>
        </w:numPr>
        <w:rPr>
          <w:rFonts w:ascii="Arial" w:hAnsi="Arial"/>
        </w:rPr>
      </w:pPr>
      <w:r>
        <w:rPr>
          <w:rFonts w:ascii="Arial" w:hAnsi="Arial"/>
        </w:rPr>
        <w:t xml:space="preserve">Vznikem práva na zaplacení smluvní pokuty </w:t>
      </w:r>
      <w:proofErr w:type="gramStart"/>
      <w:r>
        <w:rPr>
          <w:rFonts w:ascii="Arial" w:hAnsi="Arial"/>
        </w:rPr>
        <w:t>není</w:t>
      </w:r>
      <w:proofErr w:type="gramEnd"/>
      <w:r>
        <w:rPr>
          <w:rFonts w:ascii="Arial" w:hAnsi="Arial"/>
        </w:rPr>
        <w:t xml:space="preserve"> jakkoliv dotčeno právo oprávněné Smluvní strany na náhradu škody v plné výši či náhradu jiné újmy; Smluvní strany ujednávají, že Smluvní strana, které vznikla újma v důsledku porušení povinnosti druhé Smluvní strany, má právo na náhradu této újmy v plném rozsahu, jako kdyby utvrzení této povinnosti smluvní pokutou nebylo sjednáno, a to včetně újmy nemajetkové. Vznikem práva na zaplacení smluvní pokuty není dotčena povinnost splnit dluh, jehož utvrzení prostřednictvím smluvní pokuty je sjednáno.</w:t>
      </w:r>
    </w:p>
    <w:p>
      <w:pPr>
        <w:pStyle w:val="SML111"/>
        <w:numPr>
          <w:ilvl w:val="0"/>
          <w:numId w:val="16"/>
        </w:numPr>
        <w:rPr>
          <w:rFonts w:ascii="Arial" w:hAnsi="Arial"/>
        </w:rPr>
      </w:pPr>
      <w:r>
        <w:rPr>
          <w:rFonts w:ascii="Arial" w:hAnsi="Arial"/>
        </w:rPr>
        <w:t>Úroky z prodlení jsou splatné 14. dne od doručení písemné výzvy Příkazníka k zaplacení úroků Příkazce, která obsahuje Příkazníkem vyúčtované úroky včetně způsobu jejich výpočtu.</w:t>
      </w:r>
    </w:p>
    <w:p>
      <w:pPr>
        <w:pStyle w:val="SML111"/>
        <w:numPr>
          <w:ilvl w:val="0"/>
          <w:numId w:val="16"/>
        </w:numPr>
        <w:rPr>
          <w:rFonts w:ascii="Arial" w:hAnsi="Arial"/>
        </w:rPr>
      </w:pPr>
      <w:r>
        <w:rPr>
          <w:rFonts w:ascii="Arial" w:hAnsi="Arial"/>
        </w:rPr>
        <w:t>Smluvní pokuty jsou splatné 14. dne ode dne doručení vyúčtování smluvní pokuty Příkazníkovi. Vyúčtování smluvní pokuty dle předchozí věty obsahuje identifikaci povinnosti, jejíž splnění smluvní pokuta utvrzuje, a označení, jak k porušení této povinnosti Příkazníkem došlo.</w:t>
      </w:r>
    </w:p>
    <w:p>
      <w:pPr>
        <w:pStyle w:val="SML1"/>
        <w:spacing w:before="480" w:after="240"/>
        <w:ind w:left="0" w:firstLine="0"/>
        <w:rPr>
          <w:rFonts w:ascii="Arial" w:hAnsi="Arial"/>
          <w:caps/>
        </w:rPr>
      </w:pPr>
      <w:bookmarkStart w:id="31" w:name="_Toc7101162"/>
      <w:r>
        <w:rPr>
          <w:rFonts w:ascii="Arial" w:hAnsi="Arial"/>
          <w:caps/>
        </w:rPr>
        <w:t>Ukončení závazku ze Smlouvy</w:t>
      </w:r>
      <w:bookmarkEnd w:id="31"/>
    </w:p>
    <w:p>
      <w:pPr>
        <w:pStyle w:val="SML111"/>
        <w:numPr>
          <w:ilvl w:val="0"/>
          <w:numId w:val="16"/>
        </w:numPr>
        <w:rPr>
          <w:rFonts w:ascii="Arial" w:hAnsi="Arial"/>
        </w:rPr>
      </w:pPr>
      <w:r>
        <w:rPr>
          <w:rFonts w:ascii="Arial" w:hAnsi="Arial"/>
        </w:rPr>
        <w:t>Tuto Smlouvu lze ukončit buď dohodou Smluvních stran, odstoupením některé Smluvní strany, výpovědí Smlouvy Příkazníkem nebo odvoláním příkazu Příkazcem.</w:t>
      </w:r>
    </w:p>
    <w:p>
      <w:pPr>
        <w:pStyle w:val="SML111"/>
        <w:numPr>
          <w:ilvl w:val="0"/>
          <w:numId w:val="16"/>
        </w:numPr>
        <w:rPr>
          <w:rFonts w:ascii="Arial" w:hAnsi="Arial"/>
        </w:rPr>
      </w:pPr>
      <w:r>
        <w:rPr>
          <w:rFonts w:ascii="Arial" w:hAnsi="Arial"/>
        </w:rPr>
        <w:t>Smluvní strany se dále dohodly, že v případě odstoupení od Smlouvy budou zejména ujednání o odpovědnosti za škodu a nemajetkovou újmu, o sankcích a další ujednání, z jejichž povahy to vyplývá, trvat i po zániku závazků ze Smlouvy.</w:t>
      </w:r>
    </w:p>
    <w:p>
      <w:pPr>
        <w:pStyle w:val="SML111"/>
        <w:numPr>
          <w:ilvl w:val="0"/>
          <w:numId w:val="16"/>
        </w:numPr>
        <w:rPr>
          <w:rFonts w:ascii="Arial" w:hAnsi="Arial"/>
        </w:rPr>
      </w:pPr>
      <w:r>
        <w:rPr>
          <w:rFonts w:ascii="Arial" w:hAnsi="Arial"/>
        </w:rPr>
        <w:t>Dohoda o ukončení Smlouvy musí být písemná, jinak je neplatná.</w:t>
      </w:r>
    </w:p>
    <w:p>
      <w:pPr>
        <w:pStyle w:val="SML111"/>
        <w:numPr>
          <w:ilvl w:val="0"/>
          <w:numId w:val="16"/>
        </w:numPr>
        <w:rPr>
          <w:rFonts w:ascii="Arial" w:hAnsi="Arial"/>
        </w:rPr>
      </w:pPr>
      <w:r>
        <w:rPr>
          <w:rFonts w:ascii="Arial" w:hAnsi="Arial"/>
        </w:rPr>
        <w:lastRenderedPageBreak/>
        <w:t>Příkazce je oprávněn odstoupit od této Smlouvy, pokud Příkazník poruší své povinnosti ze Smlouvy podstatným způsobem. Za porušení povinností ze Smlouvy podstatným způsobem budou Smluvní strany považovat zejména následující skutečnosti:</w:t>
      </w:r>
    </w:p>
    <w:p>
      <w:pPr>
        <w:pStyle w:val="SML11"/>
        <w:numPr>
          <w:ilvl w:val="0"/>
          <w:numId w:val="6"/>
        </w:numPr>
        <w:ind w:left="993" w:hanging="283"/>
        <w:rPr>
          <w:rFonts w:ascii="Arial" w:hAnsi="Arial"/>
        </w:rPr>
      </w:pPr>
      <w:r>
        <w:rPr>
          <w:rFonts w:ascii="Arial" w:hAnsi="Arial"/>
        </w:rPr>
        <w:t>prodlení Příkazníka s plněním povinností vyplývající ze Smlouvy o více než 15 kalendářních dnů,</w:t>
      </w:r>
    </w:p>
    <w:p>
      <w:pPr>
        <w:numPr>
          <w:ilvl w:val="0"/>
          <w:numId w:val="6"/>
        </w:numPr>
        <w:spacing w:before="120" w:line="269" w:lineRule="auto"/>
        <w:ind w:left="993" w:hanging="283"/>
        <w:rPr>
          <w:rFonts w:ascii="Arial" w:hAnsi="Arial" w:cs="Arial"/>
          <w:sz w:val="22"/>
        </w:rPr>
      </w:pPr>
      <w:r>
        <w:rPr>
          <w:rFonts w:ascii="Arial" w:hAnsi="Arial" w:cs="Arial"/>
          <w:sz w:val="22"/>
        </w:rPr>
        <w:t xml:space="preserve">neprokázání existence Pojištění odpovědnosti Příkazníkem dle čl. </w:t>
      </w:r>
      <w:r>
        <w:rPr>
          <w:rFonts w:ascii="Arial" w:hAnsi="Arial" w:cs="Arial"/>
          <w:sz w:val="22"/>
        </w:rPr>
        <w:fldChar w:fldCharType="begin"/>
      </w:r>
      <w:r>
        <w:rPr>
          <w:rFonts w:ascii="Arial" w:hAnsi="Arial" w:cs="Arial"/>
          <w:sz w:val="22"/>
        </w:rPr>
        <w:instrText xml:space="preserve"> REF _Ref7093445 \r \h  \* MERGEFORMAT </w:instrText>
      </w:r>
      <w:r>
        <w:rPr>
          <w:rFonts w:ascii="Arial" w:hAnsi="Arial" w:cs="Arial"/>
          <w:sz w:val="22"/>
        </w:rPr>
      </w:r>
      <w:r>
        <w:rPr>
          <w:rFonts w:ascii="Arial" w:hAnsi="Arial" w:cs="Arial"/>
          <w:sz w:val="22"/>
        </w:rPr>
        <w:fldChar w:fldCharType="separate"/>
      </w:r>
      <w:r>
        <w:rPr>
          <w:rFonts w:ascii="Arial" w:hAnsi="Arial" w:cs="Arial"/>
          <w:sz w:val="22"/>
        </w:rPr>
        <w:t xml:space="preserve">VIII. </w:t>
      </w:r>
      <w:r>
        <w:rPr>
          <w:rFonts w:ascii="Arial" w:hAnsi="Arial" w:cs="Arial"/>
          <w:sz w:val="22"/>
        </w:rPr>
        <w:fldChar w:fldCharType="end"/>
      </w:r>
      <w:r>
        <w:rPr>
          <w:rFonts w:ascii="Arial" w:hAnsi="Arial" w:cs="Arial"/>
          <w:sz w:val="22"/>
        </w:rPr>
        <w:t xml:space="preserve">. této Smlouvy, </w:t>
      </w:r>
    </w:p>
    <w:p>
      <w:pPr>
        <w:numPr>
          <w:ilvl w:val="0"/>
          <w:numId w:val="6"/>
        </w:numPr>
        <w:spacing w:before="120" w:line="269" w:lineRule="auto"/>
        <w:ind w:left="993" w:hanging="283"/>
        <w:rPr>
          <w:rFonts w:ascii="Arial" w:hAnsi="Arial" w:cs="Arial"/>
          <w:sz w:val="22"/>
        </w:rPr>
      </w:pPr>
      <w:r>
        <w:rPr>
          <w:rFonts w:ascii="Arial" w:hAnsi="Arial" w:cs="Arial"/>
          <w:sz w:val="22"/>
        </w:rPr>
        <w:t xml:space="preserve">nedodržení povinností Příkazníka uvedených v odst. </w:t>
      </w:r>
      <w:r>
        <w:rPr>
          <w:rFonts w:ascii="Arial" w:hAnsi="Arial" w:cs="Arial"/>
          <w:sz w:val="22"/>
        </w:rPr>
        <w:fldChar w:fldCharType="begin"/>
      </w:r>
      <w:r>
        <w:rPr>
          <w:rFonts w:ascii="Arial" w:hAnsi="Arial" w:cs="Arial"/>
          <w:sz w:val="22"/>
        </w:rPr>
        <w:instrText xml:space="preserve"> REF _Ref149892512 \r \h  \* MERGEFORMAT </w:instrText>
      </w:r>
      <w:r>
        <w:rPr>
          <w:rFonts w:ascii="Arial" w:hAnsi="Arial" w:cs="Arial"/>
          <w:sz w:val="22"/>
        </w:rPr>
      </w:r>
      <w:r>
        <w:rPr>
          <w:rFonts w:ascii="Arial" w:hAnsi="Arial" w:cs="Arial"/>
          <w:sz w:val="22"/>
        </w:rPr>
        <w:fldChar w:fldCharType="separate"/>
      </w:r>
      <w:r>
        <w:rPr>
          <w:rFonts w:ascii="Arial" w:hAnsi="Arial" w:cs="Arial"/>
          <w:sz w:val="22"/>
        </w:rPr>
        <w:t>18</w:t>
      </w:r>
      <w:r>
        <w:rPr>
          <w:rFonts w:ascii="Arial" w:hAnsi="Arial" w:cs="Arial"/>
          <w:sz w:val="22"/>
        </w:rPr>
        <w:fldChar w:fldCharType="end"/>
      </w:r>
      <w:r>
        <w:rPr>
          <w:rFonts w:ascii="Arial" w:hAnsi="Arial" w:cs="Arial"/>
          <w:sz w:val="22"/>
        </w:rPr>
        <w:t>. této Smlouvy,</w:t>
      </w:r>
    </w:p>
    <w:p>
      <w:pPr>
        <w:numPr>
          <w:ilvl w:val="0"/>
          <w:numId w:val="6"/>
        </w:numPr>
        <w:spacing w:before="120" w:line="269" w:lineRule="auto"/>
        <w:ind w:left="993" w:hanging="283"/>
        <w:rPr>
          <w:rFonts w:ascii="Arial" w:hAnsi="Arial" w:cs="Arial"/>
          <w:sz w:val="22"/>
        </w:rPr>
      </w:pPr>
      <w:r>
        <w:rPr>
          <w:rFonts w:ascii="Arial" w:hAnsi="Arial" w:cs="Arial"/>
          <w:sz w:val="22"/>
        </w:rPr>
        <w:t xml:space="preserve">nedodržení povinnosti Příkazníka uvedené v odst. </w:t>
      </w:r>
      <w:r>
        <w:rPr>
          <w:rFonts w:ascii="Arial" w:hAnsi="Arial" w:cs="Arial"/>
          <w:sz w:val="22"/>
        </w:rPr>
        <w:fldChar w:fldCharType="begin"/>
      </w:r>
      <w:r>
        <w:rPr>
          <w:rFonts w:ascii="Arial" w:hAnsi="Arial" w:cs="Arial"/>
          <w:sz w:val="22"/>
        </w:rPr>
        <w:instrText xml:space="preserve"> REF _Ref7095746 \r \h  \* MERGEFORMAT </w:instrText>
      </w:r>
      <w:r>
        <w:rPr>
          <w:rFonts w:ascii="Arial" w:hAnsi="Arial" w:cs="Arial"/>
          <w:sz w:val="22"/>
        </w:rPr>
      </w:r>
      <w:r>
        <w:rPr>
          <w:rFonts w:ascii="Arial" w:hAnsi="Arial" w:cs="Arial"/>
          <w:sz w:val="22"/>
        </w:rPr>
        <w:fldChar w:fldCharType="separate"/>
      </w:r>
      <w:r>
        <w:rPr>
          <w:rFonts w:ascii="Arial" w:hAnsi="Arial" w:cs="Arial"/>
          <w:sz w:val="22"/>
        </w:rPr>
        <w:t>95</w:t>
      </w:r>
      <w:r>
        <w:rPr>
          <w:rFonts w:ascii="Arial" w:hAnsi="Arial" w:cs="Arial"/>
          <w:sz w:val="22"/>
        </w:rPr>
        <w:fldChar w:fldCharType="end"/>
      </w:r>
      <w:r>
        <w:rPr>
          <w:rFonts w:ascii="Arial" w:hAnsi="Arial" w:cs="Arial"/>
          <w:sz w:val="22"/>
        </w:rPr>
        <w:t xml:space="preserve"> této Smlouvy, </w:t>
      </w:r>
    </w:p>
    <w:p>
      <w:pPr>
        <w:pStyle w:val="SML11"/>
        <w:numPr>
          <w:ilvl w:val="0"/>
          <w:numId w:val="6"/>
        </w:numPr>
        <w:ind w:left="993" w:hanging="283"/>
        <w:rPr>
          <w:rFonts w:ascii="Arial" w:hAnsi="Arial"/>
        </w:rPr>
      </w:pPr>
      <w:r>
        <w:rPr>
          <w:rFonts w:ascii="Arial" w:hAnsi="Arial"/>
        </w:rPr>
        <w:t>osvědčení úpadku Příkazníka,</w:t>
      </w:r>
    </w:p>
    <w:p>
      <w:pPr>
        <w:pStyle w:val="SML11"/>
        <w:numPr>
          <w:ilvl w:val="0"/>
          <w:numId w:val="0"/>
        </w:numPr>
        <w:ind w:left="709"/>
        <w:rPr>
          <w:rFonts w:ascii="Arial" w:hAnsi="Arial"/>
        </w:rPr>
      </w:pPr>
      <w:r>
        <w:rPr>
          <w:rFonts w:ascii="Arial" w:hAnsi="Arial"/>
        </w:rPr>
        <w:t>Demonstrativním výčtem shora není uzavřena množina porušení povinností ze Smlouvy podstatným způsobem; Příkazce je oprávněn odstoupit i v jiných případech porušení povinností Příkazníka ze Smlouvy podstatným způsobem, zejména jsou-li tímto porušením dotčeny nebo ohroženy oprávněné zájmy Příkazce (bezpečnost a zdraví osob, ochrana majetku, ochrana životního prostředí, soulad Stavby s právním řádem a technickými normami apod.). Odstoupení od této Smlouvy ze strany Příkazce není spojeno s uložením jakékoliv sankce k tíži Příkazce.</w:t>
      </w:r>
    </w:p>
    <w:p>
      <w:pPr>
        <w:pStyle w:val="SML111"/>
        <w:numPr>
          <w:ilvl w:val="0"/>
          <w:numId w:val="16"/>
        </w:numPr>
        <w:rPr>
          <w:rFonts w:ascii="Arial" w:hAnsi="Arial"/>
        </w:rPr>
      </w:pPr>
      <w:r>
        <w:rPr>
          <w:rFonts w:ascii="Arial" w:hAnsi="Arial"/>
        </w:rPr>
        <w:t>Příkazník je oprávněn odstoupit od této Smlouvy, pokud Příkazce poruší své povinnosti ze Smlouvy podstatným způsobem. Za porušení povinností ze Smlouvy podstatným způsobem budou Smluvní strany považovat zejména, nikoliv však výlučně následující skutečnosti:</w:t>
      </w:r>
    </w:p>
    <w:p>
      <w:pPr>
        <w:pStyle w:val="SML111"/>
        <w:numPr>
          <w:ilvl w:val="0"/>
          <w:numId w:val="13"/>
        </w:numPr>
        <w:ind w:left="1134" w:hanging="425"/>
        <w:rPr>
          <w:rFonts w:ascii="Arial" w:hAnsi="Arial"/>
        </w:rPr>
      </w:pPr>
      <w:r>
        <w:rPr>
          <w:rFonts w:ascii="Arial" w:hAnsi="Arial"/>
        </w:rPr>
        <w:t>prodlení Příkazce s úhradou ceny za plnění o více než 30 dnů, pokud Příkazce nezjedná nápravu ani do 10 dnů od doručení písemného oznámení Příkazníka o takovém prodlení se žádostí o jeho nápravu.</w:t>
      </w:r>
    </w:p>
    <w:p>
      <w:pPr>
        <w:pStyle w:val="SML111"/>
        <w:numPr>
          <w:ilvl w:val="0"/>
          <w:numId w:val="16"/>
        </w:numPr>
        <w:rPr>
          <w:rFonts w:ascii="Arial" w:hAnsi="Arial"/>
        </w:rPr>
      </w:pPr>
      <w:r>
        <w:rPr>
          <w:rFonts w:ascii="Arial" w:hAnsi="Arial"/>
        </w:rPr>
        <w:t>Odstoupení od Smlouvy musí mít písemnou formu a je účinné dnem doručení druhé Smluvní straně. V odstoupení musí být dále uveden důvod, pro který Smluvní strana od Smlouvy odstupuje, včetně popisu skutečností, ve kterých je tento důvod spatřován.</w:t>
      </w:r>
    </w:p>
    <w:p>
      <w:pPr>
        <w:pStyle w:val="SML111"/>
        <w:numPr>
          <w:ilvl w:val="0"/>
          <w:numId w:val="16"/>
        </w:numPr>
        <w:rPr>
          <w:rFonts w:ascii="Arial" w:hAnsi="Arial"/>
        </w:rPr>
      </w:pPr>
      <w:r>
        <w:rPr>
          <w:rFonts w:ascii="Arial" w:hAnsi="Arial"/>
        </w:rPr>
        <w:t>Příkazce je oprávněn odvolat příkaz i bez udání důvodu. Odvolání je účinné dnem doručení odvolání příkazu Příkazníkovi, pokud odvolání nestanoví pozdější účinnost. Pokud Příkazce příkaz odvolá, nahradí Příkazníkovi náklady, které do té doby účelně a prokazatelně vynaložil, jakož i část odměny přiměřenou vykonané činnosti Příkazníka.</w:t>
      </w:r>
    </w:p>
    <w:p>
      <w:pPr>
        <w:pStyle w:val="SML111"/>
        <w:numPr>
          <w:ilvl w:val="0"/>
          <w:numId w:val="16"/>
        </w:numPr>
        <w:rPr>
          <w:rFonts w:ascii="Arial" w:hAnsi="Arial"/>
        </w:rPr>
      </w:pPr>
      <w:r>
        <w:rPr>
          <w:rFonts w:ascii="Arial" w:hAnsi="Arial"/>
        </w:rPr>
        <w:t xml:space="preserve">Příkazník může Smlouvu vypovědět s účinností k poslednímu dni výpovědní lhůty. Výpovědní lhůta se pro případ výpovědi Příkazníka sjednává šestiměsíční a počíná běžet od 1. dne kalendářního měsíce následujícího po měsíci, v němž je výpověď doručena Příkazci. Ke dni účinnosti výpovědi zaniká závazek Příkazníka vykonávat činnost dle Smlouvy. </w:t>
      </w:r>
    </w:p>
    <w:p>
      <w:pPr>
        <w:pStyle w:val="SML111"/>
        <w:numPr>
          <w:ilvl w:val="0"/>
          <w:numId w:val="16"/>
        </w:numPr>
        <w:rPr>
          <w:rFonts w:ascii="Arial" w:hAnsi="Arial"/>
        </w:rPr>
      </w:pPr>
      <w:r>
        <w:rPr>
          <w:rFonts w:ascii="Arial" w:eastAsiaTheme="minorHAnsi" w:hAnsi="Arial"/>
          <w:lang w:eastAsia="en-US"/>
        </w:rPr>
        <w:t>V případě ukončení Smlouvy z jakéhokoliv důvodu je Příkazník povinen neprodleně předat Příkazci veškerou dokumentaci a jiné podklady související se Stavbou, které byly Příkazníkovi předány Příkazcem či třetími osobami, a jiné doklady, které je Příkazník pro</w:t>
      </w:r>
      <w:r>
        <w:rPr>
          <w:rFonts w:ascii="Arial" w:hAnsi="Arial"/>
        </w:rPr>
        <w:t xml:space="preserve"> </w:t>
      </w:r>
      <w:r>
        <w:rPr>
          <w:rFonts w:ascii="Arial" w:eastAsiaTheme="minorHAnsi" w:hAnsi="Arial"/>
          <w:lang w:eastAsia="en-US"/>
        </w:rPr>
        <w:t>Příkazce dle této Smlouvy povinen vést či zajistit.</w:t>
      </w:r>
    </w:p>
    <w:p>
      <w:pPr>
        <w:pStyle w:val="SML111"/>
        <w:numPr>
          <w:ilvl w:val="0"/>
          <w:numId w:val="16"/>
        </w:numPr>
        <w:rPr>
          <w:rFonts w:ascii="Arial" w:hAnsi="Arial"/>
        </w:rPr>
      </w:pPr>
      <w:bookmarkStart w:id="32" w:name="_Ref141359534"/>
      <w:r>
        <w:rPr>
          <w:rFonts w:ascii="Arial" w:eastAsiaTheme="minorHAnsi" w:hAnsi="Arial"/>
          <w:lang w:eastAsia="en-US"/>
        </w:rPr>
        <w:t>V případě ukončení Smlouvy z jakéhokoli důvodu je Příkazník povinen vykonat všechny činnosti, které nesnesou odkladu, a je povinen upozornit Příkazce na opatření, která je potřeba učinit, aby se zabránilo vzniku škody bezprostředně hrozící Příkazci neprovedením činností, které jsou předmětem Smlouvy.</w:t>
      </w:r>
      <w:bookmarkEnd w:id="32"/>
      <w:r>
        <w:rPr>
          <w:rFonts w:ascii="Arial" w:eastAsiaTheme="minorHAnsi" w:hAnsi="Arial"/>
          <w:lang w:eastAsia="en-US"/>
        </w:rPr>
        <w:t xml:space="preserve"> </w:t>
      </w:r>
    </w:p>
    <w:p>
      <w:pPr>
        <w:pStyle w:val="SML111"/>
        <w:numPr>
          <w:ilvl w:val="0"/>
          <w:numId w:val="16"/>
        </w:numPr>
        <w:rPr>
          <w:rFonts w:ascii="Arial" w:hAnsi="Arial"/>
        </w:rPr>
      </w:pPr>
      <w:bookmarkStart w:id="33" w:name="_Toc7101163"/>
      <w:r>
        <w:rPr>
          <w:rFonts w:ascii="Arial" w:eastAsiaTheme="minorHAnsi" w:hAnsi="Arial"/>
          <w:lang w:eastAsia="en-US"/>
        </w:rPr>
        <w:t>Příkazce si v souladu s § 100 odst. 2 ZZVZ vyhrazuje změnu závazku ze Smlouvy spočívající ve změně dodavatele v průběhu plnění Veřejné zakázky, a to v případě, kdy bude tato Smlouva z jakéhokoli důvodu ukončena. V takovém případě bude Příkazce aplikovat následující postup:</w:t>
      </w:r>
    </w:p>
    <w:p>
      <w:pPr>
        <w:pStyle w:val="SML111"/>
        <w:numPr>
          <w:ilvl w:val="1"/>
          <w:numId w:val="16"/>
        </w:numPr>
        <w:rPr>
          <w:rFonts w:ascii="Arial" w:hAnsi="Arial"/>
        </w:rPr>
      </w:pPr>
      <w:r>
        <w:rPr>
          <w:rFonts w:ascii="Arial" w:eastAsiaTheme="minorHAnsi" w:hAnsi="Arial"/>
          <w:lang w:eastAsia="en-US"/>
        </w:rPr>
        <w:lastRenderedPageBreak/>
        <w:t xml:space="preserve">Příkazce je oprávněn uzavřít smlouvu s druhým účastníkem v pořadí dle hodnocení nabídek v Řízení veřejné zakázky </w:t>
      </w:r>
    </w:p>
    <w:p>
      <w:pPr>
        <w:pStyle w:val="SML111"/>
        <w:numPr>
          <w:ilvl w:val="1"/>
          <w:numId w:val="16"/>
        </w:numPr>
        <w:rPr>
          <w:rFonts w:ascii="Arial" w:hAnsi="Arial"/>
        </w:rPr>
      </w:pPr>
      <w:r>
        <w:rPr>
          <w:rFonts w:ascii="Arial" w:eastAsiaTheme="minorHAnsi" w:hAnsi="Arial"/>
          <w:lang w:eastAsia="en-US"/>
        </w:rPr>
        <w:t xml:space="preserve">Příkazce provede u nově vybraného dodavatele posouzení splnění podmínek účasti, pokud tak neučil v Řízení veřejné zakázky s ohledem na § 39 odst. 4 ZZVZ a posoudí, zda u nově vybraného dodavatele nejsou naplněny povinné důvody pro vyloučení vybraného dodavatele dle § 48 ZZVZ. </w:t>
      </w:r>
    </w:p>
    <w:p>
      <w:pPr>
        <w:pStyle w:val="SML111"/>
        <w:numPr>
          <w:ilvl w:val="1"/>
          <w:numId w:val="16"/>
        </w:numPr>
        <w:rPr>
          <w:rFonts w:ascii="Arial" w:hAnsi="Arial"/>
        </w:rPr>
      </w:pPr>
      <w:r>
        <w:rPr>
          <w:rFonts w:ascii="Arial" w:eastAsiaTheme="minorHAnsi" w:hAnsi="Arial"/>
          <w:lang w:eastAsia="en-US"/>
        </w:rPr>
        <w:t>Nová příkazní smlouva musí odpovídat znění této Smlouvy a bude zohledňovat pouze povolené změny Smlouvy. V případě, že Příkazník již částečně předmět Smlouvy splnil a ukončení Smlouvy nemá dopad na tuto část předmětu Smlouvy, lze s novým příkazníkem uzavřít novou příkazní smlouvu jen na zbylou část předmětu plnění Smlouvy, pokud je tato část oddělitelná a z nabídky Příkazníka lze dovodit její poměrnou cenu.</w:t>
      </w:r>
    </w:p>
    <w:p>
      <w:pPr>
        <w:pStyle w:val="SML111"/>
        <w:numPr>
          <w:ilvl w:val="1"/>
          <w:numId w:val="16"/>
        </w:numPr>
        <w:rPr>
          <w:rFonts w:ascii="Arial" w:hAnsi="Arial"/>
        </w:rPr>
      </w:pPr>
      <w:r>
        <w:rPr>
          <w:rFonts w:ascii="Arial" w:eastAsiaTheme="minorHAnsi" w:hAnsi="Arial"/>
          <w:lang w:eastAsia="en-US"/>
        </w:rPr>
        <w:t xml:space="preserve">Postup dle předchozích odstavců lze použít obdobně pro v pořadí další účastníky Řízení veřejné zakázky, pokud druhý účastník novou příkazní smlouvu odmítne uzavřít, neposkytne součinnost k jejímu uzavření, nesplní podmínky účasti, jsou naplněny důvody pro vyloučení nebo již neexistuje. </w:t>
      </w:r>
    </w:p>
    <w:p>
      <w:pPr>
        <w:pStyle w:val="SML1"/>
        <w:spacing w:before="480" w:after="240"/>
        <w:ind w:left="0" w:firstLine="0"/>
        <w:rPr>
          <w:rFonts w:ascii="Arial" w:hAnsi="Arial"/>
          <w:caps/>
        </w:rPr>
      </w:pPr>
      <w:r>
        <w:rPr>
          <w:rFonts w:ascii="Arial" w:hAnsi="Arial"/>
          <w:caps/>
        </w:rPr>
        <w:t>Ostatní ujednání</w:t>
      </w:r>
      <w:bookmarkEnd w:id="33"/>
    </w:p>
    <w:p>
      <w:pPr>
        <w:pStyle w:val="SML111"/>
        <w:numPr>
          <w:ilvl w:val="0"/>
          <w:numId w:val="16"/>
        </w:numPr>
        <w:rPr>
          <w:rFonts w:ascii="Arial" w:hAnsi="Arial"/>
        </w:rPr>
      </w:pPr>
      <w:r>
        <w:rPr>
          <w:rFonts w:ascii="Arial" w:hAnsi="Arial"/>
        </w:rPr>
        <w:t>Smluvní strany jsou oprávněny změnit Smlouvu v souladu s právním řádem a zejména v souladu se ZZVZ.</w:t>
      </w:r>
    </w:p>
    <w:p>
      <w:pPr>
        <w:pStyle w:val="SML111"/>
        <w:numPr>
          <w:ilvl w:val="0"/>
          <w:numId w:val="16"/>
        </w:numPr>
        <w:rPr>
          <w:rFonts w:ascii="Arial" w:hAnsi="Arial"/>
        </w:rPr>
      </w:pPr>
      <w:r>
        <w:rPr>
          <w:rFonts w:ascii="Arial" w:hAnsi="Arial"/>
        </w:rPr>
        <w:t>Příkazník se zavazuje, že bez předchozího písemného souhlasu Příkazce nepostoupí ani nepřevede jakákoliv práva či povinnosti vyplývající ze Smlouvy na třetí osobu.</w:t>
      </w:r>
    </w:p>
    <w:p>
      <w:pPr>
        <w:pStyle w:val="SML111"/>
        <w:numPr>
          <w:ilvl w:val="0"/>
          <w:numId w:val="16"/>
        </w:numPr>
        <w:rPr>
          <w:rFonts w:ascii="Arial" w:hAnsi="Arial"/>
        </w:rPr>
      </w:pPr>
      <w:r>
        <w:rPr>
          <w:rFonts w:ascii="Arial" w:hAnsi="Arial"/>
        </w:rPr>
        <w:t>Smluvní strany se dohodly, že Příkazce je oprávněn postoupit Smlouvu jako celek na třetí osobu ve smyslu §§ 1895 a násl. Občanského zákoníku, pokud je touto osobou veřejný zadavatel ve smyslu příslušných ustanovení ZZVZ. Příkazník tímto vyslovuje souhlas s takovým postoupením Závazku; dalšího souhlasu Příkazníka s takovým postoupením Závazku se nevyžaduje. Příkazce je oprávněn postoupit pohledávku za Příkazníkem dle této Smlouvy.</w:t>
      </w:r>
    </w:p>
    <w:p>
      <w:pPr>
        <w:pStyle w:val="SML111"/>
        <w:numPr>
          <w:ilvl w:val="0"/>
          <w:numId w:val="16"/>
        </w:numPr>
        <w:rPr>
          <w:rFonts w:ascii="Arial" w:hAnsi="Arial"/>
        </w:rPr>
      </w:pPr>
      <w:r>
        <w:rPr>
          <w:rFonts w:ascii="Arial" w:hAnsi="Arial"/>
        </w:rPr>
        <w:t>Příkazník není oprávněn provést jednostranné započtení žádné své pohledávky a/nebo její části za Příkazcem vyplývající ze Smlouvy nebo vzniklé v souvislosti se Smlouvou na jakoukoliv pohledávku (a/nebo její část) Příkazce za Příkazníkem.</w:t>
      </w:r>
    </w:p>
    <w:p>
      <w:pPr>
        <w:pStyle w:val="SML111"/>
        <w:numPr>
          <w:ilvl w:val="0"/>
          <w:numId w:val="16"/>
        </w:numPr>
        <w:rPr>
          <w:rFonts w:ascii="Arial" w:hAnsi="Arial"/>
        </w:rPr>
      </w:pPr>
      <w:r>
        <w:rPr>
          <w:rFonts w:ascii="Arial" w:hAnsi="Arial"/>
        </w:rPr>
        <w:t>Příkazce je oprávněn provést jednostranné započtení jakékoliv své splatné i nesplatné pohledávky za Příkazníkem vyplývající ze Smlouvy nebo vzniklé v souvislosti se Smlouvou (zejména smluvní pokutu) na splatné i nesplatné pohledávky Příkazníka za Příkazcem.</w:t>
      </w:r>
    </w:p>
    <w:p>
      <w:pPr>
        <w:pStyle w:val="SML111"/>
        <w:numPr>
          <w:ilvl w:val="0"/>
          <w:numId w:val="16"/>
        </w:numPr>
        <w:rPr>
          <w:rFonts w:ascii="Arial" w:hAnsi="Arial"/>
        </w:rPr>
      </w:pPr>
      <w:r>
        <w:rPr>
          <w:rFonts w:ascii="Arial" w:hAnsi="Arial"/>
        </w:rPr>
        <w:t>Příkazník se zavazuje k veškeré nezbytné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 souvislosti s plněním předmětu této Smlouvy.</w:t>
      </w:r>
    </w:p>
    <w:p>
      <w:pPr>
        <w:pStyle w:val="SML111"/>
        <w:numPr>
          <w:ilvl w:val="0"/>
          <w:numId w:val="16"/>
        </w:numPr>
        <w:rPr>
          <w:rFonts w:ascii="Arial" w:hAnsi="Arial"/>
        </w:rPr>
      </w:pPr>
      <w:bookmarkStart w:id="34" w:name="_Ref7095746"/>
      <w:r>
        <w:rPr>
          <w:rFonts w:ascii="Arial" w:hAnsi="Arial"/>
        </w:rPr>
        <w:t>Příkazník je povinen po celou dobu trvání Smlouvy disponovat kvalifikací, kterou prokázal v rámci Řízení veřejné zakázky před uzavřením této Smlouvy.</w:t>
      </w:r>
      <w:bookmarkEnd w:id="34"/>
    </w:p>
    <w:p>
      <w:pPr>
        <w:pStyle w:val="SML111"/>
        <w:numPr>
          <w:ilvl w:val="0"/>
          <w:numId w:val="16"/>
        </w:numPr>
        <w:rPr>
          <w:rFonts w:ascii="Arial" w:hAnsi="Arial"/>
        </w:rPr>
      </w:pPr>
      <w:r>
        <w:rPr>
          <w:rFonts w:ascii="Arial" w:hAnsi="Arial"/>
        </w:rPr>
        <w:t xml:space="preserve">Vzhledem k veřejnoprávnímu charakteru postavení Příkazce Příkazník výslovně prohlašuje, že je obeznámen s tímto postavením Příkazce, že žádné ustanovení této Smlouvy nepodléhá z jeho strany obchodnímu tajemství, ani není z jeho strany Důvěrnou informací, a souhlasí se zveřejněním smluvních podmínek obsažených v této Smlouvě včetně příloh za podmínek vyplývajících z příslušných právních předpisů, zejména zákona č. 106/1999 Sb., o svobodném přístupu k informacím, ve znění pozdějších předpisů, z ustanovení § 219 ZZVZ a zákona č. 340/2015 Sb., o zvláštních podmínkách účinnosti </w:t>
      </w:r>
      <w:r>
        <w:rPr>
          <w:rFonts w:ascii="Arial" w:hAnsi="Arial"/>
        </w:rPr>
        <w:lastRenderedPageBreak/>
        <w:t>některých smluv, uveřejňování těchto smluv a o registru smluv (zákon o registru smluv), ve znění pozdějších předpisů (dále jen „</w:t>
      </w:r>
      <w:r>
        <w:rPr>
          <w:rFonts w:ascii="Arial" w:hAnsi="Arial"/>
          <w:b/>
          <w:i/>
          <w:iCs/>
        </w:rPr>
        <w:t>ZRS</w:t>
      </w:r>
      <w:r>
        <w:rPr>
          <w:rFonts w:ascii="Arial" w:hAnsi="Arial"/>
        </w:rPr>
        <w:t>“).</w:t>
      </w:r>
    </w:p>
    <w:p>
      <w:pPr>
        <w:pStyle w:val="SML111"/>
        <w:numPr>
          <w:ilvl w:val="0"/>
          <w:numId w:val="16"/>
        </w:numPr>
        <w:rPr>
          <w:rFonts w:ascii="Arial" w:hAnsi="Arial"/>
        </w:rPr>
      </w:pPr>
      <w:r>
        <w:rPr>
          <w:rFonts w:ascii="Arial" w:hAnsi="Arial"/>
        </w:rPr>
        <w:t>Smluvní strany sjednávají, že uveřejnění této Smlouvy v registru smluv dle ZRS zajistí Příkazce.</w:t>
      </w:r>
    </w:p>
    <w:p>
      <w:pPr>
        <w:pStyle w:val="SML1"/>
        <w:spacing w:before="480" w:after="240"/>
        <w:ind w:left="0" w:firstLine="0"/>
        <w:rPr>
          <w:rFonts w:ascii="Arial" w:hAnsi="Arial"/>
          <w:caps/>
        </w:rPr>
      </w:pPr>
      <w:bookmarkStart w:id="35" w:name="_Toc7101164"/>
      <w:r>
        <w:rPr>
          <w:rFonts w:ascii="Arial" w:hAnsi="Arial"/>
          <w:caps/>
        </w:rPr>
        <w:t>Závěrečná ustanovení</w:t>
      </w:r>
      <w:bookmarkEnd w:id="35"/>
    </w:p>
    <w:p>
      <w:pPr>
        <w:pStyle w:val="SML111"/>
        <w:numPr>
          <w:ilvl w:val="0"/>
          <w:numId w:val="16"/>
        </w:numPr>
        <w:rPr>
          <w:rFonts w:ascii="Arial" w:hAnsi="Arial"/>
        </w:rPr>
      </w:pPr>
      <w:r>
        <w:rPr>
          <w:rFonts w:ascii="Arial" w:hAnsi="Arial"/>
        </w:rPr>
        <w:t>Smlouva nebo právní vztah z ní vzniklý mohou být měněny dohodou Smluvních stran pouze v písemné formě; podpisy Smluvních stran musí být na jedné listině. Jednostranné právní jednání, kterým se mění nebo zaniká tato Smlouva nebo právní vztah z ní vzniklý jinak než splněním závazků ze Smlouvy, musí být učiněno ve formě předpokládané právním řádem, alespoň však v prosté písemné formě.</w:t>
      </w:r>
    </w:p>
    <w:p>
      <w:pPr>
        <w:pStyle w:val="SML111"/>
        <w:numPr>
          <w:ilvl w:val="0"/>
          <w:numId w:val="16"/>
        </w:numPr>
        <w:rPr>
          <w:rFonts w:ascii="Arial" w:hAnsi="Arial"/>
        </w:rPr>
      </w:pPr>
      <w:r>
        <w:rPr>
          <w:rFonts w:ascii="Arial" w:hAnsi="Arial"/>
        </w:rPr>
        <w:t>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w:t>
      </w:r>
      <w:r>
        <w:rPr>
          <w:rFonts w:ascii="Arial" w:hAnsi="Arial"/>
          <w:noProof/>
        </w:rPr>
        <w:t xml:space="preserve"> </w:t>
      </w:r>
    </w:p>
    <w:p>
      <w:pPr>
        <w:pStyle w:val="SML111"/>
        <w:numPr>
          <w:ilvl w:val="0"/>
          <w:numId w:val="16"/>
        </w:numPr>
        <w:rPr>
          <w:rFonts w:ascii="Arial" w:hAnsi="Arial"/>
        </w:rPr>
      </w:pPr>
      <w:r>
        <w:rPr>
          <w:rFonts w:ascii="Arial" w:hAnsi="Arial"/>
        </w:rPr>
        <w:t xml:space="preserve">Smluvní strany se dohodly, že v případě sporů týkajících se závazků z této Smlouvy nebo týkajících se právních vztahů, které vznikly v souvislosti s touto Smlouvou, vyvinou přiměřené úsilí řešit tyto spory vzájemnou dohodou. </w:t>
      </w:r>
    </w:p>
    <w:p>
      <w:pPr>
        <w:pStyle w:val="SML111"/>
        <w:numPr>
          <w:ilvl w:val="0"/>
          <w:numId w:val="16"/>
        </w:numPr>
        <w:rPr>
          <w:rFonts w:ascii="Arial" w:hAnsi="Arial"/>
        </w:rPr>
      </w:pPr>
      <w:r>
        <w:rPr>
          <w:rFonts w:ascii="Arial" w:hAnsi="Arial"/>
        </w:rPr>
        <w:t>Smluvní strany se dohodly, že rozhodným právem pro tuto Smlouvu nebo právní vztahy, které vznikly v souvislosti s touto Smlouvou (včetně závazků k náhradě újmy vzniklé porušením povinností dle této Smlouvy nebo k vydání bezdůvodného obohacení), je právní řád České republiky (s výjimkou kolizních norem mezinárodního práva soukromého).</w:t>
      </w:r>
    </w:p>
    <w:p>
      <w:pPr>
        <w:pStyle w:val="SML111"/>
        <w:numPr>
          <w:ilvl w:val="0"/>
          <w:numId w:val="16"/>
        </w:numPr>
        <w:rPr>
          <w:rFonts w:ascii="Arial" w:hAnsi="Arial"/>
        </w:rPr>
      </w:pPr>
      <w:r>
        <w:rPr>
          <w:rFonts w:ascii="Arial" w:hAnsi="Arial"/>
        </w:rPr>
        <w:t>K rozhodování sporů týkajících se závazků z této Smlouvy nebo týkajících se právních vztahů, které vznikly v souvislosti s touto Smlouvou (včetně závazků k náhradě újmy vzniklé porušením povinností dle této Smlouvy nebo k vydání bezdůvodného obohacení), jsou pravomocné soudy České republiky. Pravomoc jiných soudů se nepřipouští.</w:t>
      </w:r>
    </w:p>
    <w:p>
      <w:pPr>
        <w:pStyle w:val="SML111"/>
        <w:numPr>
          <w:ilvl w:val="0"/>
          <w:numId w:val="16"/>
        </w:numPr>
        <w:rPr>
          <w:rFonts w:ascii="Arial" w:hAnsi="Arial"/>
        </w:rPr>
      </w:pPr>
      <w:r>
        <w:rPr>
          <w:rFonts w:ascii="Arial" w:hAnsi="Arial"/>
        </w:rPr>
        <w:t>Žádné ustanovení Smlouvy nesmí být vykládáno tak, aby omezovalo oprávnění Příkazce uvedená v zadávací dokumentaci Veřejné zakázky.</w:t>
      </w:r>
    </w:p>
    <w:p>
      <w:pPr>
        <w:pStyle w:val="SML111"/>
        <w:numPr>
          <w:ilvl w:val="0"/>
          <w:numId w:val="16"/>
        </w:numPr>
        <w:rPr>
          <w:rFonts w:ascii="Arial" w:hAnsi="Arial"/>
        </w:rPr>
      </w:pPr>
      <w:r>
        <w:rPr>
          <w:rFonts w:ascii="Arial" w:hAnsi="Arial"/>
        </w:rPr>
        <w:t>Smluvní strany se dohodly, že vylučují aplikaci ustanovení § 557 a § 1805 odst. 2 Občanského zákoníku.</w:t>
      </w:r>
    </w:p>
    <w:p>
      <w:pPr>
        <w:pStyle w:val="SML111"/>
        <w:numPr>
          <w:ilvl w:val="0"/>
          <w:numId w:val="16"/>
        </w:numPr>
        <w:rPr>
          <w:rFonts w:ascii="Arial" w:hAnsi="Arial"/>
        </w:rPr>
      </w:pPr>
      <w:r>
        <w:rPr>
          <w:rFonts w:ascii="Arial" w:hAnsi="Arial"/>
        </w:rPr>
        <w:t>Pro vyloučení pochybností Příkazník výslovně potvrzuje, že je podnikatelem, uzavírá Smlouvu při svém podnikání, a na Smlouvu se tudíž neuplatní ustanovení § 1793 Občanského zákoníku.</w:t>
      </w:r>
    </w:p>
    <w:p>
      <w:pPr>
        <w:pStyle w:val="SML111"/>
        <w:numPr>
          <w:ilvl w:val="0"/>
          <w:numId w:val="16"/>
        </w:numPr>
        <w:rPr>
          <w:rFonts w:ascii="Arial" w:hAnsi="Arial"/>
        </w:rPr>
      </w:pPr>
      <w:r>
        <w:rPr>
          <w:rFonts w:ascii="Arial" w:hAnsi="Arial"/>
        </w:rPr>
        <w:t>Ustanovení § 1765 odst.1 Občanského zákoníku se neuplatní; každá ze Smluvních stran na sebe ve smyslu ustanovení § 1765 odst. 2 Občanského zákoníku převzala nebezpečí změny okolností.</w:t>
      </w:r>
    </w:p>
    <w:p>
      <w:pPr>
        <w:pStyle w:val="SML111"/>
        <w:numPr>
          <w:ilvl w:val="0"/>
          <w:numId w:val="16"/>
        </w:numPr>
        <w:rPr>
          <w:rFonts w:ascii="Arial" w:hAnsi="Arial"/>
        </w:rPr>
      </w:pPr>
      <w:r>
        <w:rPr>
          <w:rFonts w:ascii="Arial" w:hAnsi="Arial"/>
        </w:rPr>
        <w:t xml:space="preserve">Smlouva nabude platnosti dnem jejího podpisu oběma Smluvními stranami a účinnosti dnem zveřejnění v registru smluv dle ZRS. </w:t>
      </w:r>
    </w:p>
    <w:p>
      <w:pPr>
        <w:pStyle w:val="Zkladntext"/>
        <w:numPr>
          <w:ilvl w:val="0"/>
          <w:numId w:val="16"/>
        </w:numPr>
        <w:suppressAutoHyphens w:val="0"/>
        <w:autoSpaceDE w:val="0"/>
        <w:autoSpaceDN w:val="0"/>
        <w:adjustRightInd w:val="0"/>
        <w:spacing w:line="240" w:lineRule="auto"/>
        <w:jc w:val="both"/>
        <w:rPr>
          <w:rFonts w:ascii="Arial" w:hAnsi="Arial" w:cs="Arial"/>
          <w:sz w:val="22"/>
          <w:szCs w:val="22"/>
        </w:rPr>
      </w:pPr>
      <w:r>
        <w:rPr>
          <w:rFonts w:ascii="Arial" w:hAnsi="Arial" w:cs="Arial"/>
          <w:sz w:val="22"/>
          <w:szCs w:val="22"/>
        </w:rPr>
        <w:t>V souladu se směrnicí č. 5/2023 o zadávání veřejných zakázek Města Žďár nad Sázavou je k uzavření smlouvy oprávněn starosta nebo místostarosta společně s vedoucím útvaru (vedoucí odboru/oddělení), a to po předchozím schválení Radou města.</w:t>
      </w:r>
    </w:p>
    <w:p>
      <w:pPr>
        <w:pStyle w:val="SML111"/>
        <w:numPr>
          <w:ilvl w:val="0"/>
          <w:numId w:val="16"/>
        </w:numPr>
        <w:rPr>
          <w:rFonts w:ascii="Arial" w:hAnsi="Arial"/>
        </w:rPr>
      </w:pPr>
      <w:r>
        <w:rPr>
          <w:rFonts w:ascii="Arial" w:hAnsi="Arial"/>
        </w:rPr>
        <w:t xml:space="preserve">Tato Smlouva se vyhotovuje ve dvou vyhotoveních, z nichž každé má platnost originálu. Každá ze Smluvních stran obdrží po jednom vyhotovení. Stejnými pravidly se řídí uzavírání </w:t>
      </w:r>
      <w:r>
        <w:rPr>
          <w:rFonts w:ascii="Arial" w:hAnsi="Arial"/>
        </w:rPr>
        <w:lastRenderedPageBreak/>
        <w:t>dodatků. V případě, že je Smlouva uzavírána elektronicky za využití uznávaných elektronických podpisů, postačí jedno vyhotovení Smlouvy, na kterém jsou zaznamenány uznávané elektronické podpisy zástupců Smluvních stran.</w:t>
      </w:r>
    </w:p>
    <w:p>
      <w:pPr>
        <w:pStyle w:val="SML11"/>
        <w:numPr>
          <w:ilvl w:val="0"/>
          <w:numId w:val="0"/>
        </w:numPr>
        <w:ind w:left="709"/>
        <w:rPr>
          <w:rFonts w:ascii="Arial" w:hAnsi="Arial"/>
        </w:rPr>
      </w:pPr>
    </w:p>
    <w:p>
      <w:pPr>
        <w:pStyle w:val="Nadpis1"/>
        <w:spacing w:after="0"/>
        <w:ind w:left="327"/>
        <w:jc w:val="center"/>
        <w:rPr>
          <w:rFonts w:ascii="Arial" w:hAnsi="Arial"/>
        </w:rPr>
      </w:pPr>
      <w:bookmarkStart w:id="36" w:name="_Toc7101165"/>
      <w:r>
        <w:rPr>
          <w:rFonts w:ascii="Arial" w:hAnsi="Arial"/>
        </w:rPr>
        <w:t>Doložka</w:t>
      </w:r>
      <w:bookmarkEnd w:id="36"/>
    </w:p>
    <w:p>
      <w:pPr>
        <w:pStyle w:val="SML11"/>
        <w:keepNext/>
        <w:keepLines/>
        <w:numPr>
          <w:ilvl w:val="0"/>
          <w:numId w:val="0"/>
        </w:numPr>
        <w:rPr>
          <w:rFonts w:ascii="Arial" w:hAnsi="Arial"/>
        </w:rPr>
      </w:pPr>
      <w:r>
        <w:rPr>
          <w:rFonts w:ascii="Arial" w:hAnsi="Arial"/>
        </w:rPr>
        <w:t xml:space="preserve">Tato smlouva byla schválena Radou města Žďár nad Sázavou na schůzi č. 42, konané dne </w:t>
      </w:r>
      <w:r>
        <w:rPr>
          <w:rFonts w:ascii="Arial" w:hAnsi="Arial"/>
          <w:lang w:bidi="en-US"/>
        </w:rPr>
        <w:t>22.01.2024</w:t>
      </w:r>
      <w:r>
        <w:rPr>
          <w:rFonts w:ascii="Arial" w:hAnsi="Arial"/>
        </w:rPr>
        <w:t>, a to usnesením č. 2387/2024/SRI/RM</w:t>
      </w:r>
      <w:r>
        <w:rPr>
          <w:rFonts w:ascii="Arial" w:hAnsi="Arial"/>
          <w:lang w:bidi="en-US"/>
        </w:rPr>
        <w:t>.</w:t>
      </w: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tc>
          <w:tcPr>
            <w:tcW w:w="4701" w:type="dxa"/>
          </w:tcPr>
          <w:p>
            <w:pPr>
              <w:pStyle w:val="SML11"/>
              <w:keepNext/>
              <w:keepLines/>
              <w:numPr>
                <w:ilvl w:val="0"/>
                <w:numId w:val="0"/>
              </w:numPr>
              <w:rPr>
                <w:rFonts w:ascii="Arial" w:hAnsi="Arial"/>
              </w:rPr>
            </w:pPr>
            <w:r>
              <w:rPr>
                <w:rFonts w:ascii="Arial" w:hAnsi="Arial"/>
              </w:rPr>
              <w:t xml:space="preserve">za </w:t>
            </w:r>
            <w:r>
              <w:rPr>
                <w:rFonts w:ascii="Arial" w:hAnsi="Arial"/>
                <w:b/>
                <w:bCs w:val="0"/>
              </w:rPr>
              <w:t>Příkazce</w:t>
            </w:r>
            <w:r>
              <w:rPr>
                <w:rFonts w:ascii="Arial" w:hAnsi="Arial"/>
              </w:rPr>
              <w:t>:</w:t>
            </w:r>
          </w:p>
        </w:tc>
        <w:tc>
          <w:tcPr>
            <w:tcW w:w="4701" w:type="dxa"/>
          </w:tcPr>
          <w:p>
            <w:pPr>
              <w:pStyle w:val="SML11"/>
              <w:keepNext/>
              <w:keepLines/>
              <w:numPr>
                <w:ilvl w:val="0"/>
                <w:numId w:val="0"/>
              </w:numPr>
              <w:rPr>
                <w:rFonts w:ascii="Arial" w:hAnsi="Arial"/>
                <w:lang w:bidi="en-US"/>
              </w:rPr>
            </w:pPr>
            <w:r>
              <w:rPr>
                <w:rFonts w:ascii="Arial" w:hAnsi="Arial"/>
                <w:lang w:bidi="en-US"/>
              </w:rPr>
              <w:t xml:space="preserve">za </w:t>
            </w:r>
            <w:r>
              <w:rPr>
                <w:rFonts w:ascii="Arial" w:hAnsi="Arial"/>
                <w:b/>
                <w:bCs w:val="0"/>
                <w:lang w:bidi="en-US"/>
              </w:rPr>
              <w:t>Příkazníka</w:t>
            </w:r>
            <w:r>
              <w:rPr>
                <w:rFonts w:ascii="Arial" w:hAnsi="Arial"/>
                <w:lang w:bidi="en-US"/>
              </w:rPr>
              <w:t xml:space="preserve">: </w:t>
            </w:r>
          </w:p>
        </w:tc>
      </w:tr>
      <w:tr>
        <w:tc>
          <w:tcPr>
            <w:tcW w:w="4701" w:type="dxa"/>
          </w:tcPr>
          <w:p>
            <w:pPr>
              <w:pStyle w:val="SML11"/>
              <w:keepNext/>
              <w:keepLines/>
              <w:numPr>
                <w:ilvl w:val="0"/>
                <w:numId w:val="0"/>
              </w:numPr>
              <w:rPr>
                <w:rFonts w:ascii="Arial" w:hAnsi="Arial"/>
                <w:lang w:bidi="en-US"/>
              </w:rPr>
            </w:pPr>
            <w:r>
              <w:rPr>
                <w:rFonts w:ascii="Arial" w:hAnsi="Arial"/>
              </w:rPr>
              <w:t>Ve Žďáře nad Sázavou</w:t>
            </w:r>
          </w:p>
        </w:tc>
        <w:tc>
          <w:tcPr>
            <w:tcW w:w="4701" w:type="dxa"/>
          </w:tcPr>
          <w:p>
            <w:pPr>
              <w:pStyle w:val="SML11"/>
              <w:keepNext/>
              <w:keepLines/>
              <w:numPr>
                <w:ilvl w:val="0"/>
                <w:numId w:val="0"/>
              </w:numPr>
              <w:rPr>
                <w:rFonts w:ascii="Arial" w:hAnsi="Arial"/>
                <w:lang w:bidi="en-US"/>
              </w:rPr>
            </w:pPr>
            <w:r>
              <w:rPr>
                <w:rFonts w:ascii="Arial" w:hAnsi="Arial"/>
                <w:lang w:bidi="en-US"/>
              </w:rPr>
              <w:t>V Praze</w:t>
            </w:r>
          </w:p>
        </w:tc>
      </w:tr>
      <w:tr>
        <w:tc>
          <w:tcPr>
            <w:tcW w:w="4701" w:type="dxa"/>
          </w:tcPr>
          <w:p>
            <w:pPr>
              <w:pStyle w:val="SML11"/>
              <w:keepNext/>
              <w:keepLines/>
              <w:numPr>
                <w:ilvl w:val="0"/>
                <w:numId w:val="0"/>
              </w:numPr>
              <w:rPr>
                <w:rFonts w:ascii="Arial" w:hAnsi="Arial"/>
                <w:lang w:bidi="en-US"/>
              </w:rPr>
            </w:pPr>
            <w:r>
              <w:rPr>
                <w:rFonts w:ascii="Arial" w:hAnsi="Arial"/>
              </w:rPr>
              <w:t xml:space="preserve">dne </w:t>
            </w:r>
            <w:r>
              <w:rPr>
                <w:rFonts w:ascii="Arial" w:hAnsi="Arial"/>
                <w:i/>
                <w:iCs/>
              </w:rPr>
              <w:t>(dle elektronického podpisu)</w:t>
            </w:r>
          </w:p>
        </w:tc>
        <w:tc>
          <w:tcPr>
            <w:tcW w:w="4701" w:type="dxa"/>
          </w:tcPr>
          <w:p>
            <w:pPr>
              <w:pStyle w:val="SML11"/>
              <w:keepNext/>
              <w:keepLines/>
              <w:numPr>
                <w:ilvl w:val="0"/>
                <w:numId w:val="0"/>
              </w:numPr>
              <w:rPr>
                <w:rFonts w:ascii="Arial" w:hAnsi="Arial"/>
                <w:lang w:bidi="en-US"/>
              </w:rPr>
            </w:pPr>
            <w:r>
              <w:rPr>
                <w:rFonts w:ascii="Arial" w:hAnsi="Arial"/>
              </w:rPr>
              <w:t xml:space="preserve">dne </w:t>
            </w:r>
            <w:r>
              <w:rPr>
                <w:rFonts w:ascii="Arial" w:hAnsi="Arial"/>
                <w:i/>
                <w:iCs/>
              </w:rPr>
              <w:t>(dle elektronického podpisu)</w:t>
            </w:r>
          </w:p>
        </w:tc>
      </w:tr>
      <w:tr>
        <w:tc>
          <w:tcPr>
            <w:tcW w:w="4701" w:type="dxa"/>
          </w:tcPr>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r>
              <w:rPr>
                <w:rFonts w:ascii="Arial" w:hAnsi="Arial"/>
                <w:lang w:bidi="en-US"/>
              </w:rPr>
              <w:t>……………………………………………</w:t>
            </w:r>
          </w:p>
        </w:tc>
        <w:tc>
          <w:tcPr>
            <w:tcW w:w="4701" w:type="dxa"/>
          </w:tcPr>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r>
              <w:rPr>
                <w:rFonts w:ascii="Arial" w:hAnsi="Arial"/>
                <w:lang w:bidi="en-US"/>
              </w:rPr>
              <w:t>……………………………………………</w:t>
            </w:r>
          </w:p>
        </w:tc>
      </w:tr>
      <w:tr>
        <w:tc>
          <w:tcPr>
            <w:tcW w:w="4701" w:type="dxa"/>
          </w:tcPr>
          <w:p>
            <w:pPr>
              <w:pStyle w:val="SML11"/>
              <w:keepNext/>
              <w:keepLines/>
              <w:numPr>
                <w:ilvl w:val="0"/>
                <w:numId w:val="0"/>
              </w:numPr>
              <w:rPr>
                <w:rFonts w:ascii="Arial" w:hAnsi="Arial"/>
                <w:lang w:bidi="en-US"/>
              </w:rPr>
            </w:pPr>
            <w:r>
              <w:rPr>
                <w:rFonts w:ascii="Arial" w:hAnsi="Arial"/>
                <w:lang w:bidi="en-US"/>
              </w:rPr>
              <w:t>Ing. Martin Mrkos, ACCA</w:t>
            </w:r>
          </w:p>
          <w:p>
            <w:pPr>
              <w:pStyle w:val="SML11"/>
              <w:keepNext/>
              <w:keepLines/>
              <w:numPr>
                <w:ilvl w:val="0"/>
                <w:numId w:val="0"/>
              </w:numPr>
              <w:rPr>
                <w:rFonts w:ascii="Arial" w:hAnsi="Arial"/>
                <w:i/>
                <w:iCs/>
                <w:lang w:bidi="en-US"/>
              </w:rPr>
            </w:pPr>
            <w:r>
              <w:rPr>
                <w:rFonts w:ascii="Arial" w:hAnsi="Arial"/>
                <w:i/>
                <w:iCs/>
                <w:lang w:bidi="en-US"/>
              </w:rPr>
              <w:t>starosta</w:t>
            </w:r>
          </w:p>
        </w:tc>
        <w:tc>
          <w:tcPr>
            <w:tcW w:w="4701" w:type="dxa"/>
          </w:tcPr>
          <w:p>
            <w:pPr>
              <w:pStyle w:val="SML11"/>
              <w:keepNext/>
              <w:keepLines/>
              <w:numPr>
                <w:ilvl w:val="0"/>
                <w:numId w:val="0"/>
              </w:numPr>
              <w:rPr>
                <w:rFonts w:ascii="Arial" w:hAnsi="Arial"/>
                <w:lang w:bidi="en-US"/>
              </w:rPr>
            </w:pPr>
            <w:r>
              <w:rPr>
                <w:rFonts w:ascii="Arial" w:hAnsi="Arial"/>
                <w:lang w:bidi="en-US"/>
              </w:rPr>
              <w:t>Ing. Miroslav Blažek</w:t>
            </w:r>
          </w:p>
          <w:p>
            <w:pPr>
              <w:pStyle w:val="SML11"/>
              <w:keepNext/>
              <w:keepLines/>
              <w:numPr>
                <w:ilvl w:val="0"/>
                <w:numId w:val="0"/>
              </w:numPr>
              <w:rPr>
                <w:rFonts w:ascii="Arial" w:hAnsi="Arial"/>
                <w:i/>
                <w:iCs/>
                <w:lang w:bidi="en-US"/>
              </w:rPr>
            </w:pPr>
            <w:r>
              <w:rPr>
                <w:rFonts w:ascii="Arial" w:hAnsi="Arial"/>
                <w:i/>
                <w:iCs/>
                <w:lang w:bidi="en-US"/>
              </w:rPr>
              <w:t>jednatel</w:t>
            </w:r>
          </w:p>
        </w:tc>
      </w:tr>
      <w:tr>
        <w:tc>
          <w:tcPr>
            <w:tcW w:w="4701" w:type="dxa"/>
          </w:tcPr>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r>
              <w:rPr>
                <w:rFonts w:ascii="Arial" w:hAnsi="Arial"/>
                <w:lang w:bidi="en-US"/>
              </w:rPr>
              <w:t>……………………………………………</w:t>
            </w:r>
          </w:p>
        </w:tc>
        <w:tc>
          <w:tcPr>
            <w:tcW w:w="4701" w:type="dxa"/>
          </w:tcPr>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r>
              <w:rPr>
                <w:rFonts w:ascii="Arial" w:hAnsi="Arial"/>
                <w:lang w:bidi="en-US"/>
              </w:rPr>
              <w:t>……………………………………………</w:t>
            </w:r>
          </w:p>
        </w:tc>
      </w:tr>
      <w:tr>
        <w:tc>
          <w:tcPr>
            <w:tcW w:w="4701" w:type="dxa"/>
          </w:tcPr>
          <w:p>
            <w:pPr>
              <w:pStyle w:val="SML11"/>
              <w:keepNext/>
              <w:keepLines/>
              <w:numPr>
                <w:ilvl w:val="0"/>
                <w:numId w:val="0"/>
              </w:numPr>
              <w:rPr>
                <w:rFonts w:ascii="Arial" w:hAnsi="Arial"/>
                <w:lang w:bidi="en-US"/>
              </w:rPr>
            </w:pPr>
            <w:r>
              <w:rPr>
                <w:rFonts w:ascii="Arial" w:hAnsi="Arial"/>
                <w:lang w:bidi="en-US"/>
              </w:rPr>
              <w:t>Ing. Jan Prokop</w:t>
            </w:r>
          </w:p>
          <w:p>
            <w:pPr>
              <w:pStyle w:val="SML11"/>
              <w:keepNext/>
              <w:keepLines/>
              <w:numPr>
                <w:ilvl w:val="0"/>
                <w:numId w:val="0"/>
              </w:numPr>
              <w:jc w:val="left"/>
              <w:rPr>
                <w:rFonts w:ascii="Arial" w:hAnsi="Arial"/>
                <w:i/>
                <w:iCs/>
                <w:lang w:bidi="en-US"/>
              </w:rPr>
            </w:pPr>
            <w:r>
              <w:rPr>
                <w:rFonts w:ascii="Arial" w:hAnsi="Arial"/>
                <w:i/>
                <w:iCs/>
                <w:lang w:bidi="en-US"/>
              </w:rPr>
              <w:t>vedoucí odboru strategického rozvoje a investic</w:t>
            </w:r>
          </w:p>
        </w:tc>
        <w:tc>
          <w:tcPr>
            <w:tcW w:w="4701" w:type="dxa"/>
          </w:tcPr>
          <w:p>
            <w:pPr>
              <w:pStyle w:val="SML11"/>
              <w:keepNext/>
              <w:keepLines/>
              <w:numPr>
                <w:ilvl w:val="0"/>
                <w:numId w:val="0"/>
              </w:numPr>
              <w:rPr>
                <w:rFonts w:ascii="Arial" w:hAnsi="Arial"/>
                <w:lang w:bidi="en-US"/>
              </w:rPr>
            </w:pPr>
            <w:r>
              <w:rPr>
                <w:rFonts w:ascii="Arial" w:hAnsi="Arial"/>
                <w:lang w:bidi="en-US"/>
              </w:rPr>
              <w:t>Ing. Peter Pittner</w:t>
            </w:r>
          </w:p>
          <w:p>
            <w:pPr>
              <w:pStyle w:val="SML11"/>
              <w:keepNext/>
              <w:keepLines/>
              <w:numPr>
                <w:ilvl w:val="0"/>
                <w:numId w:val="0"/>
              </w:numPr>
              <w:rPr>
                <w:rFonts w:ascii="Arial" w:hAnsi="Arial"/>
                <w:i/>
                <w:iCs/>
                <w:lang w:bidi="en-US"/>
              </w:rPr>
            </w:pPr>
            <w:r>
              <w:rPr>
                <w:rFonts w:ascii="Arial" w:hAnsi="Arial"/>
                <w:i/>
                <w:iCs/>
                <w:lang w:bidi="en-US"/>
              </w:rPr>
              <w:t>jednatel</w:t>
            </w:r>
          </w:p>
        </w:tc>
      </w:tr>
    </w:tbl>
    <w:p>
      <w:pPr>
        <w:pStyle w:val="SML11"/>
        <w:keepNext/>
        <w:keepLines/>
        <w:numPr>
          <w:ilvl w:val="0"/>
          <w:numId w:val="0"/>
        </w:numPr>
        <w:rPr>
          <w:rFonts w:ascii="Arial" w:hAnsi="Arial"/>
          <w:lang w:bidi="en-US"/>
        </w:rPr>
      </w:pPr>
    </w:p>
    <w:p>
      <w:pPr>
        <w:spacing w:before="0" w:after="160" w:line="259" w:lineRule="auto"/>
        <w:jc w:val="left"/>
        <w:rPr>
          <w:rFonts w:ascii="Arial" w:eastAsiaTheme="minorHAnsi" w:hAnsi="Arial" w:cs="Arial"/>
          <w:b/>
          <w:bCs/>
          <w:caps/>
          <w:sz w:val="36"/>
          <w:szCs w:val="36"/>
          <w:lang w:eastAsia="en-US"/>
        </w:rPr>
      </w:pPr>
      <w:r>
        <w:rPr>
          <w:rFonts w:ascii="Arial" w:hAnsi="Arial" w:cs="Arial"/>
          <w:b/>
          <w:bCs/>
          <w:sz w:val="36"/>
          <w:szCs w:val="36"/>
        </w:rPr>
        <w:br w:type="page"/>
      </w:r>
    </w:p>
    <w:p>
      <w:pPr>
        <w:pStyle w:val="NZEV"/>
        <w:rPr>
          <w:rFonts w:ascii="Arial" w:hAnsi="Arial" w:cs="Arial"/>
          <w:b/>
          <w:bCs/>
          <w:sz w:val="36"/>
          <w:szCs w:val="36"/>
        </w:rPr>
      </w:pPr>
      <w:r>
        <w:rPr>
          <w:rFonts w:ascii="Arial" w:hAnsi="Arial" w:cs="Arial"/>
          <w:b/>
          <w:bCs/>
          <w:sz w:val="36"/>
          <w:szCs w:val="36"/>
        </w:rPr>
        <w:lastRenderedPageBreak/>
        <w:t xml:space="preserve">PLNÁ MOC </w:t>
      </w:r>
    </w:p>
    <w:p>
      <w:pPr>
        <w:pStyle w:val="SML11"/>
        <w:numPr>
          <w:ilvl w:val="0"/>
          <w:numId w:val="0"/>
        </w:numPr>
        <w:ind w:left="709" w:hanging="709"/>
        <w:rPr>
          <w:rFonts w:ascii="Arial" w:hAnsi="Arial"/>
        </w:rPr>
      </w:pPr>
    </w:p>
    <w:p>
      <w:pPr>
        <w:pStyle w:val="SML11"/>
        <w:numPr>
          <w:ilvl w:val="0"/>
          <w:numId w:val="0"/>
        </w:numPr>
        <w:ind w:left="709" w:hanging="709"/>
        <w:rPr>
          <w:rFonts w:ascii="Arial" w:hAnsi="Arial"/>
          <w:color w:val="000000"/>
          <w:sz w:val="24"/>
          <w:szCs w:val="24"/>
        </w:rPr>
      </w:pPr>
      <w:r>
        <w:rPr>
          <w:rFonts w:ascii="Arial" w:hAnsi="Arial"/>
          <w:sz w:val="24"/>
          <w:szCs w:val="24"/>
          <w:lang w:bidi="en-US"/>
        </w:rPr>
        <w:t>Město Žďár nad Sázavou</w:t>
      </w:r>
    </w:p>
    <w:p>
      <w:pPr>
        <w:spacing w:before="0" w:after="0"/>
        <w:rPr>
          <w:rFonts w:ascii="Arial" w:hAnsi="Arial" w:cs="Arial"/>
          <w:bCs/>
          <w:color w:val="000000"/>
          <w:szCs w:val="24"/>
        </w:rPr>
      </w:pPr>
      <w:r>
        <w:rPr>
          <w:rFonts w:ascii="Arial" w:hAnsi="Arial" w:cs="Arial"/>
          <w:szCs w:val="24"/>
          <w:lang w:bidi="en-US"/>
        </w:rPr>
        <w:t>Žižkova 227/1, 591 01 Žďár nad Sázavou</w:t>
      </w:r>
    </w:p>
    <w:p>
      <w:pPr>
        <w:spacing w:before="0" w:after="0"/>
        <w:rPr>
          <w:rFonts w:ascii="Arial" w:hAnsi="Arial" w:cs="Arial"/>
          <w:color w:val="000000"/>
          <w:szCs w:val="24"/>
        </w:rPr>
      </w:pPr>
      <w:r>
        <w:rPr>
          <w:rFonts w:ascii="Arial" w:hAnsi="Arial" w:cs="Arial"/>
          <w:szCs w:val="24"/>
          <w:lang w:bidi="en-US"/>
        </w:rPr>
        <w:t>IČ 00295841</w:t>
      </w:r>
    </w:p>
    <w:p>
      <w:pPr>
        <w:spacing w:before="0" w:after="0"/>
        <w:rPr>
          <w:rFonts w:ascii="Arial" w:hAnsi="Arial" w:cs="Arial"/>
          <w:color w:val="000000"/>
          <w:szCs w:val="24"/>
        </w:rPr>
      </w:pPr>
      <w:r>
        <w:rPr>
          <w:rFonts w:ascii="Arial" w:hAnsi="Arial" w:cs="Arial"/>
          <w:color w:val="000000"/>
          <w:szCs w:val="24"/>
        </w:rPr>
        <w:t xml:space="preserve">zastoupený </w:t>
      </w:r>
      <w:r>
        <w:rPr>
          <w:rFonts w:ascii="Arial" w:hAnsi="Arial" w:cs="Arial"/>
          <w:szCs w:val="24"/>
          <w:lang w:bidi="en-US"/>
        </w:rPr>
        <w:t>Ing. Martin Mrkos, ACCA, starosta</w:t>
      </w:r>
    </w:p>
    <w:p>
      <w:pPr>
        <w:spacing w:before="0" w:after="0"/>
        <w:rPr>
          <w:rFonts w:ascii="Arial" w:hAnsi="Arial" w:cs="Arial"/>
          <w:color w:val="000000"/>
          <w:szCs w:val="24"/>
        </w:rPr>
      </w:pPr>
      <w:r>
        <w:rPr>
          <w:rFonts w:ascii="Arial" w:hAnsi="Arial" w:cs="Arial"/>
          <w:color w:val="000000"/>
          <w:szCs w:val="24"/>
        </w:rPr>
        <w:t>(dále jen „</w:t>
      </w:r>
      <w:r>
        <w:rPr>
          <w:rFonts w:ascii="Arial" w:hAnsi="Arial" w:cs="Arial"/>
          <w:b/>
          <w:bCs/>
          <w:color w:val="000000"/>
          <w:szCs w:val="24"/>
        </w:rPr>
        <w:t>Zmocnitel“</w:t>
      </w:r>
      <w:r>
        <w:rPr>
          <w:rFonts w:ascii="Arial" w:hAnsi="Arial" w:cs="Arial"/>
          <w:color w:val="000000"/>
          <w:szCs w:val="24"/>
        </w:rPr>
        <w:t>)</w:t>
      </w:r>
    </w:p>
    <w:p>
      <w:pPr>
        <w:spacing w:before="0" w:after="0"/>
        <w:rPr>
          <w:rFonts w:ascii="Arial" w:hAnsi="Arial" w:cs="Arial"/>
          <w:color w:val="000000"/>
          <w:szCs w:val="24"/>
        </w:rPr>
      </w:pPr>
    </w:p>
    <w:p>
      <w:pPr>
        <w:spacing w:before="0" w:after="0"/>
        <w:rPr>
          <w:rFonts w:ascii="Arial" w:hAnsi="Arial" w:cs="Arial"/>
          <w:color w:val="000000"/>
          <w:szCs w:val="24"/>
        </w:rPr>
      </w:pPr>
      <w:r>
        <w:rPr>
          <w:rFonts w:ascii="Arial" w:hAnsi="Arial" w:cs="Arial"/>
          <w:color w:val="000000"/>
          <w:szCs w:val="24"/>
        </w:rPr>
        <w:t>zmocňuje</w:t>
      </w:r>
    </w:p>
    <w:p>
      <w:pPr>
        <w:spacing w:before="0" w:after="0"/>
        <w:rPr>
          <w:rFonts w:ascii="Arial" w:hAnsi="Arial" w:cs="Arial"/>
          <w:color w:val="000000"/>
          <w:szCs w:val="24"/>
        </w:rPr>
      </w:pPr>
    </w:p>
    <w:p>
      <w:pPr>
        <w:spacing w:before="0" w:after="0"/>
        <w:rPr>
          <w:rFonts w:ascii="Arial" w:eastAsia="Times New Roman" w:hAnsi="Arial" w:cs="Arial"/>
          <w:bCs/>
          <w:szCs w:val="24"/>
          <w:shd w:val="clear" w:color="auto" w:fill="FFFFFF"/>
          <w:lang w:eastAsia="ar-SA" w:bidi="en-US"/>
        </w:rPr>
      </w:pPr>
      <w:r>
        <w:rPr>
          <w:rFonts w:ascii="Arial" w:eastAsia="Times New Roman" w:hAnsi="Arial" w:cs="Arial"/>
          <w:bCs/>
          <w:szCs w:val="24"/>
          <w:shd w:val="clear" w:color="auto" w:fill="FFFFFF"/>
          <w:lang w:eastAsia="ar-SA" w:bidi="en-US"/>
        </w:rPr>
        <w:t>BUNG CZ s.r.o.</w:t>
      </w:r>
    </w:p>
    <w:p>
      <w:pPr>
        <w:spacing w:before="0" w:after="0"/>
        <w:rPr>
          <w:rFonts w:ascii="Arial" w:hAnsi="Arial" w:cs="Arial"/>
          <w:bCs/>
          <w:color w:val="000000"/>
          <w:szCs w:val="24"/>
        </w:rPr>
      </w:pPr>
      <w:r>
        <w:rPr>
          <w:rFonts w:ascii="Arial" w:hAnsi="Arial" w:cs="Arial"/>
          <w:szCs w:val="24"/>
        </w:rPr>
        <w:t xml:space="preserve">Sídlo: </w:t>
      </w:r>
      <w:r>
        <w:rPr>
          <w:rFonts w:ascii="Arial" w:hAnsi="Arial" w:cs="Arial"/>
          <w:bCs/>
          <w:szCs w:val="24"/>
          <w:lang w:bidi="en-US"/>
        </w:rPr>
        <w:t>V olšinách 2300/75, Strašnice, 100 00 Praha 10</w:t>
      </w:r>
    </w:p>
    <w:p>
      <w:pPr>
        <w:spacing w:before="0" w:after="0"/>
        <w:rPr>
          <w:rFonts w:ascii="Arial" w:hAnsi="Arial" w:cs="Arial"/>
          <w:color w:val="000000"/>
          <w:szCs w:val="24"/>
        </w:rPr>
      </w:pPr>
      <w:r>
        <w:rPr>
          <w:rFonts w:ascii="Arial" w:hAnsi="Arial" w:cs="Arial"/>
          <w:color w:val="000000"/>
          <w:szCs w:val="24"/>
        </w:rPr>
        <w:t xml:space="preserve">IČO: </w:t>
      </w:r>
      <w:r>
        <w:rPr>
          <w:rFonts w:ascii="Arial" w:hAnsi="Arial" w:cs="Arial"/>
          <w:bCs/>
          <w:szCs w:val="24"/>
          <w:lang w:bidi="en-US"/>
        </w:rPr>
        <w:t>27454576</w:t>
      </w:r>
    </w:p>
    <w:p>
      <w:pPr>
        <w:spacing w:before="0" w:after="0"/>
        <w:rPr>
          <w:rFonts w:ascii="Arial" w:hAnsi="Arial" w:cs="Arial"/>
          <w:bCs/>
          <w:szCs w:val="24"/>
          <w:lang w:bidi="en-US"/>
        </w:rPr>
      </w:pPr>
      <w:r>
        <w:rPr>
          <w:rFonts w:ascii="Arial" w:hAnsi="Arial" w:cs="Arial"/>
          <w:color w:val="000000"/>
          <w:szCs w:val="24"/>
        </w:rPr>
        <w:t xml:space="preserve">zastoupený: </w:t>
      </w:r>
      <w:r>
        <w:rPr>
          <w:rFonts w:ascii="Arial" w:hAnsi="Arial" w:cs="Arial"/>
          <w:bCs/>
          <w:szCs w:val="24"/>
          <w:lang w:bidi="en-US"/>
        </w:rPr>
        <w:t>CZ27454576</w:t>
      </w:r>
    </w:p>
    <w:p>
      <w:pPr>
        <w:spacing w:before="0" w:after="0"/>
        <w:rPr>
          <w:rFonts w:ascii="Arial" w:hAnsi="Arial" w:cs="Arial"/>
          <w:bCs/>
          <w:szCs w:val="24"/>
          <w:lang w:bidi="en-US"/>
        </w:rPr>
      </w:pPr>
      <w:r>
        <w:rPr>
          <w:rFonts w:ascii="Arial" w:hAnsi="Arial" w:cs="Arial"/>
          <w:bCs/>
          <w:szCs w:val="24"/>
          <w:lang w:bidi="en-US"/>
        </w:rPr>
        <w:t>(dále jen „</w:t>
      </w:r>
      <w:r>
        <w:rPr>
          <w:rFonts w:ascii="Arial" w:hAnsi="Arial" w:cs="Arial"/>
          <w:b/>
          <w:szCs w:val="24"/>
          <w:lang w:bidi="en-US"/>
        </w:rPr>
        <w:t>Zmocněnec“</w:t>
      </w:r>
      <w:r>
        <w:rPr>
          <w:rFonts w:ascii="Arial" w:hAnsi="Arial" w:cs="Arial"/>
          <w:bCs/>
          <w:szCs w:val="24"/>
          <w:lang w:bidi="en-US"/>
        </w:rPr>
        <w:t>)</w:t>
      </w:r>
    </w:p>
    <w:p>
      <w:pPr>
        <w:spacing w:before="0" w:after="0"/>
        <w:rPr>
          <w:rFonts w:ascii="Arial" w:hAnsi="Arial" w:cs="Arial"/>
          <w:bCs/>
          <w:szCs w:val="24"/>
          <w:lang w:bidi="en-US"/>
        </w:rPr>
      </w:pPr>
    </w:p>
    <w:p>
      <w:pPr>
        <w:spacing w:before="0"/>
        <w:rPr>
          <w:rFonts w:ascii="Arial" w:hAnsi="Arial" w:cs="Arial"/>
          <w:bCs/>
          <w:szCs w:val="24"/>
          <w:lang w:bidi="en-US"/>
        </w:rPr>
      </w:pPr>
      <w:r>
        <w:rPr>
          <w:rFonts w:ascii="Arial" w:hAnsi="Arial" w:cs="Arial"/>
          <w:bCs/>
          <w:szCs w:val="24"/>
          <w:lang w:bidi="en-US"/>
        </w:rPr>
        <w:t xml:space="preserve">k zastupování Zmocnitele ve všech právních jednáních vůči třetím osobám, včetně orgánů veřejné moci, při výkonu technického dozoru stavebníka v rámci realizace akce Rekonstrukce Vysocké ulice, Žďár nad Sázavou, a to v tomto rozsahu a za těchto podmínek: </w:t>
      </w:r>
    </w:p>
    <w:p>
      <w:pPr>
        <w:pStyle w:val="Odstavecseseznamem"/>
        <w:numPr>
          <w:ilvl w:val="0"/>
          <w:numId w:val="17"/>
        </w:numPr>
        <w:spacing w:before="0" w:after="0"/>
        <w:contextualSpacing/>
        <w:outlineLvl w:val="9"/>
        <w:rPr>
          <w:rFonts w:ascii="Arial" w:hAnsi="Arial"/>
          <w:sz w:val="24"/>
          <w:szCs w:val="24"/>
        </w:rPr>
      </w:pPr>
      <w:r>
        <w:rPr>
          <w:rFonts w:ascii="Arial" w:hAnsi="Arial"/>
          <w:sz w:val="24"/>
          <w:szCs w:val="24"/>
        </w:rPr>
        <w:t xml:space="preserve">Zmocněnec je oprávněn vykonávat za Zmocnitele veškeré úkony vyplývající z </w:t>
      </w:r>
      <w:r>
        <w:rPr>
          <w:rFonts w:ascii="Arial" w:hAnsi="Arial"/>
          <w:sz w:val="24"/>
          <w:szCs w:val="24"/>
          <w:lang w:bidi="en-US"/>
        </w:rPr>
        <w:t>příkazní smlouvy o výkonu technického dozoru stavebníka</w:t>
      </w:r>
      <w:r>
        <w:rPr>
          <w:sz w:val="24"/>
          <w:szCs w:val="24"/>
        </w:rPr>
        <w:t xml:space="preserve"> </w:t>
      </w:r>
      <w:r>
        <w:rPr>
          <w:rFonts w:ascii="Arial" w:hAnsi="Arial"/>
          <w:sz w:val="24"/>
          <w:szCs w:val="24"/>
          <w:lang w:bidi="en-US"/>
        </w:rPr>
        <w:t xml:space="preserve">a činnosti koordinátora bezpečnosti a ochrany zdraví při práci, uzavřené mezi Zmocnitelem a Zmocněncem. </w:t>
      </w:r>
    </w:p>
    <w:p>
      <w:pPr>
        <w:pStyle w:val="Odstavecseseznamem"/>
        <w:numPr>
          <w:ilvl w:val="0"/>
          <w:numId w:val="17"/>
        </w:numPr>
        <w:spacing w:before="0" w:after="0"/>
        <w:contextualSpacing/>
        <w:outlineLvl w:val="9"/>
        <w:rPr>
          <w:rFonts w:ascii="Arial" w:hAnsi="Arial"/>
          <w:bCs w:val="0"/>
          <w:sz w:val="24"/>
          <w:szCs w:val="24"/>
          <w:lang w:bidi="en-US"/>
        </w:rPr>
      </w:pPr>
      <w:r>
        <w:rPr>
          <w:rFonts w:ascii="Arial" w:hAnsi="Arial"/>
          <w:sz w:val="24"/>
          <w:szCs w:val="24"/>
          <w:lang w:bidi="en-US"/>
        </w:rPr>
        <w:t xml:space="preserve">Zmocněnec je oprávněn stanovit za sebe pro dílčí jednání dalšího zmocněnce, a to s písemným souhlasem Zmocnitele. </w:t>
      </w:r>
    </w:p>
    <w:p>
      <w:pPr>
        <w:pStyle w:val="Odstavecseseznamem"/>
        <w:numPr>
          <w:ilvl w:val="0"/>
          <w:numId w:val="17"/>
        </w:numPr>
        <w:spacing w:before="0" w:after="0"/>
        <w:contextualSpacing/>
        <w:outlineLvl w:val="9"/>
        <w:rPr>
          <w:rFonts w:ascii="Arial" w:hAnsi="Arial"/>
          <w:sz w:val="24"/>
          <w:szCs w:val="24"/>
        </w:rPr>
      </w:pPr>
      <w:r>
        <w:rPr>
          <w:rFonts w:ascii="Arial" w:hAnsi="Arial"/>
          <w:sz w:val="24"/>
          <w:szCs w:val="24"/>
        </w:rPr>
        <w:t xml:space="preserve">Plná moc zanikne splněním či ukončením výše specifikované příkazní smlouvy, odvoláním Zmocnitele nebo vypovězením Zmocněnce. </w:t>
      </w:r>
    </w:p>
    <w:p>
      <w:pPr>
        <w:spacing w:before="0" w:after="0"/>
        <w:rPr>
          <w:rFonts w:ascii="Arial" w:hAnsi="Arial" w:cs="Arial"/>
          <w:szCs w:val="24"/>
        </w:rPr>
      </w:pPr>
    </w:p>
    <w:p>
      <w:pPr>
        <w:rPr>
          <w:rFonts w:ascii="Arial" w:hAnsi="Arial" w:cs="Arial"/>
          <w:bCs/>
          <w:szCs w:val="24"/>
          <w:lang w:bidi="en-US"/>
        </w:rPr>
      </w:pPr>
      <w:r>
        <w:rPr>
          <w:rFonts w:ascii="Arial" w:hAnsi="Arial" w:cs="Arial"/>
          <w:szCs w:val="24"/>
        </w:rPr>
        <w:t>Ve Žďár nad Sázavou dne (</w:t>
      </w:r>
      <w:r>
        <w:rPr>
          <w:rFonts w:ascii="Arial" w:hAnsi="Arial" w:cs="Arial"/>
          <w:i/>
          <w:iCs/>
          <w:szCs w:val="24"/>
        </w:rPr>
        <w:t>dle elektronického podpisu</w:t>
      </w:r>
      <w:r>
        <w:rPr>
          <w:rFonts w:ascii="Arial" w:hAnsi="Arial" w:cs="Arial"/>
          <w:szCs w:val="24"/>
        </w:rPr>
        <w:t>)</w:t>
      </w:r>
    </w:p>
    <w:p>
      <w:pPr>
        <w:rPr>
          <w:rFonts w:ascii="Arial" w:hAnsi="Arial" w:cs="Arial"/>
          <w:bCs/>
          <w:szCs w:val="24"/>
          <w:lang w:bidi="en-US"/>
        </w:rPr>
      </w:pPr>
    </w:p>
    <w:p>
      <w:pPr>
        <w:rPr>
          <w:rFonts w:ascii="Arial" w:hAnsi="Arial" w:cs="Arial"/>
          <w:bCs/>
          <w:szCs w:val="24"/>
          <w:lang w:bidi="en-US"/>
        </w:rPr>
      </w:pPr>
    </w:p>
    <w:p>
      <w:pPr>
        <w:rPr>
          <w:rFonts w:ascii="Arial" w:hAnsi="Arial" w:cs="Arial"/>
          <w:bCs/>
          <w:szCs w:val="24"/>
          <w:lang w:bidi="en-US"/>
        </w:rPr>
      </w:pPr>
    </w:p>
    <w:p>
      <w:pPr>
        <w:keepNext/>
        <w:keepLines/>
        <w:spacing w:before="0" w:after="0"/>
        <w:rPr>
          <w:rFonts w:ascii="Arial" w:hAnsi="Arial" w:cs="Arial"/>
          <w:szCs w:val="24"/>
        </w:rPr>
      </w:pPr>
      <w:r>
        <w:rPr>
          <w:rFonts w:ascii="Arial" w:hAnsi="Arial" w:cs="Arial"/>
          <w:szCs w:val="24"/>
        </w:rPr>
        <w:t>__________________________________</w:t>
      </w:r>
    </w:p>
    <w:p>
      <w:pPr>
        <w:keepNext/>
        <w:keepLines/>
        <w:spacing w:before="0" w:after="0"/>
        <w:rPr>
          <w:rFonts w:ascii="Arial" w:hAnsi="Arial" w:cs="Arial"/>
          <w:b/>
          <w:szCs w:val="24"/>
        </w:rPr>
      </w:pPr>
      <w:r>
        <w:rPr>
          <w:rFonts w:ascii="Arial" w:hAnsi="Arial" w:cs="Arial"/>
          <w:b/>
          <w:szCs w:val="24"/>
        </w:rPr>
        <w:t>Zmocnitel</w:t>
      </w:r>
    </w:p>
    <w:p>
      <w:pPr>
        <w:rPr>
          <w:rFonts w:ascii="Arial" w:hAnsi="Arial" w:cs="Arial"/>
        </w:rPr>
      </w:pPr>
    </w:p>
    <w:p>
      <w:pPr>
        <w:spacing w:before="0" w:after="160" w:line="259" w:lineRule="auto"/>
        <w:jc w:val="left"/>
        <w:rPr>
          <w:rFonts w:ascii="Arial" w:hAnsi="Arial" w:cs="Arial"/>
        </w:rPr>
      </w:pPr>
      <w:r>
        <w:rPr>
          <w:rFonts w:ascii="Arial" w:hAnsi="Arial" w:cs="Arial"/>
        </w:rPr>
        <w:t xml:space="preserve"> </w:t>
      </w:r>
    </w:p>
    <w:sectPr>
      <w:headerReference w:type="default" r:id="rId8"/>
      <w:footerReference w:type="even" r:id="rId9"/>
      <w:footerReference w:type="default" r:id="rId10"/>
      <w:headerReference w:type="first" r:id="rId11"/>
      <w:footerReference w:type="first" r:id="rId12"/>
      <w:pgSz w:w="11906" w:h="16838"/>
      <w:pgMar w:top="1247" w:right="1247" w:bottom="1134" w:left="1247" w:header="89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Mono">
    <w:altName w:val="Courier New"/>
    <w:charset w:val="01"/>
    <w:family w:val="modern"/>
    <w:pitch w:val="fixed"/>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62748417"/>
      <w:docPartObj>
        <w:docPartGallery w:val="Page Numbers (Bottom of Page)"/>
        <w:docPartUnique/>
      </w:docPartObj>
    </w:sdtPr>
    <w:sdtContent>
      <w:p>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58500398"/>
      <w:docPartObj>
        <w:docPartGallery w:val="Page Numbers (Bottom of Page)"/>
        <w:docPartUnique/>
      </w:docPartObj>
    </w:sdtPr>
    <w:sdtEndPr>
      <w:rPr>
        <w:rStyle w:val="slostrnky"/>
        <w:sz w:val="22"/>
      </w:rPr>
    </w:sdtEndPr>
    <w:sdtContent>
      <w:p>
        <w:pPr>
          <w:pStyle w:val="Zpat"/>
          <w:framePr w:wrap="none" w:vAnchor="text" w:hAnchor="margin" w:xAlign="right" w:y="1"/>
          <w:rPr>
            <w:rStyle w:val="slostrnky"/>
            <w:sz w:val="22"/>
          </w:rPr>
        </w:pPr>
        <w:r>
          <w:rPr>
            <w:rStyle w:val="slostrnky"/>
            <w:sz w:val="22"/>
          </w:rPr>
          <w:fldChar w:fldCharType="begin"/>
        </w:r>
        <w:r>
          <w:rPr>
            <w:rStyle w:val="slostrnky"/>
            <w:sz w:val="22"/>
          </w:rPr>
          <w:instrText xml:space="preserve"> PAGE </w:instrText>
        </w:r>
        <w:r>
          <w:rPr>
            <w:rStyle w:val="slostrnky"/>
            <w:sz w:val="22"/>
          </w:rPr>
          <w:fldChar w:fldCharType="separate"/>
        </w:r>
        <w:r>
          <w:rPr>
            <w:rStyle w:val="slostrnky"/>
            <w:noProof/>
            <w:sz w:val="22"/>
          </w:rPr>
          <w:t>16</w:t>
        </w:r>
        <w:r>
          <w:rPr>
            <w:rStyle w:val="slostrnky"/>
            <w:sz w:val="22"/>
          </w:rPr>
          <w:fldChar w:fldCharType="end"/>
        </w:r>
      </w:p>
    </w:sdtContent>
  </w:sdt>
  <w:p>
    <w:pPr>
      <w:pStyle w:val="Zpat"/>
      <w:ind w:right="360"/>
      <w:jc w:val="right"/>
      <w:rPr>
        <w:sz w:val="22"/>
      </w:rPr>
    </w:pPr>
  </w:p>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30362018"/>
      <w:docPartObj>
        <w:docPartGallery w:val="Page Numbers (Bottom of Page)"/>
        <w:docPartUnique/>
      </w:docPartObj>
    </w:sdtPr>
    <w:sdtContent>
      <w:p>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pPr>
      <w:pStyle w:val="Zpat"/>
      <w:tabs>
        <w:tab w:val="clear" w:pos="4536"/>
        <w:tab w:val="clear" w:pos="9072"/>
        <w:tab w:val="left" w:pos="97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tabs>
        <w:tab w:val="clear" w:pos="4536"/>
        <w:tab w:val="clear" w:pos="9072"/>
        <w:tab w:val="left" w:pos="5595"/>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rPr>
        <w:sz w:val="22"/>
      </w:rPr>
    </w:pPr>
    <w:r>
      <w:rPr>
        <w:sz w:val="22"/>
        <w:highlight w:val="lightGray"/>
      </w:rPr>
      <w:fldChar w:fldCharType="begin"/>
    </w:r>
    <w:r>
      <w:rPr>
        <w:sz w:val="22"/>
        <w:highlight w:val="lightGray"/>
      </w:rPr>
      <w:instrText xml:space="preserve"> MACROBUTTON  AcceptConflict "[logo zadavatele]" </w:instrText>
    </w:r>
    <w:r>
      <w:rPr>
        <w:sz w:val="22"/>
        <w:highlight w:val="lightGray"/>
      </w:rPr>
      <w:fldChar w:fldCharType="end"/>
    </w:r>
  </w:p>
  <w:p>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B0F"/>
    <w:multiLevelType w:val="multilevel"/>
    <w:tmpl w:val="39D05EC0"/>
    <w:lvl w:ilvl="0">
      <w:start w:val="1"/>
      <w:numFmt w:val="lowerRoman"/>
      <w:pStyle w:val="i"/>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 w15:restartNumberingAfterBreak="0">
    <w:nsid w:val="0ABA2B84"/>
    <w:multiLevelType w:val="multilevel"/>
    <w:tmpl w:val="B1DE07B6"/>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2572CE"/>
    <w:multiLevelType w:val="hybridMultilevel"/>
    <w:tmpl w:val="A4446182"/>
    <w:lvl w:ilvl="0" w:tplc="0E4264A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22734DFE"/>
    <w:multiLevelType w:val="multilevel"/>
    <w:tmpl w:val="95DA5F38"/>
    <w:styleLink w:val="Aktulnseznam2"/>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B75D6A"/>
    <w:multiLevelType w:val="multilevel"/>
    <w:tmpl w:val="C152E5CA"/>
    <w:styleLink w:val="Aktulnseznam5"/>
    <w:lvl w:ilvl="0">
      <w:numFmt w:val="bullet"/>
      <w:lvlText w:val="-"/>
      <w:lvlJc w:val="left"/>
      <w:pPr>
        <w:ind w:left="1069" w:hanging="360"/>
      </w:pPr>
      <w:rPr>
        <w:rFonts w:ascii="Calibri" w:eastAsia="Times New Roman" w:hAnsi="Calibri" w:cs="Calibri"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 w15:restartNumberingAfterBreak="0">
    <w:nsid w:val="2B785D48"/>
    <w:multiLevelType w:val="multilevel"/>
    <w:tmpl w:val="365AA5C6"/>
    <w:lvl w:ilvl="0">
      <w:start w:val="1"/>
      <w:numFmt w:val="upperRoman"/>
      <w:pStyle w:val="SML1"/>
      <w:lvlText w:val="%1. "/>
      <w:lvlJc w:val="right"/>
      <w:pPr>
        <w:ind w:left="3583" w:hanging="180"/>
      </w:pPr>
      <w:rPr>
        <w:rFonts w:hint="default"/>
      </w:rPr>
    </w:lvl>
    <w:lvl w:ilvl="1">
      <w:start w:val="1"/>
      <w:numFmt w:val="decimal"/>
      <w:pStyle w:val="SML11"/>
      <w:lvlText w:val="%2."/>
      <w:lvlJc w:val="left"/>
      <w:pPr>
        <w:ind w:left="502"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184B03"/>
    <w:multiLevelType w:val="multilevel"/>
    <w:tmpl w:val="F56CE366"/>
    <w:styleLink w:val="Aktulnseznam6"/>
    <w:lvl w:ilvl="0">
      <w:start w:val="1"/>
      <w:numFmt w:val="upperRoman"/>
      <w:lvlText w:val="%1."/>
      <w:lvlJc w:val="right"/>
      <w:pPr>
        <w:ind w:left="3583" w:hanging="180"/>
      </w:pPr>
    </w:lvl>
    <w:lvl w:ilvl="1">
      <w:start w:val="1"/>
      <w:numFmt w:val="decimal"/>
      <w:lvlText w:val="%2."/>
      <w:lvlJc w:val="left"/>
      <w:pPr>
        <w:ind w:left="502"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D17EAF"/>
    <w:multiLevelType w:val="hybridMultilevel"/>
    <w:tmpl w:val="5D5AAE4A"/>
    <w:lvl w:ilvl="0" w:tplc="C3B0C724">
      <w:start w:val="1"/>
      <w:numFmt w:val="bullet"/>
      <w:pStyle w:val="SMLOdr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54CA08D6"/>
    <w:multiLevelType w:val="hybridMultilevel"/>
    <w:tmpl w:val="DBEC99FE"/>
    <w:lvl w:ilvl="0" w:tplc="E3D8977C">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5DDC166E"/>
    <w:multiLevelType w:val="hybridMultilevel"/>
    <w:tmpl w:val="2DE05CE0"/>
    <w:lvl w:ilvl="0" w:tplc="86446E4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B0727B6"/>
    <w:multiLevelType w:val="hybridMultilevel"/>
    <w:tmpl w:val="A8DC90B2"/>
    <w:lvl w:ilvl="0" w:tplc="1074B92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6FC40589"/>
    <w:multiLevelType w:val="multilevel"/>
    <w:tmpl w:val="DCEAA450"/>
    <w:lvl w:ilvl="0">
      <w:start w:val="1"/>
      <w:numFmt w:val="decimal"/>
      <w:pStyle w:val="Styl1"/>
      <w:lvlText w:val="%1."/>
      <w:lvlJc w:val="left"/>
      <w:pPr>
        <w:tabs>
          <w:tab w:val="num" w:pos="709"/>
        </w:tabs>
        <w:ind w:left="709" w:hanging="709"/>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2"/>
      <w:lvlText w:val="%1.%2."/>
      <w:lvlJc w:val="left"/>
      <w:pPr>
        <w:tabs>
          <w:tab w:val="num" w:pos="709"/>
        </w:tabs>
        <w:ind w:left="709" w:hanging="709"/>
      </w:pPr>
      <w:rPr>
        <w:rFonts w:hint="default"/>
        <w:b w:val="0"/>
        <w:color w:val="auto"/>
      </w:rPr>
    </w:lvl>
    <w:lvl w:ilvl="2">
      <w:start w:val="1"/>
      <w:numFmt w:val="decimal"/>
      <w:pStyle w:val="Styl3"/>
      <w:lvlText w:val="%1.%2.%3."/>
      <w:lvlJc w:val="left"/>
      <w:pPr>
        <w:tabs>
          <w:tab w:val="num" w:pos="709"/>
        </w:tabs>
        <w:ind w:left="709" w:firstLine="709"/>
      </w:pPr>
      <w:rPr>
        <w:rFonts w:ascii="Calibri" w:eastAsia="Times New Roman" w:hAnsi="Calibri"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732D41"/>
    <w:multiLevelType w:val="hybridMultilevel"/>
    <w:tmpl w:val="F7CE4214"/>
    <w:lvl w:ilvl="0" w:tplc="0FD0EDB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71201AFD"/>
    <w:multiLevelType w:val="multilevel"/>
    <w:tmpl w:val="5E4AD1BA"/>
    <w:styleLink w:val="Aktulnseznam4"/>
    <w:lvl w:ilvl="0">
      <w:start w:val="1"/>
      <w:numFmt w:val="upperRoman"/>
      <w:lvlText w:val="%1."/>
      <w:lvlJc w:val="right"/>
      <w:pPr>
        <w:ind w:left="180" w:hanging="18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8073CF"/>
    <w:multiLevelType w:val="multilevel"/>
    <w:tmpl w:val="8F566502"/>
    <w:styleLink w:val="Aktulnseznam1"/>
    <w:lvl w:ilvl="0">
      <w:start w:val="1"/>
      <w:numFmt w:val="upperRoman"/>
      <w:lvlText w:val="%1."/>
      <w:lvlJc w:val="righ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7A5756"/>
    <w:multiLevelType w:val="multilevel"/>
    <w:tmpl w:val="CA8AC0AC"/>
    <w:styleLink w:val="Aktulnseznam3"/>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B0710C4"/>
    <w:multiLevelType w:val="hybridMultilevel"/>
    <w:tmpl w:val="09B4AE0A"/>
    <w:lvl w:ilvl="0" w:tplc="5F9C6FA2">
      <w:start w:val="5"/>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2"/>
  </w:num>
  <w:num w:numId="7">
    <w:abstractNumId w:val="2"/>
  </w:num>
  <w:num w:numId="8">
    <w:abstractNumId w:val="14"/>
  </w:num>
  <w:num w:numId="9">
    <w:abstractNumId w:val="3"/>
  </w:num>
  <w:num w:numId="10">
    <w:abstractNumId w:val="15"/>
  </w:num>
  <w:num w:numId="11">
    <w:abstractNumId w:val="5"/>
  </w:num>
  <w:num w:numId="12">
    <w:abstractNumId w:val="13"/>
  </w:num>
  <w:num w:numId="13">
    <w:abstractNumId w:val="10"/>
  </w:num>
  <w:num w:numId="14">
    <w:abstractNumId w:val="4"/>
  </w:num>
  <w:num w:numId="15">
    <w:abstractNumId w:val="6"/>
  </w:num>
  <w:num w:numId="16">
    <w:abstractNumId w:val="1"/>
  </w:num>
  <w:num w:numId="17">
    <w:abstractNumId w:val="16"/>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revisionView w:formatting="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before="240" w:after="120" w:line="240" w:lineRule="auto"/>
      <w:jc w:val="both"/>
    </w:pPr>
    <w:rPr>
      <w:rFonts w:ascii="Calibri" w:eastAsia="Calibri" w:hAnsi="Calibri" w:cs="Times New Roman"/>
      <w:sz w:val="24"/>
      <w:lang w:eastAsia="cs-CZ"/>
    </w:rPr>
  </w:style>
  <w:style w:type="paragraph" w:styleId="Nadpis1">
    <w:name w:val="heading 1"/>
    <w:aliases w:val="Analyza 1"/>
    <w:basedOn w:val="Normln"/>
    <w:next w:val="Normln"/>
    <w:link w:val="Nadpis1Char"/>
    <w:qFormat/>
    <w:pPr>
      <w:keepNext/>
      <w:keepLines/>
      <w:tabs>
        <w:tab w:val="left" w:pos="709"/>
      </w:tabs>
      <w:ind w:left="709" w:hanging="709"/>
      <w:outlineLvl w:val="0"/>
    </w:pPr>
    <w:rPr>
      <w:rFonts w:eastAsia="Times New Roman" w:cs="Arial"/>
      <w:b/>
      <w:bCs/>
      <w:kern w:val="32"/>
      <w:szCs w:val="32"/>
    </w:rPr>
  </w:style>
  <w:style w:type="paragraph" w:styleId="Nadpis2">
    <w:name w:val="heading 2"/>
    <w:aliases w:val="Analyza 2"/>
    <w:basedOn w:val="Normln"/>
    <w:next w:val="Normln"/>
    <w:link w:val="Nadpis2Char"/>
    <w:uiPriority w:val="9"/>
    <w:pPr>
      <w:keepNext/>
      <w:keepLines/>
      <w:tabs>
        <w:tab w:val="left" w:pos="709"/>
        <w:tab w:val="left" w:pos="7655"/>
      </w:tabs>
      <w:ind w:left="709" w:hanging="709"/>
      <w:outlineLvl w:val="1"/>
    </w:pPr>
    <w:rPr>
      <w:rFonts w:eastAsia="Times New Roman" w:cs="Arial"/>
      <w:b/>
      <w:bCs/>
      <w:iCs/>
      <w:szCs w:val="28"/>
    </w:rPr>
  </w:style>
  <w:style w:type="paragraph" w:styleId="Nadpis3">
    <w:name w:val="heading 3"/>
    <w:aliases w:val="Analyza 3"/>
    <w:basedOn w:val="Normln"/>
    <w:next w:val="Normln"/>
    <w:link w:val="Nadpis3Char"/>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nhideWhenUsed/>
    <w:pPr>
      <w:spacing w:before="0" w:after="60"/>
      <w:ind w:left="709" w:hanging="709"/>
      <w:outlineLvl w:val="3"/>
    </w:pPr>
    <w:rPr>
      <w:rFonts w:eastAsia="Times New Roman"/>
      <w:bCs/>
      <w:szCs w:val="20"/>
      <w:lang w:val="la-Latn"/>
    </w:rPr>
  </w:style>
  <w:style w:type="paragraph" w:styleId="Nadpis5">
    <w:name w:val="heading 5"/>
    <w:basedOn w:val="Normln"/>
    <w:next w:val="Normln"/>
    <w:link w:val="Nadpis5Char"/>
    <w:unhideWhenUsed/>
    <w:pPr>
      <w:keepLines/>
      <w:spacing w:before="40"/>
      <w:ind w:left="709" w:hanging="709"/>
      <w:outlineLvl w:val="4"/>
    </w:pPr>
    <w:rPr>
      <w:rFonts w:asciiTheme="majorHAnsi" w:eastAsiaTheme="majorEastAsia" w:hAnsiTheme="majorHAnsi" w:cstheme="majorBidi"/>
      <w:color w:val="2E74B5" w:themeColor="accent1" w:themeShade="BF"/>
      <w:szCs w:val="24"/>
    </w:rPr>
  </w:style>
  <w:style w:type="paragraph" w:styleId="Nadpis6">
    <w:name w:val="heading 6"/>
    <w:basedOn w:val="Normln"/>
    <w:next w:val="Normln"/>
    <w:link w:val="Nadpis6Char"/>
    <w:unhideWhenUsed/>
    <w:pPr>
      <w:keepLines/>
      <w:spacing w:before="40"/>
      <w:ind w:left="709" w:hanging="709"/>
      <w:outlineLvl w:val="5"/>
    </w:pPr>
    <w:rPr>
      <w:rFonts w:asciiTheme="majorHAnsi" w:eastAsiaTheme="majorEastAsia" w:hAnsiTheme="majorHAnsi" w:cstheme="majorBidi"/>
      <w:color w:val="1F4D78" w:themeColor="accent1" w:themeShade="7F"/>
      <w:szCs w:val="24"/>
    </w:rPr>
  </w:style>
  <w:style w:type="paragraph" w:styleId="Nadpis7">
    <w:name w:val="heading 7"/>
    <w:basedOn w:val="Normln"/>
    <w:next w:val="Normln"/>
    <w:link w:val="Nadpis7Char"/>
    <w:uiPriority w:val="9"/>
    <w:semiHidden/>
    <w:unhideWhenUsed/>
    <w:pPr>
      <w:keepLines/>
      <w:spacing w:before="40"/>
      <w:ind w:left="709" w:hanging="709"/>
      <w:outlineLvl w:val="6"/>
    </w:pPr>
    <w:rPr>
      <w:rFonts w:asciiTheme="majorHAnsi" w:eastAsiaTheme="majorEastAsia" w:hAnsiTheme="majorHAnsi" w:cstheme="majorBidi"/>
      <w:i/>
      <w:iCs/>
      <w:color w:val="1F4D78" w:themeColor="accent1" w:themeShade="7F"/>
      <w:szCs w:val="24"/>
    </w:rPr>
  </w:style>
  <w:style w:type="paragraph" w:styleId="Nadpis8">
    <w:name w:val="heading 8"/>
    <w:basedOn w:val="Normln"/>
    <w:next w:val="Normln"/>
    <w:link w:val="Nadpis8Char"/>
    <w:unhideWhenUsed/>
    <w:pPr>
      <w:keepLines/>
      <w:spacing w:before="40"/>
      <w:ind w:left="709" w:hanging="709"/>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pPr>
      <w:keepLines/>
      <w:spacing w:before="40"/>
      <w:ind w:left="709" w:hanging="709"/>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ZEVChar">
    <w:name w:val="NÁZEV Char"/>
    <w:link w:val="NZEV"/>
    <w:locked/>
    <w:rPr>
      <w:rFonts w:ascii="Calibri Light" w:hAnsi="Calibri Light"/>
      <w:caps/>
      <w:sz w:val="40"/>
      <w:szCs w:val="32"/>
    </w:rPr>
  </w:style>
  <w:style w:type="paragraph" w:customStyle="1" w:styleId="NZEV">
    <w:name w:val="NÁZEV"/>
    <w:basedOn w:val="Normln"/>
    <w:next w:val="Normln"/>
    <w:link w:val="NZEVChar"/>
    <w:pPr>
      <w:jc w:val="center"/>
    </w:pPr>
    <w:rPr>
      <w:rFonts w:ascii="Calibri Light" w:eastAsiaTheme="minorHAnsi" w:hAnsi="Calibri Light" w:cstheme="minorBidi"/>
      <w:caps/>
      <w:sz w:val="40"/>
      <w:szCs w:val="32"/>
      <w:lang w:eastAsia="en-US"/>
    </w:rPr>
  </w:style>
  <w:style w:type="character" w:styleId="Zstupntext">
    <w:name w:val="Placeholder Text"/>
    <w:basedOn w:val="Standardnpsmoodstavce"/>
    <w:uiPriority w:val="99"/>
    <w:semiHidden/>
    <w:rPr>
      <w:color w:val="808080"/>
    </w:rPr>
  </w:style>
  <w:style w:type="character" w:customStyle="1" w:styleId="NormalChart">
    <w:name w:val="Normal Chart"/>
    <w:uiPriority w:val="1"/>
    <w:rPr>
      <w:lang w:eastAsia="en-US"/>
    </w:rPr>
  </w:style>
  <w:style w:type="paragraph" w:customStyle="1" w:styleId="SML1">
    <w:name w:val="!SML 1."/>
    <w:basedOn w:val="Nadpis3"/>
    <w:next w:val="SML11"/>
    <w:link w:val="SML1Char"/>
    <w:qFormat/>
    <w:pPr>
      <w:numPr>
        <w:numId w:val="11"/>
      </w:numPr>
      <w:spacing w:before="240" w:after="120"/>
      <w:jc w:val="center"/>
      <w:outlineLvl w:val="0"/>
    </w:pPr>
    <w:rPr>
      <w:rFonts w:ascii="Calibri" w:eastAsia="Times New Roman" w:hAnsi="Calibri" w:cs="Arial"/>
      <w:b/>
      <w:bCs/>
      <w:color w:val="auto"/>
      <w:szCs w:val="26"/>
      <w:shd w:val="clear" w:color="auto" w:fill="FFFFFF"/>
      <w:lang w:eastAsia="ar-SA"/>
    </w:rPr>
  </w:style>
  <w:style w:type="character" w:customStyle="1" w:styleId="SML1Char">
    <w:name w:val="!SML 1. Char"/>
    <w:basedOn w:val="Standardnpsmoodstavce"/>
    <w:link w:val="SML1"/>
    <w:rPr>
      <w:rFonts w:ascii="Calibri" w:eastAsia="Times New Roman" w:hAnsi="Calibri" w:cs="Arial"/>
      <w:b/>
      <w:bCs/>
      <w:sz w:val="24"/>
      <w:szCs w:val="26"/>
      <w:lang w:eastAsia="ar-SA"/>
    </w:rPr>
  </w:style>
  <w:style w:type="paragraph" w:customStyle="1" w:styleId="SML11">
    <w:name w:val="!SML 1.1."/>
    <w:basedOn w:val="SML1"/>
    <w:link w:val="SML11Char"/>
    <w:qFormat/>
    <w:pPr>
      <w:keepNext w:val="0"/>
      <w:keepLines w:val="0"/>
      <w:numPr>
        <w:ilvl w:val="1"/>
      </w:numPr>
      <w:spacing w:before="120"/>
      <w:jc w:val="both"/>
      <w:outlineLvl w:val="1"/>
    </w:pPr>
    <w:rPr>
      <w:b w:val="0"/>
      <w:sz w:val="22"/>
      <w:szCs w:val="22"/>
    </w:rPr>
  </w:style>
  <w:style w:type="character" w:customStyle="1" w:styleId="SML11Char">
    <w:name w:val="!SML 1.1. Char"/>
    <w:basedOn w:val="SML1Char"/>
    <w:link w:val="SML11"/>
    <w:rPr>
      <w:rFonts w:ascii="Calibri" w:eastAsia="Times New Roman" w:hAnsi="Calibri" w:cs="Arial"/>
      <w:b w:val="0"/>
      <w:bCs/>
      <w:sz w:val="24"/>
      <w:szCs w:val="26"/>
      <w:lang w:eastAsia="ar-SA"/>
    </w:rPr>
  </w:style>
  <w:style w:type="paragraph" w:customStyle="1" w:styleId="SML111">
    <w:name w:val="!SML 1.1.1."/>
    <w:basedOn w:val="SML11"/>
    <w:link w:val="SML111Char"/>
    <w:qFormat/>
    <w:pPr>
      <w:numPr>
        <w:ilvl w:val="0"/>
        <w:numId w:val="0"/>
      </w:numPr>
    </w:pPr>
    <w:rPr>
      <w:bCs w:val="0"/>
    </w:rPr>
  </w:style>
  <w:style w:type="paragraph" w:customStyle="1" w:styleId="SMLi">
    <w:name w:val="!SML i."/>
    <w:basedOn w:val="SML111"/>
    <w:link w:val="SMLiChar"/>
    <w:qFormat/>
    <w:pPr>
      <w:numPr>
        <w:ilvl w:val="3"/>
      </w:numPr>
      <w:ind w:left="2268" w:hanging="567"/>
    </w:pPr>
  </w:style>
  <w:style w:type="character" w:customStyle="1" w:styleId="SML111Char">
    <w:name w:val="!SML 1.1.1. Char"/>
    <w:basedOn w:val="SML11Char"/>
    <w:link w:val="SML111"/>
    <w:rPr>
      <w:rFonts w:ascii="Calibri" w:eastAsia="Times New Roman" w:hAnsi="Calibri" w:cs="Arial"/>
      <w:b w:val="0"/>
      <w:bCs w:val="0"/>
      <w:sz w:val="24"/>
      <w:szCs w:val="26"/>
      <w:lang w:eastAsia="ar-SA"/>
    </w:rPr>
  </w:style>
  <w:style w:type="character" w:customStyle="1" w:styleId="SMLiChar">
    <w:name w:val="!SML i. Char"/>
    <w:basedOn w:val="SML111Char"/>
    <w:link w:val="SMLi"/>
    <w:rPr>
      <w:rFonts w:ascii="Calibri" w:eastAsia="Times New Roman" w:hAnsi="Calibri" w:cs="Arial"/>
      <w:b w:val="0"/>
      <w:bCs w:val="0"/>
      <w:sz w:val="24"/>
      <w:szCs w:val="26"/>
      <w:lang w:eastAsia="ar-SA"/>
    </w:rPr>
  </w:style>
  <w:style w:type="character" w:customStyle="1" w:styleId="NormalUnderlined">
    <w:name w:val="Normal Underlined"/>
    <w:basedOn w:val="Standardnpsmoodstavce"/>
    <w:uiPriority w:val="1"/>
    <w:rPr>
      <w:rFonts w:asciiTheme="minorHAnsi" w:hAnsiTheme="minorHAnsi"/>
      <w:sz w:val="24"/>
      <w:u w:val="single"/>
    </w:rPr>
  </w:style>
  <w:style w:type="paragraph" w:customStyle="1" w:styleId="SMLOdrka">
    <w:name w:val="SML Odrážka"/>
    <w:basedOn w:val="SMLi"/>
    <w:link w:val="SMLOdrkaChar"/>
    <w:qFormat/>
    <w:pPr>
      <w:numPr>
        <w:ilvl w:val="0"/>
        <w:numId w:val="1"/>
      </w:numPr>
      <w:ind w:left="1701" w:hanging="425"/>
    </w:pPr>
  </w:style>
  <w:style w:type="character" w:customStyle="1" w:styleId="SMLOdrkaChar">
    <w:name w:val="SML Odrážka Char"/>
    <w:basedOn w:val="SMLiChar"/>
    <w:link w:val="SMLOdrka"/>
    <w:rPr>
      <w:rFonts w:ascii="Calibri" w:eastAsia="Times New Roman" w:hAnsi="Calibri" w:cs="Arial"/>
      <w:b w:val="0"/>
      <w:bCs w:val="0"/>
      <w:sz w:val="24"/>
      <w:szCs w:val="26"/>
      <w:lang w:eastAsia="ar-SA"/>
    </w:rPr>
  </w:style>
  <w:style w:type="character" w:customStyle="1" w:styleId="Nadpis3Char">
    <w:name w:val="Nadpis 3 Char"/>
    <w:aliases w:val="Analyza 3 Char"/>
    <w:basedOn w:val="Standardnpsmoodstavce"/>
    <w:link w:val="Nadpis3"/>
    <w:uiPriority w:val="9"/>
    <w:semiHidden/>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pPr>
      <w:tabs>
        <w:tab w:val="center" w:pos="4536"/>
        <w:tab w:val="right" w:pos="9072"/>
      </w:tabs>
      <w:spacing w:before="0" w:after="0"/>
    </w:pPr>
  </w:style>
  <w:style w:type="character" w:customStyle="1" w:styleId="ZhlavChar">
    <w:name w:val="Záhlaví Char"/>
    <w:basedOn w:val="Standardnpsmoodstavce"/>
    <w:link w:val="Zhlav"/>
    <w:uiPriority w:val="99"/>
    <w:rPr>
      <w:rFonts w:ascii="Calibri" w:eastAsia="Calibri" w:hAnsi="Calibri" w:cs="Times New Roman"/>
      <w:sz w:val="24"/>
      <w:lang w:eastAsia="cs-CZ"/>
    </w:rPr>
  </w:style>
  <w:style w:type="paragraph" w:styleId="Zpat">
    <w:name w:val="footer"/>
    <w:basedOn w:val="Normln"/>
    <w:link w:val="ZpatChar"/>
    <w:uiPriority w:val="99"/>
    <w:unhideWhenUsed/>
    <w:pPr>
      <w:tabs>
        <w:tab w:val="center" w:pos="4536"/>
        <w:tab w:val="right" w:pos="9072"/>
      </w:tabs>
      <w:spacing w:before="0" w:after="0"/>
    </w:pPr>
  </w:style>
  <w:style w:type="character" w:customStyle="1" w:styleId="ZpatChar">
    <w:name w:val="Zápatí Char"/>
    <w:basedOn w:val="Standardnpsmoodstavce"/>
    <w:link w:val="Zpat"/>
    <w:uiPriority w:val="99"/>
    <w:rPr>
      <w:rFonts w:ascii="Calibri" w:eastAsia="Calibri" w:hAnsi="Calibri" w:cs="Times New Roman"/>
      <w:sz w:val="24"/>
      <w:lang w:eastAsia="cs-CZ"/>
    </w:rPr>
  </w:style>
  <w:style w:type="character" w:customStyle="1" w:styleId="NormalCapitals">
    <w:name w:val="Normal Capitals"/>
    <w:basedOn w:val="Standardnpsmoodstavce"/>
    <w:uiPriority w:val="1"/>
    <w:rPr>
      <w:rFonts w:asciiTheme="minorHAnsi" w:hAnsiTheme="minorHAnsi"/>
      <w:caps w:val="0"/>
      <w:smallCaps/>
      <w:strike w:val="0"/>
      <w:dstrike w:val="0"/>
      <w:vanish w:val="0"/>
      <w:sz w:val="20"/>
      <w:vertAlign w:val="baseline"/>
    </w:rPr>
  </w:style>
  <w:style w:type="paragraph" w:customStyle="1" w:styleId="30C9092BF7C14817859DCF873770AF03">
    <w:name w:val="30C9092BF7C14817859DCF873770AF03"/>
    <w:rPr>
      <w:rFonts w:eastAsiaTheme="minorEastAsia"/>
      <w:lang w:eastAsia="cs-CZ"/>
    </w:rPr>
  </w:style>
  <w:style w:type="character" w:customStyle="1" w:styleId="NormalBold">
    <w:name w:val="Normal Bold"/>
    <w:basedOn w:val="Standardnpsmoodstavce"/>
    <w:uiPriority w:val="1"/>
    <w:rPr>
      <w:rFonts w:asciiTheme="minorHAnsi" w:hAnsiTheme="minorHAnsi"/>
      <w:b/>
      <w:sz w:val="24"/>
    </w:rPr>
  </w:style>
  <w:style w:type="paragraph" w:styleId="Odstavecseseznamem">
    <w:name w:val="List Paragraph"/>
    <w:basedOn w:val="SML11"/>
    <w:link w:val="OdstavecseseznamemChar"/>
    <w:uiPriority w:val="99"/>
    <w:qFormat/>
  </w:style>
  <w:style w:type="paragraph" w:customStyle="1" w:styleId="2D1564A3BA034801AFE75BDE9A2EDD58">
    <w:name w:val="2D1564A3BA034801AFE75BDE9A2EDD58"/>
    <w:rPr>
      <w:rFonts w:eastAsiaTheme="minorEastAsia"/>
      <w:lang w:eastAsia="cs-CZ"/>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Calibri" w:hAnsi="Segoe UI" w:cs="Segoe UI"/>
      <w:sz w:val="18"/>
      <w:szCs w:val="18"/>
      <w:lang w:eastAsia="cs-CZ"/>
    </w:rPr>
  </w:style>
  <w:style w:type="character" w:customStyle="1" w:styleId="Nadpis1Char">
    <w:name w:val="Nadpis 1 Char"/>
    <w:aliases w:val="Analyza 1 Char"/>
    <w:basedOn w:val="Standardnpsmoodstavce"/>
    <w:link w:val="Nadpis1"/>
    <w:rPr>
      <w:rFonts w:ascii="Calibri" w:eastAsia="Times New Roman" w:hAnsi="Calibri" w:cs="Arial"/>
      <w:b/>
      <w:bCs/>
      <w:kern w:val="32"/>
      <w:sz w:val="24"/>
      <w:szCs w:val="32"/>
      <w:lang w:eastAsia="cs-CZ"/>
    </w:rPr>
  </w:style>
  <w:style w:type="character" w:customStyle="1" w:styleId="Nadpis2Char">
    <w:name w:val="Nadpis 2 Char"/>
    <w:aliases w:val="Analyza 2 Char"/>
    <w:basedOn w:val="Standardnpsmoodstavce"/>
    <w:link w:val="Nadpis2"/>
    <w:uiPriority w:val="9"/>
    <w:rPr>
      <w:rFonts w:ascii="Calibri" w:eastAsia="Times New Roman" w:hAnsi="Calibri" w:cs="Arial"/>
      <w:b/>
      <w:bCs/>
      <w:iCs/>
      <w:sz w:val="24"/>
      <w:szCs w:val="28"/>
      <w:lang w:eastAsia="cs-CZ"/>
    </w:rPr>
  </w:style>
  <w:style w:type="character" w:customStyle="1" w:styleId="Nadpis4Char">
    <w:name w:val="Nadpis 4 Char"/>
    <w:basedOn w:val="Standardnpsmoodstavce"/>
    <w:link w:val="Nadpis4"/>
    <w:rPr>
      <w:rFonts w:ascii="Calibri" w:eastAsia="Times New Roman" w:hAnsi="Calibri" w:cs="Times New Roman"/>
      <w:bCs/>
      <w:sz w:val="24"/>
      <w:szCs w:val="20"/>
      <w:lang w:val="la-Latn" w:eastAsia="cs-CZ"/>
    </w:rPr>
  </w:style>
  <w:style w:type="character" w:customStyle="1" w:styleId="Nadpis5Char">
    <w:name w:val="Nadpis 5 Char"/>
    <w:basedOn w:val="Standardnpsmoodstavce"/>
    <w:link w:val="Nadpis5"/>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lang w:eastAsia="cs-CZ"/>
    </w:rPr>
  </w:style>
  <w:style w:type="paragraph" w:styleId="Normlnweb">
    <w:name w:val="Normal (Web)"/>
    <w:basedOn w:val="Normln"/>
    <w:uiPriority w:val="99"/>
    <w:unhideWhenUsed/>
    <w:pPr>
      <w:spacing w:before="100" w:beforeAutospacing="1" w:after="100" w:afterAutospacing="1"/>
    </w:pPr>
    <w:rPr>
      <w:rFonts w:ascii="Times New Roman" w:eastAsia="Times New Roman" w:hAnsi="Times New Roman"/>
      <w:szCs w:val="24"/>
    </w:rPr>
  </w:style>
  <w:style w:type="paragraph" w:customStyle="1" w:styleId="Styl1">
    <w:name w:val="Styl 1"/>
    <w:basedOn w:val="Nadpis3"/>
    <w:qFormat/>
    <w:pPr>
      <w:numPr>
        <w:numId w:val="2"/>
      </w:numPr>
      <w:spacing w:before="360" w:after="120"/>
      <w:outlineLvl w:val="0"/>
    </w:pPr>
    <w:rPr>
      <w:rFonts w:ascii="Calibri" w:eastAsia="Times New Roman" w:hAnsi="Calibri" w:cs="Arial"/>
      <w:b/>
      <w:bCs/>
      <w:color w:val="auto"/>
      <w:szCs w:val="26"/>
    </w:rPr>
  </w:style>
  <w:style w:type="paragraph" w:customStyle="1" w:styleId="Styl2">
    <w:name w:val="Styl 2"/>
    <w:basedOn w:val="Styl1"/>
    <w:link w:val="Styl2Char"/>
    <w:qFormat/>
    <w:pPr>
      <w:keepNext w:val="0"/>
      <w:keepLines w:val="0"/>
      <w:numPr>
        <w:ilvl w:val="1"/>
      </w:numPr>
      <w:spacing w:before="120"/>
      <w:outlineLvl w:val="1"/>
    </w:pPr>
    <w:rPr>
      <w:b w:val="0"/>
    </w:rPr>
  </w:style>
  <w:style w:type="paragraph" w:customStyle="1" w:styleId="Styl3">
    <w:name w:val="Styl 3"/>
    <w:basedOn w:val="Styl2"/>
    <w:link w:val="Styl3Char"/>
    <w:qFormat/>
    <w:pPr>
      <w:numPr>
        <w:ilvl w:val="2"/>
      </w:numPr>
      <w:tabs>
        <w:tab w:val="clear" w:pos="709"/>
        <w:tab w:val="left" w:pos="1560"/>
      </w:tabs>
      <w:ind w:left="1560" w:hanging="851"/>
    </w:pPr>
    <w:rPr>
      <w:szCs w:val="24"/>
    </w:rPr>
  </w:style>
  <w:style w:type="character" w:customStyle="1" w:styleId="Styl2Char">
    <w:name w:val="Styl 2 Char"/>
    <w:basedOn w:val="Standardnpsmoodstavce"/>
    <w:link w:val="Styl2"/>
    <w:rPr>
      <w:rFonts w:ascii="Calibri" w:eastAsia="Times New Roman" w:hAnsi="Calibri" w:cs="Arial"/>
      <w:bCs/>
      <w:sz w:val="24"/>
      <w:szCs w:val="26"/>
      <w:lang w:eastAsia="cs-CZ"/>
    </w:rPr>
  </w:style>
  <w:style w:type="paragraph" w:customStyle="1" w:styleId="i">
    <w:name w:val="i."/>
    <w:aliases w:val="ii."/>
    <w:basedOn w:val="Normln"/>
    <w:link w:val="iChar"/>
    <w:qFormat/>
    <w:pPr>
      <w:numPr>
        <w:numId w:val="3"/>
      </w:numPr>
      <w:spacing w:before="0"/>
    </w:pPr>
    <w:rPr>
      <w:rFonts w:eastAsia="Times New Roman"/>
      <w:szCs w:val="24"/>
    </w:rPr>
  </w:style>
  <w:style w:type="character" w:customStyle="1" w:styleId="iChar">
    <w:name w:val="i. Char"/>
    <w:aliases w:val="ii. Char"/>
    <w:basedOn w:val="Standardnpsmoodstavce"/>
    <w:link w:val="i"/>
    <w:rPr>
      <w:rFonts w:ascii="Calibri" w:eastAsia="Times New Roman" w:hAnsi="Calibri" w:cs="Times New Roman"/>
      <w:sz w:val="24"/>
      <w:szCs w:val="24"/>
      <w:lang w:eastAsia="cs-CZ"/>
    </w:rPr>
  </w:style>
  <w:style w:type="character" w:customStyle="1" w:styleId="Styl3Char">
    <w:name w:val="Styl 3 Char"/>
    <w:basedOn w:val="Styl2Char"/>
    <w:link w:val="Styl3"/>
    <w:rPr>
      <w:rFonts w:ascii="Calibri" w:eastAsia="Times New Roman" w:hAnsi="Calibri" w:cs="Arial"/>
      <w:bCs/>
      <w:sz w:val="24"/>
      <w:szCs w:val="24"/>
      <w:lang w:eastAsia="cs-CZ"/>
    </w:rPr>
  </w:style>
  <w:style w:type="paragraph" w:styleId="Nadpisobsahu">
    <w:name w:val="TOC Heading"/>
    <w:basedOn w:val="Nadpis1"/>
    <w:next w:val="Normln"/>
    <w:uiPriority w:val="39"/>
    <w:unhideWhenUsed/>
    <w:qFormat/>
    <w:pPr>
      <w:tabs>
        <w:tab w:val="clear" w:pos="709"/>
      </w:tabs>
      <w:spacing w:after="0" w:line="259" w:lineRule="auto"/>
      <w:ind w:left="0" w:firstLine="0"/>
      <w:jc w:val="left"/>
      <w:outlineLvl w:val="9"/>
    </w:pPr>
    <w:rPr>
      <w:rFonts w:asciiTheme="majorHAnsi" w:eastAsiaTheme="majorEastAsia" w:hAnsiTheme="majorHAnsi" w:cstheme="majorBidi"/>
      <w:b w:val="0"/>
      <w:bCs w:val="0"/>
      <w:color w:val="2E74B5" w:themeColor="accent1" w:themeShade="BF"/>
      <w:kern w:val="0"/>
      <w:sz w:val="32"/>
    </w:rPr>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40"/>
    </w:pPr>
  </w:style>
  <w:style w:type="paragraph" w:styleId="Obsah3">
    <w:name w:val="toc 3"/>
    <w:basedOn w:val="Normln"/>
    <w:next w:val="Normln"/>
    <w:autoRedefine/>
    <w:uiPriority w:val="39"/>
    <w:unhideWhenUsed/>
    <w:pPr>
      <w:spacing w:before="0" w:after="100" w:line="259" w:lineRule="auto"/>
      <w:ind w:left="440"/>
      <w:jc w:val="left"/>
    </w:pPr>
    <w:rPr>
      <w:rFonts w:asciiTheme="minorHAnsi" w:eastAsiaTheme="minorEastAsia" w:hAnsiTheme="minorHAnsi" w:cstheme="minorBidi"/>
      <w:sz w:val="22"/>
    </w:rPr>
  </w:style>
  <w:style w:type="paragraph" w:styleId="Obsah4">
    <w:name w:val="toc 4"/>
    <w:basedOn w:val="Normln"/>
    <w:next w:val="Normln"/>
    <w:autoRedefine/>
    <w:uiPriority w:val="39"/>
    <w:unhideWhenUsed/>
    <w:pPr>
      <w:spacing w:before="0" w:after="100" w:line="259" w:lineRule="auto"/>
      <w:ind w:left="660"/>
      <w:jc w:val="left"/>
    </w:pPr>
    <w:rPr>
      <w:rFonts w:asciiTheme="minorHAnsi" w:eastAsiaTheme="minorEastAsia" w:hAnsiTheme="minorHAnsi" w:cstheme="minorBidi"/>
      <w:sz w:val="22"/>
    </w:rPr>
  </w:style>
  <w:style w:type="paragraph" w:styleId="Obsah5">
    <w:name w:val="toc 5"/>
    <w:basedOn w:val="Normln"/>
    <w:next w:val="Normln"/>
    <w:autoRedefine/>
    <w:uiPriority w:val="39"/>
    <w:unhideWhenUsed/>
    <w:pPr>
      <w:spacing w:before="0" w:after="100" w:line="259" w:lineRule="auto"/>
      <w:ind w:left="880"/>
      <w:jc w:val="left"/>
    </w:pPr>
    <w:rPr>
      <w:rFonts w:asciiTheme="minorHAnsi" w:eastAsiaTheme="minorEastAsia" w:hAnsiTheme="minorHAnsi" w:cstheme="minorBidi"/>
      <w:sz w:val="22"/>
    </w:rPr>
  </w:style>
  <w:style w:type="paragraph" w:styleId="Obsah6">
    <w:name w:val="toc 6"/>
    <w:basedOn w:val="Normln"/>
    <w:next w:val="Normln"/>
    <w:autoRedefine/>
    <w:uiPriority w:val="39"/>
    <w:unhideWhenUsed/>
    <w:pPr>
      <w:spacing w:before="0" w:after="100" w:line="259" w:lineRule="auto"/>
      <w:ind w:left="1100"/>
      <w:jc w:val="left"/>
    </w:pPr>
    <w:rPr>
      <w:rFonts w:asciiTheme="minorHAnsi" w:eastAsiaTheme="minorEastAsia" w:hAnsiTheme="minorHAnsi" w:cstheme="minorBidi"/>
      <w:sz w:val="22"/>
    </w:rPr>
  </w:style>
  <w:style w:type="paragraph" w:styleId="Obsah7">
    <w:name w:val="toc 7"/>
    <w:basedOn w:val="Normln"/>
    <w:next w:val="Normln"/>
    <w:autoRedefine/>
    <w:uiPriority w:val="39"/>
    <w:unhideWhenUsed/>
    <w:pPr>
      <w:spacing w:before="0" w:after="100" w:line="259" w:lineRule="auto"/>
      <w:ind w:left="1320"/>
      <w:jc w:val="left"/>
    </w:pPr>
    <w:rPr>
      <w:rFonts w:asciiTheme="minorHAnsi" w:eastAsiaTheme="minorEastAsia" w:hAnsiTheme="minorHAnsi" w:cstheme="minorBidi"/>
      <w:sz w:val="22"/>
    </w:rPr>
  </w:style>
  <w:style w:type="paragraph" w:styleId="Obsah8">
    <w:name w:val="toc 8"/>
    <w:basedOn w:val="Normln"/>
    <w:next w:val="Normln"/>
    <w:autoRedefine/>
    <w:uiPriority w:val="39"/>
    <w:unhideWhenUsed/>
    <w:pPr>
      <w:spacing w:before="0" w:after="100" w:line="259" w:lineRule="auto"/>
      <w:ind w:left="1540"/>
      <w:jc w:val="left"/>
    </w:pPr>
    <w:rPr>
      <w:rFonts w:asciiTheme="minorHAnsi" w:eastAsiaTheme="minorEastAsia" w:hAnsiTheme="minorHAnsi" w:cstheme="minorBidi"/>
      <w:sz w:val="22"/>
    </w:rPr>
  </w:style>
  <w:style w:type="paragraph" w:styleId="Obsah9">
    <w:name w:val="toc 9"/>
    <w:basedOn w:val="Normln"/>
    <w:next w:val="Normln"/>
    <w:autoRedefine/>
    <w:uiPriority w:val="39"/>
    <w:unhideWhenUsed/>
    <w:pPr>
      <w:spacing w:before="0" w:after="100" w:line="259" w:lineRule="auto"/>
      <w:ind w:left="1760"/>
      <w:jc w:val="left"/>
    </w:pPr>
    <w:rPr>
      <w:rFonts w:asciiTheme="minorHAnsi" w:eastAsiaTheme="minorEastAsia" w:hAnsiTheme="minorHAnsi" w:cstheme="minorBidi"/>
      <w:sz w:val="22"/>
    </w:r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Revize">
    <w:name w:val="Revision"/>
    <w:hidden/>
    <w:uiPriority w:val="99"/>
    <w:semiHidden/>
    <w:pPr>
      <w:spacing w:after="0" w:line="240" w:lineRule="auto"/>
    </w:pPr>
    <w:rPr>
      <w:rFonts w:ascii="Calibri" w:eastAsia="Calibri" w:hAnsi="Calibri" w:cs="Times New Roman"/>
      <w:sz w:val="24"/>
      <w:lang w:eastAsia="cs-CZ"/>
    </w:rPr>
  </w:style>
  <w:style w:type="table" w:customStyle="1" w:styleId="Mkatabulky12">
    <w:name w:val="Mřížka tabulky12"/>
    <w:basedOn w:val="Normlntabulka"/>
    <w:next w:val="Mkatabulky"/>
    <w:uiPriority w:val="99"/>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varianta">
    <w:name w:val="5varianta"/>
    <w:basedOn w:val="Normln"/>
    <w:qFormat/>
    <w:pPr>
      <w:keepNext/>
      <w:shd w:val="clear" w:color="auto" w:fill="FFFF00"/>
      <w:spacing w:before="360"/>
    </w:pPr>
    <w:rPr>
      <w:b/>
      <w:i/>
      <w:sz w:val="22"/>
      <w:u w:val="single"/>
      <w:lang w:eastAsia="en-US"/>
    </w:rPr>
  </w:style>
  <w:style w:type="character" w:customStyle="1" w:styleId="OdstavecseseznamemChar">
    <w:name w:val="Odstavec se seznamem Char"/>
    <w:link w:val="Odstavecseseznamem"/>
    <w:uiPriority w:val="99"/>
    <w:locked/>
    <w:rPr>
      <w:rFonts w:ascii="Calibri" w:eastAsia="Times New Roman" w:hAnsi="Calibri" w:cs="Arial"/>
      <w:bCs/>
      <w:lang w:eastAsia="ar-SA"/>
    </w:rPr>
  </w:style>
  <w:style w:type="paragraph" w:styleId="Bezmezer">
    <w:name w:val="No Spacing"/>
    <w:uiPriority w:val="1"/>
    <w:qFormat/>
    <w:pPr>
      <w:spacing w:after="0" w:line="240" w:lineRule="auto"/>
      <w:jc w:val="both"/>
    </w:pPr>
    <w:rPr>
      <w:rFonts w:ascii="Calibri" w:eastAsia="Calibri" w:hAnsi="Calibri" w:cs="Times New Roman"/>
      <w:sz w:val="24"/>
      <w:lang w:eastAsia="cs-CZ"/>
    </w:rPr>
  </w:style>
  <w:style w:type="numbering" w:customStyle="1" w:styleId="Aktulnseznam1">
    <w:name w:val="Aktuální seznam1"/>
    <w:uiPriority w:val="99"/>
    <w:pPr>
      <w:numPr>
        <w:numId w:val="8"/>
      </w:numPr>
    </w:pPr>
  </w:style>
  <w:style w:type="numbering" w:customStyle="1" w:styleId="Aktulnseznam2">
    <w:name w:val="Aktuální seznam2"/>
    <w:uiPriority w:val="99"/>
    <w:pPr>
      <w:numPr>
        <w:numId w:val="9"/>
      </w:numPr>
    </w:pPr>
  </w:style>
  <w:style w:type="numbering" w:customStyle="1" w:styleId="Aktulnseznam3">
    <w:name w:val="Aktuální seznam3"/>
    <w:uiPriority w:val="99"/>
    <w:pPr>
      <w:numPr>
        <w:numId w:val="10"/>
      </w:numPr>
    </w:pPr>
  </w:style>
  <w:style w:type="numbering" w:customStyle="1" w:styleId="Aktulnseznam4">
    <w:name w:val="Aktuální seznam4"/>
    <w:uiPriority w:val="99"/>
    <w:pPr>
      <w:numPr>
        <w:numId w:val="12"/>
      </w:numPr>
    </w:pPr>
  </w:style>
  <w:style w:type="numbering" w:customStyle="1" w:styleId="Aktulnseznam5">
    <w:name w:val="Aktuální seznam5"/>
    <w:uiPriority w:val="99"/>
    <w:pPr>
      <w:numPr>
        <w:numId w:val="14"/>
      </w:numPr>
    </w:pPr>
  </w:style>
  <w:style w:type="character" w:styleId="slostrnky">
    <w:name w:val="page number"/>
    <w:basedOn w:val="Standardnpsmoodstavce"/>
    <w:uiPriority w:val="99"/>
    <w:semiHidden/>
    <w:unhideWhenUsed/>
  </w:style>
  <w:style w:type="numbering" w:customStyle="1" w:styleId="Aktulnseznam6">
    <w:name w:val="Aktuální seznam6"/>
    <w:uiPriority w:val="99"/>
    <w:pPr>
      <w:numPr>
        <w:numId w:val="15"/>
      </w:numPr>
    </w:pPr>
  </w:style>
  <w:style w:type="paragraph" w:customStyle="1" w:styleId="PreformattedText">
    <w:name w:val="Preformatted Text"/>
    <w:basedOn w:val="Normln"/>
    <w:qFormat/>
    <w:pPr>
      <w:widowControl w:val="0"/>
      <w:suppressAutoHyphens/>
      <w:spacing w:before="0" w:after="0"/>
      <w:jc w:val="left"/>
    </w:pPr>
    <w:rPr>
      <w:rFonts w:ascii="Liberation Mono" w:eastAsia="Liberation Mono" w:hAnsi="Liberation Mono" w:cs="Liberation Mono"/>
      <w:sz w:val="20"/>
      <w:szCs w:val="20"/>
      <w:lang w:val="en-US" w:eastAsia="zh-CN" w:bidi="hi-IN"/>
    </w:rPr>
  </w:style>
  <w:style w:type="character" w:styleId="Nevyeenzmnka">
    <w:name w:val="Unresolved Mention"/>
    <w:basedOn w:val="Standardnpsmoodstavce"/>
    <w:uiPriority w:val="99"/>
    <w:semiHidden/>
    <w:unhideWhenUsed/>
    <w:rPr>
      <w:color w:val="605E5C"/>
      <w:shd w:val="clear" w:color="auto" w:fill="E1DFDD"/>
    </w:rPr>
  </w:style>
  <w:style w:type="paragraph" w:styleId="Zkladntext">
    <w:name w:val="Body Text"/>
    <w:basedOn w:val="Normln"/>
    <w:link w:val="ZkladntextChar"/>
    <w:pPr>
      <w:widowControl w:val="0"/>
      <w:suppressAutoHyphens/>
      <w:spacing w:before="0" w:line="100" w:lineRule="atLeast"/>
      <w:jc w:val="left"/>
    </w:pPr>
    <w:rPr>
      <w:rFonts w:ascii="Times New Roman" w:eastAsia="Tahoma" w:hAnsi="Times New Roman"/>
      <w:sz w:val="20"/>
      <w:szCs w:val="24"/>
    </w:rPr>
  </w:style>
  <w:style w:type="character" w:customStyle="1" w:styleId="ZkladntextChar">
    <w:name w:val="Základní text Char"/>
    <w:basedOn w:val="Standardnpsmoodstavce"/>
    <w:link w:val="Zkladntext"/>
    <w:rPr>
      <w:rFonts w:ascii="Times New Roman" w:eastAsia="Tahoma" w:hAnsi="Times New Roman"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8324">
      <w:bodyDiv w:val="1"/>
      <w:marLeft w:val="0"/>
      <w:marRight w:val="0"/>
      <w:marTop w:val="0"/>
      <w:marBottom w:val="0"/>
      <w:divBdr>
        <w:top w:val="none" w:sz="0" w:space="0" w:color="auto"/>
        <w:left w:val="none" w:sz="0" w:space="0" w:color="auto"/>
        <w:bottom w:val="none" w:sz="0" w:space="0" w:color="auto"/>
        <w:right w:val="none" w:sz="0" w:space="0" w:color="auto"/>
      </w:divBdr>
    </w:div>
    <w:div w:id="1320812778">
      <w:bodyDiv w:val="1"/>
      <w:marLeft w:val="0"/>
      <w:marRight w:val="0"/>
      <w:marTop w:val="0"/>
      <w:marBottom w:val="0"/>
      <w:divBdr>
        <w:top w:val="none" w:sz="0" w:space="0" w:color="auto"/>
        <w:left w:val="none" w:sz="0" w:space="0" w:color="auto"/>
        <w:bottom w:val="none" w:sz="0" w:space="0" w:color="auto"/>
        <w:right w:val="none" w:sz="0" w:space="0" w:color="auto"/>
      </w:divBdr>
    </w:div>
    <w:div w:id="1489902854">
      <w:bodyDiv w:val="1"/>
      <w:marLeft w:val="0"/>
      <w:marRight w:val="0"/>
      <w:marTop w:val="0"/>
      <w:marBottom w:val="0"/>
      <w:divBdr>
        <w:top w:val="none" w:sz="0" w:space="0" w:color="auto"/>
        <w:left w:val="none" w:sz="0" w:space="0" w:color="auto"/>
        <w:bottom w:val="none" w:sz="0" w:space="0" w:color="auto"/>
        <w:right w:val="none" w:sz="0" w:space="0" w:color="auto"/>
      </w:divBdr>
    </w:div>
    <w:div w:id="1739664845">
      <w:bodyDiv w:val="1"/>
      <w:marLeft w:val="0"/>
      <w:marRight w:val="0"/>
      <w:marTop w:val="0"/>
      <w:marBottom w:val="0"/>
      <w:divBdr>
        <w:top w:val="none" w:sz="0" w:space="0" w:color="auto"/>
        <w:left w:val="none" w:sz="0" w:space="0" w:color="auto"/>
        <w:bottom w:val="none" w:sz="0" w:space="0" w:color="auto"/>
        <w:right w:val="none" w:sz="0" w:space="0" w:color="auto"/>
      </w:divBdr>
      <w:divsChild>
        <w:div w:id="1196819702">
          <w:marLeft w:val="0"/>
          <w:marRight w:val="0"/>
          <w:marTop w:val="0"/>
          <w:marBottom w:val="0"/>
          <w:divBdr>
            <w:top w:val="none" w:sz="0" w:space="0" w:color="auto"/>
            <w:left w:val="none" w:sz="0" w:space="0" w:color="auto"/>
            <w:bottom w:val="none" w:sz="0" w:space="0" w:color="auto"/>
            <w:right w:val="none" w:sz="0" w:space="0" w:color="auto"/>
          </w:divBdr>
          <w:divsChild>
            <w:div w:id="164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BCD56735B51247B02CA08D944C7152"/>
        <w:category>
          <w:name w:val="Obecné"/>
          <w:gallery w:val="placeholder"/>
        </w:category>
        <w:types>
          <w:type w:val="bbPlcHdr"/>
        </w:types>
        <w:behaviors>
          <w:behavior w:val="content"/>
        </w:behaviors>
        <w:guid w:val="{CEBDDC0D-40A6-9140-A37B-BEDEA8D90C6B}"/>
      </w:docPartPr>
      <w:docPartBody>
        <w:p>
          <w:pPr>
            <w:pStyle w:val="4ABCD56735B51247B02CA08D944C7152"/>
          </w:pPr>
          <w:r>
            <w:rPr>
              <w:rStyle w:val="Zstupntext"/>
              <w:highlight w:val="yellow"/>
            </w:rPr>
            <w:t>zvolte položku</w:t>
          </w:r>
        </w:p>
      </w:docPartBody>
    </w:docPart>
    <w:docPart>
      <w:docPartPr>
        <w:name w:val="E8B94EB74B9FE4428BEA7F81B273DE64"/>
        <w:category>
          <w:name w:val="Obecné"/>
          <w:gallery w:val="placeholder"/>
        </w:category>
        <w:types>
          <w:type w:val="bbPlcHdr"/>
        </w:types>
        <w:behaviors>
          <w:behavior w:val="content"/>
        </w:behaviors>
        <w:guid w:val="{E9C9F185-3412-3746-A190-915297544EFC}"/>
      </w:docPartPr>
      <w:docPartBody>
        <w:p>
          <w:pPr>
            <w:pStyle w:val="E8B94EB74B9FE4428BEA7F81B273DE64"/>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Mono">
    <w:altName w:val="Courier New"/>
    <w:charset w:val="01"/>
    <w:family w:val="modern"/>
    <w:pitch w:val="fixed"/>
  </w:font>
  <w:font w:name="Tahoma">
    <w:panose1 w:val="020B0604030504040204"/>
    <w:charset w:val="EE"/>
    <w:family w:val="swiss"/>
    <w:pitch w:val="variable"/>
    <w:sig w:usb0="E1002EFF" w:usb1="C000605B" w:usb2="00000029" w:usb3="00000000" w:csb0="0001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17EAF"/>
    <w:multiLevelType w:val="hybridMultilevel"/>
    <w:tmpl w:val="5D5AAE4A"/>
    <w:lvl w:ilvl="0" w:tplc="C3B0C72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ABCD56735B51247B02CA08D944C7152">
    <w:name w:val="4ABCD56735B51247B02CA08D944C7152"/>
    <w:pPr>
      <w:spacing w:after="0" w:line="240" w:lineRule="auto"/>
    </w:pPr>
    <w:rPr>
      <w:sz w:val="24"/>
      <w:szCs w:val="24"/>
    </w:rPr>
  </w:style>
  <w:style w:type="paragraph" w:customStyle="1" w:styleId="E8B94EB74B9FE4428BEA7F81B273DE64">
    <w:name w:val="E8B94EB74B9FE4428BEA7F81B273DE64"/>
    <w:pPr>
      <w:spacing w:after="0" w:line="240" w:lineRule="auto"/>
    </w:pPr>
    <w:rPr>
      <w:sz w:val="24"/>
      <w:szCs w:val="24"/>
    </w:rPr>
  </w:style>
  <w:style w:type="character" w:styleId="Zstupntext">
    <w:name w:val="Placeholder Text"/>
    <w:basedOn w:val="Standardnpsmoodstavce"/>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C57F1-0233-456E-B969-A97DAA4B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8516</Words>
  <Characters>50249</Characters>
  <Application>Microsoft Office Word</Application>
  <DocSecurity>0</DocSecurity>
  <Lines>418</Lines>
  <Paragraphs>117</Paragraphs>
  <ScaleCrop>false</ScaleCrop>
  <Company/>
  <LinksUpToDate>false</LinksUpToDate>
  <CharactersWithSpaces>58648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2024-03-19T07:11:00Z</dcterms:created>
  <dcterms:modified xsi:type="dcterms:W3CDTF">2024-03-19T07:11:00Z</dcterms:modified>
</cp:coreProperties>
</file>