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b52f99be7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9cdf5291e57548d4"/>
      <w:footerReference w:type="even" r:id="R1838ebaddf074f1e"/>
      <w:footerReference w:type="first" r:id="R1030a6f830f34974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54a2645cd0548c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59/2024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GEOREAL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Hálkova 1059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30100, Plzeň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40527514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územního plánování a rozvoje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CZ40527514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ortofotomapa území města Jičína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140 000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29 400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169 400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31.7.2024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územní plánování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8. 3. 2024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9d2455b5143a1" /><Relationship Type="http://schemas.openxmlformats.org/officeDocument/2006/relationships/numbering" Target="/word/numbering.xml" Id="R4c09810747c74828" /><Relationship Type="http://schemas.openxmlformats.org/officeDocument/2006/relationships/settings" Target="/word/settings.xml" Id="Ref4dce142c6f40d3" /><Relationship Type="http://schemas.openxmlformats.org/officeDocument/2006/relationships/image" Target="/word/media/e0169a27-e6e7-4e53-b37e-96cd504b74df.jpeg" Id="Ra54a2645cd0548c9" /><Relationship Type="http://schemas.openxmlformats.org/officeDocument/2006/relationships/footer" Target="/word/footer1.xml" Id="R9cdf5291e57548d4" /><Relationship Type="http://schemas.openxmlformats.org/officeDocument/2006/relationships/footer" Target="/word/footer2.xml" Id="R1838ebaddf074f1e" /><Relationship Type="http://schemas.openxmlformats.org/officeDocument/2006/relationships/footer" Target="/word/footer3.xml" Id="R1030a6f830f34974" /></Relationships>
</file>