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463C" w14:textId="49CE988A" w:rsidR="00904BD8" w:rsidRPr="00035D01" w:rsidRDefault="00EA743A" w:rsidP="00904BD8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B1DA8F" wp14:editId="007CAB91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BD8" w:rsidRPr="00035D01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7FB51FA5" w14:textId="77777777" w:rsidR="00904BD8" w:rsidRDefault="00904BD8" w:rsidP="00904BD8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>Sídlo: Husinecká 1024/11a, 130 00  Praha 3 - Žižkov, IČO: 01312774, DIČ:  CZ01312774</w:t>
      </w:r>
    </w:p>
    <w:p w14:paraId="2DBADA5D" w14:textId="2AE9C025" w:rsidR="00904BD8" w:rsidRDefault="005712F3" w:rsidP="00904BD8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Odbor převodu majetku státu</w:t>
      </w:r>
    </w:p>
    <w:p w14:paraId="3F70456F" w14:textId="77777777" w:rsidR="00DE0050" w:rsidRPr="004107C3" w:rsidRDefault="00DE0050" w:rsidP="00904BD8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4033D5E0" w14:textId="77777777" w:rsidR="004107C3" w:rsidRPr="004107C3" w:rsidRDefault="004107C3" w:rsidP="004107C3">
      <w:pPr>
        <w:pStyle w:val="-wm-msonormal"/>
        <w:framePr w:w="3941" w:h="1756" w:hRule="exact" w:hSpace="142" w:wrap="around" w:vAnchor="page" w:hAnchor="page" w:x="6414" w:y="211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0" w:name="_Hlk149898508"/>
      <w:r w:rsidRPr="004107C3">
        <w:rPr>
          <w:rFonts w:ascii="Arial" w:hAnsi="Arial" w:cs="Arial"/>
          <w:b/>
          <w:bCs/>
          <w:sz w:val="20"/>
          <w:szCs w:val="20"/>
        </w:rPr>
        <w:t xml:space="preserve">Ing. Dagmar Musilová </w:t>
      </w:r>
    </w:p>
    <w:bookmarkEnd w:id="0"/>
    <w:p w14:paraId="1FA0D9DA" w14:textId="77777777" w:rsidR="004107C3" w:rsidRPr="004107C3" w:rsidRDefault="004107C3" w:rsidP="004107C3">
      <w:pPr>
        <w:pStyle w:val="-wm-msonormal"/>
        <w:framePr w:w="3941" w:h="1756" w:hRule="exact" w:hSpace="142" w:wrap="around" w:vAnchor="page" w:hAnchor="page" w:x="6414" w:y="211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107C3">
        <w:rPr>
          <w:rFonts w:ascii="Arial" w:hAnsi="Arial" w:cs="Arial"/>
          <w:sz w:val="20"/>
          <w:szCs w:val="20"/>
        </w:rPr>
        <w:t>Soudní znalec a certifikovaný odhadce</w:t>
      </w:r>
    </w:p>
    <w:p w14:paraId="78D2541D" w14:textId="77777777" w:rsidR="004107C3" w:rsidRPr="004107C3" w:rsidRDefault="004107C3" w:rsidP="004107C3">
      <w:pPr>
        <w:pStyle w:val="-wm-msonormal"/>
        <w:framePr w:w="3941" w:h="1756" w:hRule="exact" w:hSpace="142" w:wrap="around" w:vAnchor="page" w:hAnchor="page" w:x="6414" w:y="211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107C3">
        <w:rPr>
          <w:rFonts w:ascii="Arial" w:hAnsi="Arial" w:cs="Arial"/>
          <w:sz w:val="20"/>
          <w:szCs w:val="20"/>
        </w:rPr>
        <w:t>Oceňování nemovitého majetku</w:t>
      </w:r>
    </w:p>
    <w:p w14:paraId="37F1C729" w14:textId="77777777" w:rsidR="004107C3" w:rsidRPr="004107C3" w:rsidRDefault="004107C3" w:rsidP="004107C3">
      <w:pPr>
        <w:pStyle w:val="-wm-msonormal"/>
        <w:framePr w:w="3941" w:h="1756" w:hRule="exact" w:hSpace="142" w:wrap="around" w:vAnchor="page" w:hAnchor="page" w:x="6414" w:y="211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107C3">
        <w:rPr>
          <w:rFonts w:ascii="Arial" w:hAnsi="Arial" w:cs="Arial"/>
          <w:sz w:val="20"/>
          <w:szCs w:val="20"/>
        </w:rPr>
        <w:t>Znalecká kancelář ESTIMMO s.r.o.</w:t>
      </w:r>
    </w:p>
    <w:p w14:paraId="517235A7" w14:textId="77777777" w:rsidR="004107C3" w:rsidRPr="004107C3" w:rsidRDefault="004107C3" w:rsidP="004107C3">
      <w:pPr>
        <w:pStyle w:val="-wm-msonormal"/>
        <w:framePr w:w="3941" w:h="1756" w:hRule="exact" w:hSpace="142" w:wrap="around" w:vAnchor="page" w:hAnchor="page" w:x="6414" w:y="211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107C3">
        <w:rPr>
          <w:rFonts w:ascii="Arial" w:hAnsi="Arial" w:cs="Arial"/>
          <w:sz w:val="20"/>
          <w:szCs w:val="20"/>
        </w:rPr>
        <w:t xml:space="preserve">Charlese de Gaulla 531/8, </w:t>
      </w:r>
    </w:p>
    <w:p w14:paraId="258125A1" w14:textId="05195554" w:rsidR="004107C3" w:rsidRPr="004107C3" w:rsidRDefault="004107C3" w:rsidP="004107C3">
      <w:pPr>
        <w:pStyle w:val="-wm-msonormal"/>
        <w:framePr w:w="3941" w:h="1756" w:hRule="exact" w:hSpace="142" w:wrap="around" w:vAnchor="page" w:hAnchor="page" w:x="6414" w:y="211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107C3">
        <w:rPr>
          <w:rFonts w:ascii="Arial" w:hAnsi="Arial" w:cs="Arial"/>
          <w:sz w:val="20"/>
          <w:szCs w:val="20"/>
        </w:rPr>
        <w:t>160 00 Praha</w:t>
      </w:r>
    </w:p>
    <w:p w14:paraId="668D62C9" w14:textId="78BDB272" w:rsidR="004107C3" w:rsidRPr="004107C3" w:rsidRDefault="004107C3" w:rsidP="004107C3">
      <w:pPr>
        <w:pStyle w:val="-wm-msonormal"/>
        <w:framePr w:w="3941" w:h="1756" w:hRule="exact" w:hSpace="142" w:wrap="around" w:vAnchor="page" w:hAnchor="page" w:x="6414" w:y="211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107C3">
        <w:rPr>
          <w:rFonts w:ascii="Arial" w:hAnsi="Arial" w:cs="Arial"/>
          <w:sz w:val="20"/>
          <w:szCs w:val="20"/>
        </w:rPr>
        <w:t xml:space="preserve">ID DS: </w:t>
      </w:r>
      <w:r w:rsidR="009306D5">
        <w:rPr>
          <w:rFonts w:ascii="Arial" w:hAnsi="Arial" w:cs="Arial"/>
          <w:sz w:val="20"/>
          <w:szCs w:val="20"/>
        </w:rPr>
        <w:t>XXXXXXXXXX</w:t>
      </w:r>
      <w:r w:rsidRPr="004107C3">
        <w:rPr>
          <w:rFonts w:ascii="Montserrat Light" w:hAnsi="Montserrat Light"/>
          <w:sz w:val="18"/>
          <w:szCs w:val="18"/>
        </w:rPr>
        <w:t xml:space="preserve"> </w:t>
      </w:r>
    </w:p>
    <w:p w14:paraId="78FAED1A" w14:textId="77777777" w:rsidR="004107C3" w:rsidRPr="004107C3" w:rsidRDefault="00904BD8" w:rsidP="004107C3">
      <w:pPr>
        <w:widowControl/>
        <w:jc w:val="both"/>
        <w:rPr>
          <w:rFonts w:ascii="Arial" w:hAnsi="Arial" w:cs="Arial"/>
          <w:sz w:val="18"/>
          <w:szCs w:val="18"/>
        </w:rPr>
      </w:pPr>
      <w:r w:rsidRPr="004107C3">
        <w:rPr>
          <w:rFonts w:ascii="Arial" w:hAnsi="Arial" w:cs="Arial"/>
          <w:sz w:val="18"/>
          <w:szCs w:val="18"/>
        </w:rPr>
        <w:t xml:space="preserve">Naše zn.: </w:t>
      </w:r>
      <w:r w:rsidR="004107C3" w:rsidRPr="004107C3">
        <w:rPr>
          <w:rFonts w:ascii="Arial" w:hAnsi="Arial" w:cs="Arial"/>
          <w:sz w:val="18"/>
          <w:szCs w:val="18"/>
        </w:rPr>
        <w:t>SPU 036491/2024/Hoř</w:t>
      </w:r>
    </w:p>
    <w:p w14:paraId="6E5CD0AA" w14:textId="690B7E58" w:rsidR="00904BD8" w:rsidRPr="004107C3" w:rsidRDefault="00904BD8" w:rsidP="004107C3">
      <w:pPr>
        <w:widowControl/>
        <w:jc w:val="both"/>
        <w:rPr>
          <w:rFonts w:ascii="Arial" w:hAnsi="Arial" w:cs="Arial"/>
          <w:sz w:val="18"/>
          <w:szCs w:val="18"/>
        </w:rPr>
      </w:pPr>
      <w:r w:rsidRPr="004107C3">
        <w:rPr>
          <w:rFonts w:ascii="Arial" w:hAnsi="Arial" w:cs="Arial"/>
          <w:sz w:val="18"/>
          <w:szCs w:val="18"/>
        </w:rPr>
        <w:t>Spisová zn.:</w:t>
      </w:r>
    </w:p>
    <w:p w14:paraId="79BDF13B" w14:textId="7358F343" w:rsidR="00904BD8" w:rsidRPr="004107C3" w:rsidRDefault="009D25DF" w:rsidP="004107C3">
      <w:pPr>
        <w:ind w:right="-1703"/>
        <w:rPr>
          <w:rFonts w:ascii="Arial" w:hAnsi="Arial" w:cs="Arial"/>
          <w:sz w:val="18"/>
          <w:szCs w:val="18"/>
        </w:rPr>
      </w:pPr>
      <w:r w:rsidRPr="004107C3">
        <w:rPr>
          <w:rFonts w:ascii="Arial" w:hAnsi="Arial" w:cs="Arial"/>
          <w:sz w:val="18"/>
          <w:szCs w:val="18"/>
        </w:rPr>
        <w:t>UID:</w:t>
      </w:r>
      <w:r w:rsidR="000A3050" w:rsidRPr="004107C3">
        <w:rPr>
          <w:rFonts w:ascii="Arial" w:hAnsi="Arial" w:cs="Arial"/>
          <w:sz w:val="18"/>
          <w:szCs w:val="18"/>
        </w:rPr>
        <w:tab/>
      </w:r>
      <w:r w:rsidR="004107C3" w:rsidRPr="004107C3">
        <w:rPr>
          <w:rFonts w:ascii="Arial" w:hAnsi="Arial" w:cs="Arial"/>
          <w:sz w:val="18"/>
          <w:szCs w:val="18"/>
        </w:rPr>
        <w:t>spuess920897dc</w:t>
      </w:r>
    </w:p>
    <w:p w14:paraId="36794F85" w14:textId="77777777" w:rsidR="004107C3" w:rsidRDefault="004107C3" w:rsidP="004107C3">
      <w:pPr>
        <w:ind w:right="-1703"/>
        <w:rPr>
          <w:rFonts w:ascii="Arial" w:hAnsi="Arial" w:cs="Arial"/>
          <w:sz w:val="18"/>
          <w:szCs w:val="18"/>
        </w:rPr>
      </w:pPr>
    </w:p>
    <w:p w14:paraId="06DC5ECC" w14:textId="30E5C1FA" w:rsidR="00904BD8" w:rsidRPr="00582EC4" w:rsidRDefault="00904BD8" w:rsidP="00904BD8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Vyřizuje: </w:t>
      </w:r>
      <w:r w:rsidR="00A40D0E">
        <w:rPr>
          <w:rFonts w:ascii="Arial" w:hAnsi="Arial" w:cs="Arial"/>
          <w:sz w:val="18"/>
          <w:szCs w:val="18"/>
        </w:rPr>
        <w:t xml:space="preserve">Ing. Petra </w:t>
      </w:r>
      <w:r w:rsidR="005F19BC">
        <w:rPr>
          <w:rFonts w:ascii="Arial" w:hAnsi="Arial" w:cs="Arial"/>
          <w:sz w:val="18"/>
          <w:szCs w:val="18"/>
        </w:rPr>
        <w:t>Hořáková</w:t>
      </w:r>
    </w:p>
    <w:p w14:paraId="5F0EC951" w14:textId="76604F65" w:rsidR="005F19BC" w:rsidRDefault="00904BD8" w:rsidP="005F19BC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Telefon:</w:t>
      </w:r>
      <w:r w:rsidR="008F7F50">
        <w:rPr>
          <w:rFonts w:ascii="Arial" w:hAnsi="Arial" w:cs="Arial"/>
          <w:sz w:val="18"/>
          <w:szCs w:val="18"/>
        </w:rPr>
        <w:tab/>
      </w:r>
      <w:r w:rsidR="005F19BC" w:rsidRPr="005F19BC">
        <w:rPr>
          <w:rFonts w:ascii="Arial" w:hAnsi="Arial" w:cs="Arial"/>
          <w:sz w:val="18"/>
          <w:szCs w:val="18"/>
        </w:rPr>
        <w:t>7</w:t>
      </w:r>
      <w:r w:rsidR="000A3050">
        <w:rPr>
          <w:rFonts w:ascii="Arial" w:hAnsi="Arial" w:cs="Arial"/>
          <w:sz w:val="18"/>
          <w:szCs w:val="18"/>
        </w:rPr>
        <w:t>29 922 346</w:t>
      </w:r>
    </w:p>
    <w:p w14:paraId="1A578442" w14:textId="58E8338F" w:rsidR="00904BD8" w:rsidRPr="00705D2B" w:rsidRDefault="00904BD8" w:rsidP="005F19BC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8F7F50"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2A7984DC" w14:textId="76881909" w:rsidR="00904BD8" w:rsidRPr="00582EC4" w:rsidRDefault="00904BD8" w:rsidP="00904BD8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E-mail: </w:t>
      </w:r>
      <w:r w:rsidR="008F7F50">
        <w:rPr>
          <w:rFonts w:ascii="Arial" w:hAnsi="Arial" w:cs="Arial"/>
          <w:sz w:val="18"/>
          <w:szCs w:val="18"/>
        </w:rPr>
        <w:tab/>
      </w:r>
      <w:r w:rsidR="00A40D0E">
        <w:rPr>
          <w:rFonts w:ascii="Arial" w:hAnsi="Arial" w:cs="Arial"/>
          <w:sz w:val="18"/>
          <w:szCs w:val="18"/>
        </w:rPr>
        <w:t>p.horakova1</w:t>
      </w:r>
      <w:r w:rsidRPr="00582EC4">
        <w:rPr>
          <w:rFonts w:ascii="Arial" w:hAnsi="Arial" w:cs="Arial"/>
          <w:sz w:val="18"/>
          <w:szCs w:val="18"/>
        </w:rPr>
        <w:t>@spucr.cz</w:t>
      </w:r>
    </w:p>
    <w:p w14:paraId="12EABE32" w14:textId="77777777" w:rsidR="00904BD8" w:rsidRDefault="00904BD8" w:rsidP="00904BD8">
      <w:pPr>
        <w:widowControl/>
        <w:rPr>
          <w:rFonts w:ascii="Arial" w:hAnsi="Arial" w:cs="Arial"/>
          <w:sz w:val="18"/>
          <w:szCs w:val="18"/>
        </w:rPr>
      </w:pPr>
    </w:p>
    <w:p w14:paraId="528F4893" w14:textId="0E55A14B" w:rsidR="00904BD8" w:rsidRPr="00582EC4" w:rsidRDefault="00904BD8" w:rsidP="00904BD8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Datum: </w:t>
      </w:r>
      <w:r w:rsidR="008F7F50">
        <w:rPr>
          <w:rFonts w:ascii="Arial" w:hAnsi="Arial" w:cs="Arial"/>
          <w:sz w:val="18"/>
          <w:szCs w:val="18"/>
        </w:rPr>
        <w:tab/>
      </w:r>
      <w:r w:rsidR="00231386">
        <w:rPr>
          <w:rFonts w:ascii="Arial" w:hAnsi="Arial" w:cs="Arial"/>
          <w:sz w:val="18"/>
          <w:szCs w:val="18"/>
        </w:rPr>
        <w:t>29</w:t>
      </w:r>
      <w:r w:rsidRPr="00582EC4">
        <w:rPr>
          <w:rFonts w:ascii="Arial" w:hAnsi="Arial" w:cs="Arial"/>
          <w:sz w:val="18"/>
          <w:szCs w:val="18"/>
        </w:rPr>
        <w:t>.</w:t>
      </w:r>
      <w:r w:rsidR="008F7F50">
        <w:rPr>
          <w:rFonts w:ascii="Arial" w:hAnsi="Arial" w:cs="Arial"/>
          <w:sz w:val="18"/>
          <w:szCs w:val="18"/>
        </w:rPr>
        <w:t xml:space="preserve"> </w:t>
      </w:r>
      <w:r w:rsidR="00A40D0E">
        <w:rPr>
          <w:rFonts w:ascii="Arial" w:hAnsi="Arial" w:cs="Arial"/>
          <w:sz w:val="18"/>
          <w:szCs w:val="18"/>
        </w:rPr>
        <w:t>1</w:t>
      </w:r>
      <w:r w:rsidRPr="00582EC4">
        <w:rPr>
          <w:rFonts w:ascii="Arial" w:hAnsi="Arial" w:cs="Arial"/>
          <w:sz w:val="18"/>
          <w:szCs w:val="18"/>
        </w:rPr>
        <w:t>.</w:t>
      </w:r>
      <w:r w:rsidR="008F7F50">
        <w:rPr>
          <w:rFonts w:ascii="Arial" w:hAnsi="Arial" w:cs="Arial"/>
          <w:sz w:val="18"/>
          <w:szCs w:val="18"/>
        </w:rPr>
        <w:t xml:space="preserve"> </w:t>
      </w:r>
      <w:r w:rsidRPr="00582EC4">
        <w:rPr>
          <w:rFonts w:ascii="Arial" w:hAnsi="Arial" w:cs="Arial"/>
          <w:sz w:val="18"/>
          <w:szCs w:val="18"/>
        </w:rPr>
        <w:t>202</w:t>
      </w:r>
      <w:r w:rsidR="00231386">
        <w:rPr>
          <w:rFonts w:ascii="Arial" w:hAnsi="Arial" w:cs="Arial"/>
          <w:sz w:val="18"/>
          <w:szCs w:val="18"/>
        </w:rPr>
        <w:t>4</w:t>
      </w:r>
    </w:p>
    <w:p w14:paraId="5DE00305" w14:textId="77777777" w:rsidR="00C70DE9" w:rsidRPr="00904BD8" w:rsidRDefault="00C70DE9">
      <w:pPr>
        <w:widowControl/>
        <w:rPr>
          <w:rFonts w:ascii="Arial" w:hAnsi="Arial" w:cs="Arial"/>
          <w:sz w:val="22"/>
          <w:szCs w:val="22"/>
        </w:rPr>
      </w:pPr>
    </w:p>
    <w:p w14:paraId="2697B724" w14:textId="334DA6E8" w:rsidR="00231386" w:rsidRDefault="00231386" w:rsidP="004107C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 xml:space="preserve">Dodatek č. 1 k </w:t>
      </w:r>
      <w:r w:rsidRPr="00E50EFB">
        <w:rPr>
          <w:rFonts w:ascii="Arial" w:hAnsi="Arial" w:cs="Arial"/>
          <w:b/>
          <w:sz w:val="26"/>
          <w:szCs w:val="26"/>
        </w:rPr>
        <w:t>Objednáv</w:t>
      </w:r>
      <w:r>
        <w:rPr>
          <w:rFonts w:ascii="Arial" w:hAnsi="Arial" w:cs="Arial"/>
          <w:b/>
          <w:sz w:val="26"/>
          <w:szCs w:val="26"/>
        </w:rPr>
        <w:t>ce</w:t>
      </w:r>
      <w:r w:rsidRPr="00E50EFB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na vyhotovení znaleckého posudku ze dne 20.11.2023</w:t>
      </w:r>
    </w:p>
    <w:p w14:paraId="4384655C" w14:textId="77777777" w:rsidR="00D56662" w:rsidRPr="00904BD8" w:rsidRDefault="00D56662" w:rsidP="00D56662">
      <w:pPr>
        <w:rPr>
          <w:rFonts w:ascii="Arial" w:hAnsi="Arial" w:cs="Arial"/>
          <w:b/>
          <w:sz w:val="22"/>
          <w:szCs w:val="22"/>
        </w:rPr>
      </w:pPr>
      <w:r w:rsidRPr="00904BD8">
        <w:rPr>
          <w:rFonts w:ascii="Arial" w:hAnsi="Arial" w:cs="Arial"/>
          <w:b/>
          <w:sz w:val="22"/>
          <w:szCs w:val="22"/>
        </w:rPr>
        <w:t>Objednatel:</w:t>
      </w:r>
    </w:p>
    <w:p w14:paraId="4931437A" w14:textId="77777777" w:rsidR="00D56662" w:rsidRPr="00904BD8" w:rsidRDefault="00D56662" w:rsidP="00D56662">
      <w:pPr>
        <w:rPr>
          <w:rFonts w:ascii="Arial" w:hAnsi="Arial" w:cs="Arial"/>
          <w:b/>
          <w:sz w:val="22"/>
          <w:szCs w:val="22"/>
        </w:rPr>
      </w:pPr>
      <w:r w:rsidRPr="00904BD8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682584F8" w14:textId="4FB04FF4" w:rsidR="00D56662" w:rsidRPr="000A3050" w:rsidRDefault="000A3050" w:rsidP="00D56662">
      <w:pPr>
        <w:rPr>
          <w:rFonts w:ascii="Arial" w:hAnsi="Arial" w:cs="Arial"/>
          <w:sz w:val="22"/>
          <w:szCs w:val="22"/>
        </w:rPr>
      </w:pPr>
      <w:r w:rsidRPr="000A3050">
        <w:rPr>
          <w:rFonts w:ascii="Arial" w:hAnsi="Arial" w:cs="Arial"/>
          <w:sz w:val="22"/>
          <w:szCs w:val="22"/>
        </w:rPr>
        <w:t>Sídlo: Husinecká 1024/11a, 130 00  Praha 3 - Žižkov ,</w:t>
      </w:r>
      <w:r w:rsidR="00D56662" w:rsidRPr="000A3050">
        <w:rPr>
          <w:rFonts w:ascii="Arial" w:hAnsi="Arial" w:cs="Arial"/>
          <w:sz w:val="22"/>
          <w:szCs w:val="22"/>
        </w:rPr>
        <w:t>IČO: 01312774</w:t>
      </w:r>
    </w:p>
    <w:p w14:paraId="026B0B7F" w14:textId="57DD0773" w:rsidR="00D56662" w:rsidRPr="00904BD8" w:rsidRDefault="00D56662" w:rsidP="00D56662">
      <w:pPr>
        <w:widowControl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 xml:space="preserve">Kontaktní osoba za SPÚ: </w:t>
      </w:r>
      <w:r w:rsidR="006F14CC">
        <w:rPr>
          <w:rFonts w:ascii="Arial" w:hAnsi="Arial" w:cs="Arial"/>
          <w:sz w:val="22"/>
          <w:szCs w:val="22"/>
        </w:rPr>
        <w:t>Ing. Petra Hořáková</w:t>
      </w:r>
    </w:p>
    <w:p w14:paraId="5FA4B2BE" w14:textId="77777777" w:rsidR="00D56662" w:rsidRPr="00904BD8" w:rsidRDefault="00D56662" w:rsidP="00D56662">
      <w:pPr>
        <w:widowControl/>
        <w:rPr>
          <w:rFonts w:ascii="Arial" w:hAnsi="Arial" w:cs="Arial"/>
          <w:sz w:val="22"/>
          <w:szCs w:val="22"/>
        </w:rPr>
      </w:pPr>
    </w:p>
    <w:p w14:paraId="4C6A184A" w14:textId="77777777" w:rsidR="00D56662" w:rsidRPr="00904BD8" w:rsidRDefault="00D56662" w:rsidP="00D56662">
      <w:pPr>
        <w:widowControl/>
        <w:rPr>
          <w:rFonts w:ascii="Arial" w:hAnsi="Arial" w:cs="Arial"/>
          <w:b/>
          <w:sz w:val="22"/>
          <w:szCs w:val="22"/>
        </w:rPr>
      </w:pPr>
      <w:r w:rsidRPr="00904BD8">
        <w:rPr>
          <w:rFonts w:ascii="Arial" w:hAnsi="Arial" w:cs="Arial"/>
          <w:b/>
          <w:sz w:val="22"/>
          <w:szCs w:val="22"/>
        </w:rPr>
        <w:t>Zhotovitel:</w:t>
      </w:r>
    </w:p>
    <w:p w14:paraId="18B2D743" w14:textId="77777777" w:rsidR="005F19BC" w:rsidRDefault="00D56662" w:rsidP="00D56662">
      <w:pPr>
        <w:widowControl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Název:</w:t>
      </w:r>
      <w:r w:rsidR="0015641E">
        <w:rPr>
          <w:rFonts w:ascii="Arial" w:hAnsi="Arial" w:cs="Arial"/>
          <w:sz w:val="22"/>
          <w:szCs w:val="22"/>
        </w:rPr>
        <w:t xml:space="preserve"> </w:t>
      </w:r>
      <w:r w:rsidR="005F19BC" w:rsidRPr="005F19BC">
        <w:rPr>
          <w:rFonts w:ascii="Arial" w:hAnsi="Arial" w:cs="Arial"/>
          <w:sz w:val="22"/>
          <w:szCs w:val="22"/>
        </w:rPr>
        <w:t xml:space="preserve">Ing. Dagmar Musilová </w:t>
      </w:r>
    </w:p>
    <w:p w14:paraId="2D59F55C" w14:textId="77777777" w:rsidR="005712F3" w:rsidRPr="00404EF3" w:rsidRDefault="005712F3" w:rsidP="005712F3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04EF3">
        <w:rPr>
          <w:rFonts w:ascii="Arial" w:hAnsi="Arial" w:cs="Arial"/>
        </w:rPr>
        <w:t>Soudní znalec a certifikovaný odhadce</w:t>
      </w:r>
    </w:p>
    <w:p w14:paraId="75FF516F" w14:textId="678EF63B" w:rsidR="005712F3" w:rsidRDefault="00404EF3" w:rsidP="005712F3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ESTIMMO s.r.o.</w:t>
      </w:r>
    </w:p>
    <w:p w14:paraId="7289309D" w14:textId="141AE88E" w:rsidR="00231386" w:rsidRDefault="00231386" w:rsidP="005712F3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8524379" w14:textId="67E35039" w:rsidR="00231386" w:rsidRPr="007B06C7" w:rsidRDefault="007B06C7" w:rsidP="00231386">
      <w:pPr>
        <w:jc w:val="both"/>
        <w:rPr>
          <w:rFonts w:ascii="Arial" w:hAnsi="Arial" w:cs="Arial"/>
          <w:sz w:val="22"/>
          <w:szCs w:val="22"/>
        </w:rPr>
      </w:pPr>
      <w:r w:rsidRPr="007B06C7">
        <w:rPr>
          <w:rFonts w:ascii="Arial" w:hAnsi="Arial" w:cs="Arial"/>
          <w:sz w:val="22"/>
          <w:szCs w:val="22"/>
        </w:rPr>
        <w:t>P</w:t>
      </w:r>
      <w:r w:rsidR="00231386" w:rsidRPr="007B06C7">
        <w:rPr>
          <w:rFonts w:ascii="Arial" w:hAnsi="Arial" w:cs="Arial"/>
          <w:sz w:val="22"/>
          <w:szCs w:val="22"/>
        </w:rPr>
        <w:t>ři místním šetření, které se konalo 23.1.2024 nebyla ze strany nájemce umožněna komplexní fyzická prohlídka nemovitosti</w:t>
      </w:r>
      <w:r w:rsidRPr="007B06C7">
        <w:rPr>
          <w:rFonts w:ascii="Arial" w:hAnsi="Arial" w:cs="Arial"/>
          <w:sz w:val="22"/>
          <w:szCs w:val="22"/>
        </w:rPr>
        <w:t>. D</w:t>
      </w:r>
      <w:r w:rsidR="00231386" w:rsidRPr="007B06C7">
        <w:rPr>
          <w:rFonts w:ascii="Arial" w:hAnsi="Arial" w:cs="Arial"/>
          <w:sz w:val="22"/>
          <w:szCs w:val="22"/>
        </w:rPr>
        <w:t xml:space="preserve">ále bylo nepříznivé počasí, což patrně ztížilo posouzení stavu povrchů. Přítomnost dobytka pod venkovním přístřeškem v ohradě vyloučilo také jeho </w:t>
      </w:r>
      <w:r w:rsidRPr="007B06C7">
        <w:rPr>
          <w:rFonts w:ascii="Arial" w:hAnsi="Arial" w:cs="Arial"/>
          <w:sz w:val="22"/>
          <w:szCs w:val="22"/>
        </w:rPr>
        <w:t>p</w:t>
      </w:r>
      <w:r w:rsidR="00231386" w:rsidRPr="007B06C7">
        <w:rPr>
          <w:rFonts w:ascii="Arial" w:hAnsi="Arial" w:cs="Arial"/>
          <w:sz w:val="22"/>
          <w:szCs w:val="22"/>
        </w:rPr>
        <w:t>řesné posouzení.</w:t>
      </w:r>
      <w:r w:rsidRPr="007B06C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Vzhledem k výše uvedeným skutečnostem jednáme </w:t>
      </w:r>
      <w:r w:rsidR="008E2FF6">
        <w:rPr>
          <w:rFonts w:ascii="Arial" w:hAnsi="Arial" w:cs="Arial"/>
          <w:sz w:val="22"/>
          <w:szCs w:val="22"/>
        </w:rPr>
        <w:t xml:space="preserve">o </w:t>
      </w:r>
      <w:r w:rsidR="00231386" w:rsidRPr="007B06C7">
        <w:rPr>
          <w:rFonts w:ascii="Arial" w:hAnsi="Arial" w:cs="Arial"/>
          <w:sz w:val="22"/>
          <w:szCs w:val="22"/>
        </w:rPr>
        <w:t>řádném zpřístupnění objektu nájemcem. Tato skutečnost bude mít vliv na</w:t>
      </w:r>
      <w:r>
        <w:rPr>
          <w:rFonts w:ascii="Arial" w:hAnsi="Arial" w:cs="Arial"/>
          <w:sz w:val="22"/>
          <w:szCs w:val="22"/>
        </w:rPr>
        <w:t xml:space="preserve"> termín pro řádné předání </w:t>
      </w:r>
      <w:r w:rsidR="00231386" w:rsidRPr="007B06C7">
        <w:rPr>
          <w:rFonts w:ascii="Arial" w:hAnsi="Arial" w:cs="Arial"/>
          <w:sz w:val="22"/>
          <w:szCs w:val="22"/>
        </w:rPr>
        <w:t>služby, který byl stanoven v naší objednávce ze dne 20.11.2023 na 31.1.2024.</w:t>
      </w:r>
    </w:p>
    <w:p w14:paraId="67584A41" w14:textId="77777777" w:rsidR="00231386" w:rsidRPr="007B06C7" w:rsidRDefault="00231386" w:rsidP="005712F3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2EE90604" w14:textId="39E1FE54" w:rsidR="00231386" w:rsidRPr="00231386" w:rsidRDefault="00231386" w:rsidP="00231386">
      <w:pPr>
        <w:jc w:val="both"/>
        <w:rPr>
          <w:rFonts w:ascii="Arial" w:hAnsi="Arial" w:cs="Arial"/>
          <w:sz w:val="22"/>
          <w:szCs w:val="22"/>
        </w:rPr>
      </w:pPr>
      <w:r w:rsidRPr="00231386">
        <w:rPr>
          <w:rFonts w:ascii="Arial" w:hAnsi="Arial" w:cs="Arial"/>
          <w:sz w:val="22"/>
          <w:szCs w:val="22"/>
        </w:rPr>
        <w:t xml:space="preserve">Tímto Dodatkem č. 1 se mění bod v Objednávce </w:t>
      </w:r>
      <w:r>
        <w:rPr>
          <w:rFonts w:ascii="Arial" w:hAnsi="Arial" w:cs="Arial"/>
          <w:sz w:val="22"/>
          <w:szCs w:val="22"/>
        </w:rPr>
        <w:t>n</w:t>
      </w:r>
      <w:r w:rsidRPr="00231386">
        <w:rPr>
          <w:rFonts w:ascii="Arial" w:hAnsi="Arial" w:cs="Arial"/>
          <w:sz w:val="22"/>
          <w:szCs w:val="22"/>
        </w:rPr>
        <w:t xml:space="preserve">aše značka: SPU 462960/2023/Hoř ze dne 20.11.2023 </w:t>
      </w:r>
      <w:r w:rsidRPr="00231386">
        <w:rPr>
          <w:rFonts w:ascii="Arial" w:hAnsi="Arial" w:cs="Arial"/>
          <w:b/>
          <w:sz w:val="22"/>
          <w:szCs w:val="22"/>
          <w:u w:val="single"/>
        </w:rPr>
        <w:t>Termín předání</w:t>
      </w:r>
    </w:p>
    <w:p w14:paraId="2A6B77BF" w14:textId="77777777" w:rsidR="00231386" w:rsidRPr="00231386" w:rsidRDefault="00231386" w:rsidP="00231386">
      <w:pPr>
        <w:jc w:val="both"/>
        <w:rPr>
          <w:rFonts w:ascii="Arial" w:hAnsi="Arial" w:cs="Arial"/>
          <w:sz w:val="22"/>
          <w:szCs w:val="22"/>
        </w:rPr>
      </w:pPr>
    </w:p>
    <w:p w14:paraId="77DDADDB" w14:textId="77777777" w:rsidR="00231386" w:rsidRPr="00231386" w:rsidRDefault="00231386" w:rsidP="0023138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31386">
        <w:rPr>
          <w:rFonts w:ascii="Arial" w:hAnsi="Arial" w:cs="Arial"/>
          <w:b/>
          <w:bCs/>
          <w:sz w:val="22"/>
          <w:szCs w:val="22"/>
        </w:rPr>
        <w:t>Původní znění:</w:t>
      </w:r>
    </w:p>
    <w:p w14:paraId="2908D801" w14:textId="181A12E2" w:rsidR="00231386" w:rsidRPr="00231386" w:rsidRDefault="00231386" w:rsidP="00231386">
      <w:pPr>
        <w:jc w:val="both"/>
        <w:rPr>
          <w:rFonts w:ascii="Arial" w:hAnsi="Arial" w:cs="Arial"/>
          <w:sz w:val="22"/>
          <w:szCs w:val="22"/>
        </w:rPr>
      </w:pPr>
      <w:r w:rsidRPr="00231386">
        <w:rPr>
          <w:rFonts w:ascii="Arial" w:hAnsi="Arial" w:cs="Arial"/>
          <w:sz w:val="22"/>
          <w:szCs w:val="22"/>
        </w:rPr>
        <w:t>Leden 2024 (po nabytí účinnosti novely oceňovací vyhlášky), nejpozději však do 31. 1. 2024. Tuto lhůtu lze v odůvodněných případech na základě písemné žádosti zhotovitele prodloužit (žádost o prodloužení lhůty pro odevzdání znaleckého posudku je nutno doručit zadavateli minimálně 5 dnů před koncem stanovené lhůty).</w:t>
      </w:r>
    </w:p>
    <w:p w14:paraId="1CDAB7C9" w14:textId="77777777" w:rsidR="00231386" w:rsidRPr="00231386" w:rsidRDefault="00231386" w:rsidP="0023138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5C7CC4E" w14:textId="77777777" w:rsidR="00231386" w:rsidRPr="00231386" w:rsidRDefault="00231386" w:rsidP="0023138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31386">
        <w:rPr>
          <w:rFonts w:ascii="Arial" w:hAnsi="Arial" w:cs="Arial"/>
          <w:b/>
          <w:bCs/>
          <w:sz w:val="22"/>
          <w:szCs w:val="22"/>
        </w:rPr>
        <w:t>Nové znění:</w:t>
      </w:r>
    </w:p>
    <w:p w14:paraId="7D7392C9" w14:textId="5268903C" w:rsidR="00231386" w:rsidRPr="001C4DED" w:rsidRDefault="007B06C7" w:rsidP="00231386">
      <w:pPr>
        <w:jc w:val="both"/>
        <w:rPr>
          <w:rFonts w:ascii="Arial" w:hAnsi="Arial" w:cs="Arial"/>
          <w:sz w:val="22"/>
          <w:szCs w:val="22"/>
        </w:rPr>
      </w:pPr>
      <w:r w:rsidRPr="001C4DED">
        <w:rPr>
          <w:rFonts w:ascii="Arial" w:hAnsi="Arial" w:cs="Arial"/>
          <w:sz w:val="22"/>
          <w:szCs w:val="22"/>
        </w:rPr>
        <w:t xml:space="preserve">Do </w:t>
      </w:r>
      <w:r w:rsidR="008E2FF6" w:rsidRPr="001C4DED">
        <w:rPr>
          <w:rFonts w:ascii="Arial" w:hAnsi="Arial" w:cs="Arial"/>
          <w:sz w:val="22"/>
          <w:szCs w:val="22"/>
        </w:rPr>
        <w:t>31</w:t>
      </w:r>
      <w:r w:rsidRPr="001C4DED">
        <w:rPr>
          <w:rFonts w:ascii="Arial" w:hAnsi="Arial" w:cs="Arial"/>
          <w:sz w:val="22"/>
          <w:szCs w:val="22"/>
        </w:rPr>
        <w:t>.</w:t>
      </w:r>
      <w:r w:rsidR="008E2FF6" w:rsidRPr="001C4DED">
        <w:rPr>
          <w:rFonts w:ascii="Arial" w:hAnsi="Arial" w:cs="Arial"/>
          <w:sz w:val="22"/>
          <w:szCs w:val="22"/>
        </w:rPr>
        <w:t>3</w:t>
      </w:r>
      <w:r w:rsidRPr="001C4DED">
        <w:rPr>
          <w:rFonts w:ascii="Arial" w:hAnsi="Arial" w:cs="Arial"/>
          <w:sz w:val="22"/>
          <w:szCs w:val="22"/>
        </w:rPr>
        <w:t xml:space="preserve">.2024 </w:t>
      </w:r>
      <w:r w:rsidR="00231386" w:rsidRPr="001C4DED">
        <w:rPr>
          <w:rFonts w:ascii="Arial" w:hAnsi="Arial" w:cs="Arial"/>
          <w:sz w:val="22"/>
          <w:szCs w:val="22"/>
        </w:rPr>
        <w:t>(po nabytí účinnosti novely oceňovací vyhlášky)</w:t>
      </w:r>
      <w:r w:rsidR="008E2FF6" w:rsidRPr="001C4DED">
        <w:rPr>
          <w:rFonts w:ascii="Arial" w:hAnsi="Arial" w:cs="Arial"/>
          <w:sz w:val="22"/>
          <w:szCs w:val="22"/>
        </w:rPr>
        <w:t xml:space="preserve"> nebo </w:t>
      </w:r>
      <w:r w:rsidR="00231386" w:rsidRPr="001C4DED">
        <w:rPr>
          <w:rFonts w:ascii="Arial" w:hAnsi="Arial" w:cs="Arial"/>
          <w:sz w:val="22"/>
          <w:szCs w:val="22"/>
        </w:rPr>
        <w:t xml:space="preserve">do </w:t>
      </w:r>
      <w:r w:rsidRPr="001C4DED">
        <w:rPr>
          <w:rFonts w:ascii="Arial" w:hAnsi="Arial" w:cs="Arial"/>
          <w:sz w:val="22"/>
          <w:szCs w:val="22"/>
        </w:rPr>
        <w:t xml:space="preserve">14 ti dnů od konání </w:t>
      </w:r>
      <w:r w:rsidR="00565681">
        <w:rPr>
          <w:rFonts w:ascii="Arial" w:hAnsi="Arial" w:cs="Arial"/>
          <w:sz w:val="22"/>
          <w:szCs w:val="22"/>
        </w:rPr>
        <w:t>opakovaného</w:t>
      </w:r>
      <w:r w:rsidRPr="001C4DED">
        <w:rPr>
          <w:rFonts w:ascii="Arial" w:hAnsi="Arial" w:cs="Arial"/>
          <w:sz w:val="22"/>
          <w:szCs w:val="22"/>
        </w:rPr>
        <w:t xml:space="preserve"> </w:t>
      </w:r>
      <w:r w:rsidR="00565681">
        <w:rPr>
          <w:rFonts w:ascii="Arial" w:hAnsi="Arial" w:cs="Arial"/>
          <w:sz w:val="22"/>
          <w:szCs w:val="22"/>
        </w:rPr>
        <w:t xml:space="preserve">řádného </w:t>
      </w:r>
      <w:r w:rsidRPr="001C4DED">
        <w:rPr>
          <w:rFonts w:ascii="Arial" w:hAnsi="Arial" w:cs="Arial"/>
          <w:sz w:val="22"/>
          <w:szCs w:val="22"/>
        </w:rPr>
        <w:t xml:space="preserve">místního šetření. </w:t>
      </w:r>
      <w:r w:rsidR="00231386" w:rsidRPr="001C4DED">
        <w:rPr>
          <w:rFonts w:ascii="Arial" w:hAnsi="Arial" w:cs="Arial"/>
          <w:sz w:val="22"/>
          <w:szCs w:val="22"/>
        </w:rPr>
        <w:t>Tuto lhůtu lze v odůvodněných případech na základě písemné žádosti zhotovitele prodloužit (žádost o prodloužení lhůty pro odevzdání znaleckého posudku je nutno doručit zadavateli minimálně 5 dnů před koncem stanovené lhůty).</w:t>
      </w:r>
    </w:p>
    <w:p w14:paraId="55D320AE" w14:textId="77777777" w:rsidR="00231386" w:rsidRPr="00231386" w:rsidRDefault="00231386" w:rsidP="0023138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70DA00E" w14:textId="77777777" w:rsidR="00231386" w:rsidRPr="00231386" w:rsidRDefault="00231386" w:rsidP="00231386">
      <w:pPr>
        <w:jc w:val="both"/>
        <w:rPr>
          <w:rFonts w:ascii="Arial" w:hAnsi="Arial" w:cs="Arial"/>
          <w:sz w:val="22"/>
          <w:szCs w:val="22"/>
        </w:rPr>
      </w:pPr>
      <w:r w:rsidRPr="00231386">
        <w:rPr>
          <w:rFonts w:ascii="Arial" w:hAnsi="Arial" w:cs="Arial"/>
          <w:sz w:val="22"/>
          <w:szCs w:val="22"/>
        </w:rPr>
        <w:t>Ostatní náležitosti Objednávky zůstávají nezměněny.</w:t>
      </w:r>
    </w:p>
    <w:p w14:paraId="3CE7ED27" w14:textId="77777777" w:rsidR="00231386" w:rsidRDefault="00231386" w:rsidP="00523B0E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6F6E1592" w14:textId="1311775A" w:rsidR="00DF1E59" w:rsidRPr="007B06C7" w:rsidRDefault="00DF1E59" w:rsidP="00DF1E59">
      <w:pPr>
        <w:rPr>
          <w:rFonts w:ascii="Arial" w:hAnsi="Arial" w:cs="Arial"/>
          <w:b/>
          <w:sz w:val="22"/>
          <w:szCs w:val="22"/>
        </w:rPr>
      </w:pPr>
      <w:r w:rsidRPr="007B06C7">
        <w:rPr>
          <w:rFonts w:ascii="Arial" w:hAnsi="Arial" w:cs="Arial"/>
          <w:sz w:val="22"/>
          <w:szCs w:val="22"/>
        </w:rPr>
        <w:t xml:space="preserve">Prosíme o akceptaci </w:t>
      </w:r>
      <w:r w:rsidR="007B06C7" w:rsidRPr="007B06C7">
        <w:rPr>
          <w:rFonts w:ascii="Arial" w:hAnsi="Arial" w:cs="Arial"/>
          <w:sz w:val="22"/>
          <w:szCs w:val="22"/>
        </w:rPr>
        <w:t xml:space="preserve">Dodatku k </w:t>
      </w:r>
      <w:r w:rsidRPr="007B06C7">
        <w:rPr>
          <w:rFonts w:ascii="Arial" w:hAnsi="Arial" w:cs="Arial"/>
          <w:sz w:val="22"/>
          <w:szCs w:val="22"/>
        </w:rPr>
        <w:t>objednáv</w:t>
      </w:r>
      <w:r w:rsidR="007B06C7" w:rsidRPr="007B06C7">
        <w:rPr>
          <w:rFonts w:ascii="Arial" w:hAnsi="Arial" w:cs="Arial"/>
          <w:sz w:val="22"/>
          <w:szCs w:val="22"/>
        </w:rPr>
        <w:t>ce</w:t>
      </w:r>
      <w:r w:rsidRPr="007B06C7">
        <w:rPr>
          <w:rFonts w:ascii="Arial" w:hAnsi="Arial" w:cs="Arial"/>
          <w:sz w:val="22"/>
          <w:szCs w:val="22"/>
        </w:rPr>
        <w:t>.</w:t>
      </w:r>
    </w:p>
    <w:p w14:paraId="6978D41E" w14:textId="77777777" w:rsidR="00D66444" w:rsidRPr="00231386" w:rsidRDefault="00D66444" w:rsidP="00D66444">
      <w:pPr>
        <w:spacing w:line="360" w:lineRule="auto"/>
        <w:jc w:val="both"/>
        <w:rPr>
          <w:rFonts w:ascii="Arial" w:hAnsi="Arial" w:cs="Arial"/>
          <w:color w:val="00B050"/>
          <w:sz w:val="22"/>
          <w:szCs w:val="22"/>
        </w:rPr>
      </w:pPr>
    </w:p>
    <w:p w14:paraId="5B6E686D" w14:textId="77777777" w:rsidR="00D66444" w:rsidRPr="00904BD8" w:rsidRDefault="00D66444" w:rsidP="00D66444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S pozdravem</w:t>
      </w:r>
    </w:p>
    <w:p w14:paraId="49A97BEA" w14:textId="77777777" w:rsidR="00D66444" w:rsidRPr="00904BD8" w:rsidRDefault="00D66444" w:rsidP="00D66444">
      <w:pPr>
        <w:widowControl/>
        <w:rPr>
          <w:rFonts w:ascii="Arial" w:hAnsi="Arial" w:cs="Arial"/>
          <w:sz w:val="22"/>
          <w:szCs w:val="22"/>
        </w:rPr>
      </w:pPr>
    </w:p>
    <w:p w14:paraId="14A8DDC2" w14:textId="77777777" w:rsidR="00D11B02" w:rsidRPr="00E53FF4" w:rsidRDefault="00D11B02" w:rsidP="00D11B02">
      <w:pPr>
        <w:jc w:val="both"/>
        <w:rPr>
          <w:rFonts w:ascii="Arial" w:hAnsi="Arial" w:cs="Arial"/>
          <w:b/>
          <w:sz w:val="22"/>
          <w:szCs w:val="22"/>
        </w:rPr>
      </w:pPr>
      <w:r w:rsidRPr="00E53FF4">
        <w:rPr>
          <w:rFonts w:ascii="Arial" w:hAnsi="Arial" w:cs="Arial"/>
          <w:b/>
          <w:sz w:val="22"/>
          <w:szCs w:val="22"/>
        </w:rPr>
        <w:t xml:space="preserve">Ing. </w:t>
      </w:r>
      <w:r>
        <w:rPr>
          <w:rFonts w:ascii="Arial" w:hAnsi="Arial" w:cs="Arial"/>
          <w:b/>
          <w:sz w:val="22"/>
          <w:szCs w:val="22"/>
        </w:rPr>
        <w:t>Eva Šobáňová</w:t>
      </w:r>
    </w:p>
    <w:p w14:paraId="2D500C8E" w14:textId="77777777" w:rsidR="00D11B02" w:rsidRPr="00E53FF4" w:rsidRDefault="00D11B02" w:rsidP="00D11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odboru převodu majetku státu</w:t>
      </w:r>
    </w:p>
    <w:p w14:paraId="72FE7C73" w14:textId="77777777" w:rsidR="00D11B02" w:rsidRDefault="00D11B02" w:rsidP="00D11B02">
      <w:pPr>
        <w:jc w:val="both"/>
        <w:rPr>
          <w:rFonts w:ascii="Arial" w:hAnsi="Arial" w:cs="Arial"/>
          <w:sz w:val="22"/>
          <w:szCs w:val="22"/>
        </w:rPr>
      </w:pPr>
      <w:r w:rsidRPr="00E53FF4">
        <w:rPr>
          <w:rFonts w:ascii="Arial" w:hAnsi="Arial" w:cs="Arial"/>
          <w:sz w:val="22"/>
          <w:szCs w:val="22"/>
        </w:rPr>
        <w:t>Státního pozemkového úřadu</w:t>
      </w:r>
    </w:p>
    <w:p w14:paraId="29FD4165" w14:textId="16772C2C" w:rsidR="00D11B02" w:rsidRPr="000A3050" w:rsidRDefault="00D11B02" w:rsidP="000A305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633A0">
        <w:rPr>
          <w:rFonts w:ascii="Arial" w:hAnsi="Arial" w:cs="Arial"/>
          <w:i/>
          <w:iCs/>
          <w:sz w:val="22"/>
          <w:szCs w:val="22"/>
        </w:rPr>
        <w:t>elektronicky podepsáno</w:t>
      </w:r>
    </w:p>
    <w:sectPr w:rsidR="00D11B02" w:rsidRPr="000A3050" w:rsidSect="004107C3">
      <w:headerReference w:type="default" r:id="rId8"/>
      <w:footerReference w:type="default" r:id="rId9"/>
      <w:pgSz w:w="11907" w:h="16840"/>
      <w:pgMar w:top="567" w:right="1418" w:bottom="0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C866" w14:textId="77777777" w:rsidR="002F1035" w:rsidRDefault="002F1035" w:rsidP="00EA2010">
      <w:r>
        <w:separator/>
      </w:r>
    </w:p>
  </w:endnote>
  <w:endnote w:type="continuationSeparator" w:id="0">
    <w:p w14:paraId="5F8F3E3A" w14:textId="77777777" w:rsidR="002F1035" w:rsidRDefault="002F1035" w:rsidP="00EA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0FE4" w14:textId="77777777" w:rsidR="007469B1" w:rsidRPr="00D16498" w:rsidRDefault="007469B1" w:rsidP="00D164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A706" w14:textId="77777777" w:rsidR="002F1035" w:rsidRDefault="002F1035" w:rsidP="00EA2010">
      <w:r>
        <w:separator/>
      </w:r>
    </w:p>
  </w:footnote>
  <w:footnote w:type="continuationSeparator" w:id="0">
    <w:p w14:paraId="0A3C7AC8" w14:textId="77777777" w:rsidR="002F1035" w:rsidRDefault="002F1035" w:rsidP="00EA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3DE1" w14:textId="77777777" w:rsidR="007469B1" w:rsidRDefault="007469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D060A7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5344B"/>
    <w:multiLevelType w:val="hybridMultilevel"/>
    <w:tmpl w:val="8D8812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AA0CA2"/>
    <w:multiLevelType w:val="hybridMultilevel"/>
    <w:tmpl w:val="8064DBC2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78FF1C36"/>
    <w:multiLevelType w:val="hybridMultilevel"/>
    <w:tmpl w:val="7E669298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95D36B3"/>
    <w:multiLevelType w:val="hybridMultilevel"/>
    <w:tmpl w:val="080E7C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1804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184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01367">
    <w:abstractNumId w:val="4"/>
  </w:num>
  <w:num w:numId="4" w16cid:durableId="368535294">
    <w:abstractNumId w:val="2"/>
  </w:num>
  <w:num w:numId="5" w16cid:durableId="457725592">
    <w:abstractNumId w:val="0"/>
  </w:num>
  <w:num w:numId="6" w16cid:durableId="1677223029">
    <w:abstractNumId w:val="5"/>
  </w:num>
  <w:num w:numId="7" w16cid:durableId="129467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E9"/>
    <w:rsid w:val="00035D01"/>
    <w:rsid w:val="00037DA1"/>
    <w:rsid w:val="00040B04"/>
    <w:rsid w:val="0008515E"/>
    <w:rsid w:val="000A228B"/>
    <w:rsid w:val="000A3050"/>
    <w:rsid w:val="000B77B1"/>
    <w:rsid w:val="000D1485"/>
    <w:rsid w:val="00104D6E"/>
    <w:rsid w:val="001111B8"/>
    <w:rsid w:val="00112C7B"/>
    <w:rsid w:val="00120E48"/>
    <w:rsid w:val="00134557"/>
    <w:rsid w:val="0015641E"/>
    <w:rsid w:val="001571A9"/>
    <w:rsid w:val="00164766"/>
    <w:rsid w:val="001664A5"/>
    <w:rsid w:val="001664EA"/>
    <w:rsid w:val="001738DC"/>
    <w:rsid w:val="00184074"/>
    <w:rsid w:val="0019391E"/>
    <w:rsid w:val="001C4DED"/>
    <w:rsid w:val="001D0AD6"/>
    <w:rsid w:val="001D2FF3"/>
    <w:rsid w:val="001E45E4"/>
    <w:rsid w:val="002164DB"/>
    <w:rsid w:val="00231386"/>
    <w:rsid w:val="002439C0"/>
    <w:rsid w:val="0025189A"/>
    <w:rsid w:val="00254123"/>
    <w:rsid w:val="0026660E"/>
    <w:rsid w:val="00294BE4"/>
    <w:rsid w:val="002D498B"/>
    <w:rsid w:val="002F1035"/>
    <w:rsid w:val="002F2D36"/>
    <w:rsid w:val="002F6391"/>
    <w:rsid w:val="0032062C"/>
    <w:rsid w:val="0033613A"/>
    <w:rsid w:val="003646C3"/>
    <w:rsid w:val="00392534"/>
    <w:rsid w:val="00392810"/>
    <w:rsid w:val="003B7052"/>
    <w:rsid w:val="003F6147"/>
    <w:rsid w:val="00401612"/>
    <w:rsid w:val="00404EF3"/>
    <w:rsid w:val="004107C3"/>
    <w:rsid w:val="00424AE6"/>
    <w:rsid w:val="004444FE"/>
    <w:rsid w:val="004742C6"/>
    <w:rsid w:val="004808D9"/>
    <w:rsid w:val="004A6D7E"/>
    <w:rsid w:val="004D1B60"/>
    <w:rsid w:val="004D2A73"/>
    <w:rsid w:val="004D5098"/>
    <w:rsid w:val="0050300A"/>
    <w:rsid w:val="00523B0E"/>
    <w:rsid w:val="00525192"/>
    <w:rsid w:val="00546AF9"/>
    <w:rsid w:val="00552794"/>
    <w:rsid w:val="005579A0"/>
    <w:rsid w:val="00565681"/>
    <w:rsid w:val="005712F3"/>
    <w:rsid w:val="00582EC4"/>
    <w:rsid w:val="005F19BC"/>
    <w:rsid w:val="00602312"/>
    <w:rsid w:val="00606E7B"/>
    <w:rsid w:val="0061077D"/>
    <w:rsid w:val="00612CEF"/>
    <w:rsid w:val="00643391"/>
    <w:rsid w:val="006440DF"/>
    <w:rsid w:val="00644E5C"/>
    <w:rsid w:val="006566F1"/>
    <w:rsid w:val="0066089A"/>
    <w:rsid w:val="00672203"/>
    <w:rsid w:val="006A34C7"/>
    <w:rsid w:val="006A6914"/>
    <w:rsid w:val="006F14CC"/>
    <w:rsid w:val="00705D2B"/>
    <w:rsid w:val="00736C4B"/>
    <w:rsid w:val="00743F66"/>
    <w:rsid w:val="007469B1"/>
    <w:rsid w:val="00766FD9"/>
    <w:rsid w:val="00790A8E"/>
    <w:rsid w:val="007B06C7"/>
    <w:rsid w:val="007C470D"/>
    <w:rsid w:val="007F75A0"/>
    <w:rsid w:val="00807A95"/>
    <w:rsid w:val="00816847"/>
    <w:rsid w:val="00820CDF"/>
    <w:rsid w:val="008335F2"/>
    <w:rsid w:val="008338CB"/>
    <w:rsid w:val="008528E6"/>
    <w:rsid w:val="008531F2"/>
    <w:rsid w:val="00863D80"/>
    <w:rsid w:val="00873E5D"/>
    <w:rsid w:val="00875759"/>
    <w:rsid w:val="008A08F0"/>
    <w:rsid w:val="008B051F"/>
    <w:rsid w:val="008D335F"/>
    <w:rsid w:val="008E2FF6"/>
    <w:rsid w:val="008F5189"/>
    <w:rsid w:val="008F7F50"/>
    <w:rsid w:val="00904BD8"/>
    <w:rsid w:val="009306D5"/>
    <w:rsid w:val="0096741B"/>
    <w:rsid w:val="0098607F"/>
    <w:rsid w:val="009913D0"/>
    <w:rsid w:val="009D25DF"/>
    <w:rsid w:val="009D6FD1"/>
    <w:rsid w:val="009E626A"/>
    <w:rsid w:val="009E7C6F"/>
    <w:rsid w:val="00A3392F"/>
    <w:rsid w:val="00A4011C"/>
    <w:rsid w:val="00A40D0E"/>
    <w:rsid w:val="00A45465"/>
    <w:rsid w:val="00A45AB8"/>
    <w:rsid w:val="00A64833"/>
    <w:rsid w:val="00A86D2E"/>
    <w:rsid w:val="00A97B07"/>
    <w:rsid w:val="00AB2A55"/>
    <w:rsid w:val="00AB41BC"/>
    <w:rsid w:val="00AD71AD"/>
    <w:rsid w:val="00AF3B97"/>
    <w:rsid w:val="00B41B07"/>
    <w:rsid w:val="00B5603B"/>
    <w:rsid w:val="00B72DFA"/>
    <w:rsid w:val="00B87AED"/>
    <w:rsid w:val="00B975CC"/>
    <w:rsid w:val="00C10AEE"/>
    <w:rsid w:val="00C11DAE"/>
    <w:rsid w:val="00C54680"/>
    <w:rsid w:val="00C60EEB"/>
    <w:rsid w:val="00C70D7D"/>
    <w:rsid w:val="00C70DE9"/>
    <w:rsid w:val="00C7714C"/>
    <w:rsid w:val="00C809BC"/>
    <w:rsid w:val="00C8167E"/>
    <w:rsid w:val="00C822E5"/>
    <w:rsid w:val="00C953D4"/>
    <w:rsid w:val="00CB35F4"/>
    <w:rsid w:val="00CB6B73"/>
    <w:rsid w:val="00CC4CF3"/>
    <w:rsid w:val="00D10C73"/>
    <w:rsid w:val="00D11B02"/>
    <w:rsid w:val="00D16498"/>
    <w:rsid w:val="00D25439"/>
    <w:rsid w:val="00D32F9E"/>
    <w:rsid w:val="00D37BD8"/>
    <w:rsid w:val="00D56662"/>
    <w:rsid w:val="00D56C5E"/>
    <w:rsid w:val="00D66444"/>
    <w:rsid w:val="00D964EE"/>
    <w:rsid w:val="00DD5F6B"/>
    <w:rsid w:val="00DE0050"/>
    <w:rsid w:val="00DE1A2D"/>
    <w:rsid w:val="00DF1E59"/>
    <w:rsid w:val="00DF66DC"/>
    <w:rsid w:val="00E50354"/>
    <w:rsid w:val="00E53A9F"/>
    <w:rsid w:val="00E70993"/>
    <w:rsid w:val="00E77C7E"/>
    <w:rsid w:val="00E82397"/>
    <w:rsid w:val="00EA2010"/>
    <w:rsid w:val="00EA3995"/>
    <w:rsid w:val="00EA743A"/>
    <w:rsid w:val="00EB1EB2"/>
    <w:rsid w:val="00EC5EE1"/>
    <w:rsid w:val="00ED0B48"/>
    <w:rsid w:val="00ED53FC"/>
    <w:rsid w:val="00EF51A6"/>
    <w:rsid w:val="00F07119"/>
    <w:rsid w:val="00F11E53"/>
    <w:rsid w:val="00F372FB"/>
    <w:rsid w:val="00F41AA0"/>
    <w:rsid w:val="00F51E7B"/>
    <w:rsid w:val="00F85609"/>
    <w:rsid w:val="00FA4F65"/>
    <w:rsid w:val="00FA70FB"/>
    <w:rsid w:val="00F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A82E6"/>
  <w14:defaultImageDpi w14:val="0"/>
  <w15:docId w15:val="{78F2E397-640F-4F95-912E-0C2A94FE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38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A2010"/>
    <w:pPr>
      <w:widowControl/>
      <w:autoSpaceDE/>
      <w:autoSpaceDN/>
      <w:adjustRightInd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EA2010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A2010"/>
    <w:rPr>
      <w:rFonts w:cs="Times New Roman"/>
      <w:vertAlign w:val="superscript"/>
    </w:rPr>
  </w:style>
  <w:style w:type="paragraph" w:customStyle="1" w:styleId="budova">
    <w:name w:val="budova"/>
    <w:basedOn w:val="Normln"/>
    <w:uiPriority w:val="99"/>
    <w:rsid w:val="00C54680"/>
    <w:pPr>
      <w:tabs>
        <w:tab w:val="left" w:pos="2269"/>
        <w:tab w:val="left" w:pos="4820"/>
        <w:tab w:val="left" w:pos="5529"/>
        <w:tab w:val="left" w:pos="7938"/>
      </w:tabs>
    </w:pPr>
    <w:rPr>
      <w:sz w:val="24"/>
      <w:szCs w:val="24"/>
    </w:rPr>
  </w:style>
  <w:style w:type="paragraph" w:customStyle="1" w:styleId="0telotextu">
    <w:name w:val="0_telo_textu"/>
    <w:rsid w:val="00CB6B73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736C4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736C4B"/>
    <w:rPr>
      <w:rFonts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36C4B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Seznam">
    <w:name w:val="List"/>
    <w:basedOn w:val="Normln"/>
    <w:uiPriority w:val="99"/>
    <w:unhideWhenUsed/>
    <w:rsid w:val="00A4011C"/>
    <w:pPr>
      <w:widowControl/>
      <w:autoSpaceDE/>
      <w:autoSpaceDN/>
      <w:adjustRightInd/>
      <w:ind w:left="283" w:hanging="283"/>
      <w:contextualSpacing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D566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rsid w:val="007469B1"/>
    <w:rPr>
      <w:rFonts w:cs="Times New Roman"/>
      <w:color w:val="0000FF"/>
      <w:u w:val="single"/>
    </w:rPr>
  </w:style>
  <w:style w:type="paragraph" w:customStyle="1" w:styleId="-wm-msonormal">
    <w:name w:val="-wm-msonormal"/>
    <w:basedOn w:val="Normln"/>
    <w:rsid w:val="00875759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Zkladntextodsazen31">
    <w:name w:val="Základní text odsazený 31"/>
    <w:basedOn w:val="Normln"/>
    <w:rsid w:val="008528E6"/>
    <w:pPr>
      <w:widowControl/>
      <w:overflowPunct w:val="0"/>
      <w:ind w:left="709" w:hanging="349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 FOND  ČESKÉ  REPUBLIKY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Hepilová Jana</dc:creator>
  <cp:keywords/>
  <dc:description/>
  <cp:lastModifiedBy>Hořáková Petra Ing.</cp:lastModifiedBy>
  <cp:revision>4</cp:revision>
  <cp:lastPrinted>2024-01-29T08:09:00Z</cp:lastPrinted>
  <dcterms:created xsi:type="dcterms:W3CDTF">2024-03-12T05:59:00Z</dcterms:created>
  <dcterms:modified xsi:type="dcterms:W3CDTF">2024-03-12T07:05:00Z</dcterms:modified>
</cp:coreProperties>
</file>