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00" w:line="335" w:lineRule="auto"/>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Smlouva o realizaci kurzu</w:t>
      </w:r>
    </w:p>
    <w:p w:rsidR="00000000" w:rsidDel="00000000" w:rsidP="00000000" w:rsidRDefault="00000000" w:rsidRPr="00000000" w14:paraId="00000002">
      <w:pPr>
        <w:spacing w:after="100" w:line="33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uzavřená podle ustanovení § 1746 odst. 2 zákona č. 89/2012 Sb., občanský zákoník, ve znění pozdějších předpisů („</w:t>
      </w:r>
      <w:r w:rsidDel="00000000" w:rsidR="00000000" w:rsidRPr="00000000">
        <w:rPr>
          <w:rFonts w:ascii="Times New Roman" w:cs="Times New Roman" w:eastAsia="Times New Roman" w:hAnsi="Times New Roman"/>
          <w:b w:val="1"/>
          <w:sz w:val="24"/>
          <w:szCs w:val="24"/>
          <w:rtl w:val="0"/>
        </w:rPr>
        <w:t xml:space="preserve">OZ</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after="100" w:line="33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Smlouva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100" w:line="33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Smluvní strany</w:t>
      </w:r>
    </w:p>
    <w:p w:rsidR="00000000" w:rsidDel="00000000" w:rsidP="00000000" w:rsidRDefault="00000000" w:rsidRPr="00000000" w14:paraId="00000005">
      <w:pPr>
        <w:numPr>
          <w:ilvl w:val="0"/>
          <w:numId w:val="2"/>
        </w:numPr>
        <w:spacing w:after="100" w:line="33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529"/>
          <w:sz w:val="24"/>
          <w:szCs w:val="24"/>
          <w:rtl w:val="0"/>
        </w:rPr>
        <w:t xml:space="preserve">Gymnázium a Jazyková škola s právem státní jazykové zkoušky Zlín</w:t>
      </w:r>
      <w:r w:rsidDel="00000000" w:rsidR="00000000" w:rsidRPr="00000000">
        <w:rPr>
          <w:rtl w:val="0"/>
        </w:rPr>
      </w:r>
    </w:p>
    <w:p w:rsidR="00000000" w:rsidDel="00000000" w:rsidP="00000000" w:rsidRDefault="00000000" w:rsidRPr="00000000" w14:paraId="00000006">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sídlem </w:t>
      </w:r>
      <w:r w:rsidDel="00000000" w:rsidR="00000000" w:rsidRPr="00000000">
        <w:rPr>
          <w:rFonts w:ascii="Times New Roman" w:cs="Times New Roman" w:eastAsia="Times New Roman" w:hAnsi="Times New Roman"/>
          <w:color w:val="212529"/>
          <w:sz w:val="24"/>
          <w:szCs w:val="24"/>
          <w:rtl w:val="0"/>
        </w:rPr>
        <w:t xml:space="preserve">nám. T. G. Masaryka 2734, 760 01 Zlín</w:t>
      </w:r>
      <w:r w:rsidDel="00000000" w:rsidR="00000000" w:rsidRPr="00000000">
        <w:rPr>
          <w:rFonts w:ascii="Times New Roman" w:cs="Times New Roman" w:eastAsia="Times New Roman" w:hAnsi="Times New Roman"/>
          <w:sz w:val="24"/>
          <w:szCs w:val="24"/>
          <w:rtl w:val="0"/>
        </w:rPr>
        <w:t xml:space="preserve">, IČO: </w:t>
      </w:r>
      <w:r w:rsidDel="00000000" w:rsidR="00000000" w:rsidRPr="00000000">
        <w:rPr>
          <w:rFonts w:ascii="Times New Roman" w:cs="Times New Roman" w:eastAsia="Times New Roman" w:hAnsi="Times New Roman"/>
          <w:color w:val="212529"/>
          <w:sz w:val="24"/>
          <w:szCs w:val="24"/>
          <w:rtl w:val="0"/>
        </w:rPr>
        <w:t xml:space="preserve">00559504</w:t>
      </w:r>
      <w:r w:rsidDel="00000000" w:rsidR="00000000" w:rsidRPr="00000000">
        <w:rPr>
          <w:rtl w:val="0"/>
        </w:rPr>
      </w:r>
    </w:p>
    <w:p w:rsidR="00000000" w:rsidDel="00000000" w:rsidP="00000000" w:rsidRDefault="00000000" w:rsidRPr="00000000" w14:paraId="00000007">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zastoupený Mgr. Alenou Štachovou, ředitelkou školy. </w:t>
      </w:r>
    </w:p>
    <w:p w:rsidR="00000000" w:rsidDel="00000000" w:rsidP="00000000" w:rsidRDefault="00000000" w:rsidRPr="00000000" w14:paraId="00000008">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Objednatel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p w:rsidR="00000000" w:rsidDel="00000000" w:rsidP="00000000" w:rsidRDefault="00000000" w:rsidRPr="00000000" w14:paraId="0000000A">
      <w:pPr>
        <w:numPr>
          <w:ilvl w:val="0"/>
          <w:numId w:val="4"/>
        </w:numPr>
        <w:spacing w:after="100" w:line="335"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Tokaheya vzdělávání, z.s. </w:t>
      </w:r>
      <w:r w:rsidDel="00000000" w:rsidR="00000000" w:rsidRPr="00000000">
        <w:rPr>
          <w:rtl w:val="0"/>
        </w:rPr>
      </w:r>
    </w:p>
    <w:p w:rsidR="00000000" w:rsidDel="00000000" w:rsidP="00000000" w:rsidRDefault="00000000" w:rsidRPr="00000000" w14:paraId="0000000B">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spolek se sídlem Sadová 1526, Holešov, PSČ 769 01, IČO: 097 16 181, zapsaný ve spolkovém rejstříku vedeném Krajským soudem v Brně, oddíl L, vložka 27303 </w:t>
      </w:r>
    </w:p>
    <w:p w:rsidR="00000000" w:rsidDel="00000000" w:rsidP="00000000" w:rsidRDefault="00000000" w:rsidRPr="00000000" w14:paraId="0000000C">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bankovní účet č.: 2801915533/2010, vedený u společnosti Fio Banka, a.s.</w:t>
      </w:r>
    </w:p>
    <w:p w:rsidR="00000000" w:rsidDel="00000000" w:rsidP="00000000" w:rsidRDefault="00000000" w:rsidRPr="00000000" w14:paraId="0000000D">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zastoupený Ing. Petrem Němčíkem, členem Rady spolku, Bc. Jakubem Šneidrem, členem Rady spolku, Ing. Evou Mezihorákovou, členkou Rady spolku </w:t>
      </w:r>
    </w:p>
    <w:p w:rsidR="00000000" w:rsidDel="00000000" w:rsidP="00000000" w:rsidRDefault="00000000" w:rsidRPr="00000000" w14:paraId="0000000E">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Poskytovatel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spacing w:after="100" w:line="33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100" w:line="33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a Poskytovatel společně „</w:t>
      </w:r>
      <w:r w:rsidDel="00000000" w:rsidR="00000000" w:rsidRPr="00000000">
        <w:rPr>
          <w:rFonts w:ascii="Times New Roman" w:cs="Times New Roman" w:eastAsia="Times New Roman" w:hAnsi="Times New Roman"/>
          <w:b w:val="1"/>
          <w:sz w:val="24"/>
          <w:szCs w:val="24"/>
          <w:rtl w:val="0"/>
        </w:rPr>
        <w:t xml:space="preserve">Strany</w:t>
      </w:r>
      <w:r w:rsidDel="00000000" w:rsidR="00000000" w:rsidRPr="00000000">
        <w:rPr>
          <w:rFonts w:ascii="Times New Roman" w:cs="Times New Roman" w:eastAsia="Times New Roman" w:hAnsi="Times New Roman"/>
          <w:sz w:val="24"/>
          <w:szCs w:val="24"/>
          <w:rtl w:val="0"/>
        </w:rPr>
        <w:t xml:space="preserve">“, a každý z nich samostatně „</w:t>
      </w:r>
      <w:r w:rsidDel="00000000" w:rsidR="00000000" w:rsidRPr="00000000">
        <w:rPr>
          <w:rFonts w:ascii="Times New Roman" w:cs="Times New Roman" w:eastAsia="Times New Roman" w:hAnsi="Times New Roman"/>
          <w:b w:val="1"/>
          <w:sz w:val="24"/>
          <w:szCs w:val="24"/>
          <w:rtl w:val="0"/>
        </w:rPr>
        <w:t xml:space="preserve">Strana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pStyle w:val="Heading2"/>
        <w:numPr>
          <w:ilvl w:val="0"/>
          <w:numId w:val="1"/>
        </w:numPr>
        <w:spacing w:after="100" w:before="0" w:line="335" w:lineRule="auto"/>
        <w:ind w:left="720" w:hanging="360"/>
        <w:rPr>
          <w:sz w:val="24"/>
          <w:szCs w:val="24"/>
        </w:rPr>
      </w:pPr>
      <w:bookmarkStart w:colFirst="0" w:colLast="0" w:name="_heading=h.30j0zll" w:id="1"/>
      <w:bookmarkEnd w:id="1"/>
      <w:r w:rsidDel="00000000" w:rsidR="00000000" w:rsidRPr="00000000">
        <w:rPr>
          <w:sz w:val="24"/>
          <w:szCs w:val="24"/>
          <w:rtl w:val="0"/>
        </w:rPr>
        <w:t xml:space="preserve">Předmět smlouvy</w:t>
      </w:r>
    </w:p>
    <w:p w:rsidR="00000000" w:rsidDel="00000000" w:rsidP="00000000" w:rsidRDefault="00000000" w:rsidRPr="00000000" w14:paraId="00000012">
      <w:pPr>
        <w:spacing w:after="100" w:line="335" w:lineRule="auto"/>
        <w:ind w:lef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Předmětem Smlouvy je zajištění adaptačního kurzu („</w:t>
      </w:r>
      <w:r w:rsidDel="00000000" w:rsidR="00000000" w:rsidRPr="00000000">
        <w:rPr>
          <w:rFonts w:ascii="Times New Roman" w:cs="Times New Roman" w:eastAsia="Times New Roman" w:hAnsi="Times New Roman"/>
          <w:b w:val="1"/>
          <w:sz w:val="24"/>
          <w:szCs w:val="24"/>
          <w:rtl w:val="0"/>
        </w:rPr>
        <w:t xml:space="preserve">Kurz</w:t>
      </w:r>
      <w:r w:rsidDel="00000000" w:rsidR="00000000" w:rsidRPr="00000000">
        <w:rPr>
          <w:rFonts w:ascii="Times New Roman" w:cs="Times New Roman" w:eastAsia="Times New Roman" w:hAnsi="Times New Roman"/>
          <w:sz w:val="24"/>
          <w:szCs w:val="24"/>
          <w:rtl w:val="0"/>
        </w:rPr>
        <w:t xml:space="preserve">“) Poskytovatelem pro Objednatele. </w:t>
      </w:r>
    </w:p>
    <w:p w:rsidR="00000000" w:rsidDel="00000000" w:rsidP="00000000" w:rsidRDefault="00000000" w:rsidRPr="00000000" w14:paraId="00000013">
      <w:pPr>
        <w:pStyle w:val="Heading2"/>
        <w:numPr>
          <w:ilvl w:val="0"/>
          <w:numId w:val="3"/>
        </w:numPr>
        <w:spacing w:after="100" w:before="0" w:line="335" w:lineRule="auto"/>
        <w:ind w:left="720" w:hanging="360"/>
        <w:rPr>
          <w:sz w:val="24"/>
          <w:szCs w:val="24"/>
        </w:rPr>
      </w:pPr>
      <w:bookmarkStart w:colFirst="0" w:colLast="0" w:name="_heading=h.1fob9te" w:id="2"/>
      <w:bookmarkEnd w:id="2"/>
      <w:r w:rsidDel="00000000" w:rsidR="00000000" w:rsidRPr="00000000">
        <w:rPr>
          <w:sz w:val="24"/>
          <w:szCs w:val="24"/>
          <w:rtl w:val="0"/>
        </w:rPr>
        <w:t xml:space="preserve">Místo a čas realizace programu</w:t>
      </w:r>
    </w:p>
    <w:p w:rsidR="00000000" w:rsidDel="00000000" w:rsidP="00000000" w:rsidRDefault="00000000" w:rsidRPr="00000000" w14:paraId="00000014">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na Kurzu bude zajištěn v termínu 4. - 6. 9. 2024. </w:t>
      </w:r>
    </w:p>
    <w:p w:rsidR="00000000" w:rsidDel="00000000" w:rsidP="00000000" w:rsidRDefault="00000000" w:rsidRPr="00000000" w14:paraId="00000015">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Místo realizace je rekreační centrum Pohoda Sidonie (Sidonie 13, 763 31 Brumov-Bylnice).</w:t>
      </w:r>
    </w:p>
    <w:p w:rsidR="00000000" w:rsidDel="00000000" w:rsidP="00000000" w:rsidRDefault="00000000" w:rsidRPr="00000000" w14:paraId="00000016">
      <w:pPr>
        <w:pStyle w:val="Heading2"/>
        <w:numPr>
          <w:ilvl w:val="0"/>
          <w:numId w:val="3"/>
        </w:numPr>
        <w:spacing w:after="100" w:before="0" w:line="335" w:lineRule="auto"/>
        <w:ind w:left="720" w:hanging="360"/>
        <w:rPr>
          <w:sz w:val="24"/>
          <w:szCs w:val="24"/>
        </w:rPr>
      </w:pPr>
      <w:bookmarkStart w:colFirst="0" w:colLast="0" w:name="_heading=h.3znysh7" w:id="3"/>
      <w:bookmarkEnd w:id="3"/>
      <w:r w:rsidDel="00000000" w:rsidR="00000000" w:rsidRPr="00000000">
        <w:rPr>
          <w:sz w:val="24"/>
          <w:szCs w:val="24"/>
          <w:rtl w:val="0"/>
        </w:rPr>
        <w:t xml:space="preserve">Cena a platební podmínky</w:t>
      </w:r>
    </w:p>
    <w:p w:rsidR="00000000" w:rsidDel="00000000" w:rsidP="00000000" w:rsidRDefault="00000000" w:rsidRPr="00000000" w14:paraId="00000017">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za realizovaný program je 2.700 Kč (slovy dva tisíce sedm set korun českých) za účastníka Kurzu. Strany se dohodly na počtu minimálně 110 účastníků, počet účastníků může být změněn na základě dohody Stran a to nejpozději do 48 hodin před začátkem Kurzu. </w:t>
      </w:r>
    </w:p>
    <w:p w:rsidR="00000000" w:rsidDel="00000000" w:rsidP="00000000" w:rsidRDefault="00000000" w:rsidRPr="00000000" w14:paraId="00000018">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Objednatel se zavazuje uhradit celkovou cenu za všechny účastníky na účet Poskytovatele, který je uveden v záhlaví Smlouvy, a to na základě faktury vystavené Poskytovatelem.</w:t>
      </w:r>
    </w:p>
    <w:p w:rsidR="00000000" w:rsidDel="00000000" w:rsidP="00000000" w:rsidRDefault="00000000" w:rsidRPr="00000000" w14:paraId="00000019">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Faktura za realizaci kurzu bude vystavena Poskytovatelem poté, co již nelze měnit počet účastníků na základě skutečného počtu účastníků kurzu.</w:t>
      </w:r>
    </w:p>
    <w:p w:rsidR="00000000" w:rsidDel="00000000" w:rsidP="00000000" w:rsidRDefault="00000000" w:rsidRPr="00000000" w14:paraId="0000001A">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Cena zahrnuje náklady na přípravu a realizaci programu Kurzu, dopravu tam i zpět, ubytování, stravu, zdravotnický dohled a odměnu lektorů.</w:t>
      </w:r>
    </w:p>
    <w:p w:rsidR="00000000" w:rsidDel="00000000" w:rsidP="00000000" w:rsidRDefault="00000000" w:rsidRPr="00000000" w14:paraId="0000001B">
      <w:pPr>
        <w:pStyle w:val="Heading2"/>
        <w:numPr>
          <w:ilvl w:val="0"/>
          <w:numId w:val="3"/>
        </w:numPr>
        <w:spacing w:after="100" w:before="0" w:line="335" w:lineRule="auto"/>
        <w:ind w:left="720" w:hanging="360"/>
        <w:rPr>
          <w:sz w:val="24"/>
          <w:szCs w:val="24"/>
        </w:rPr>
      </w:pPr>
      <w:bookmarkStart w:colFirst="0" w:colLast="0" w:name="_heading=h.2et92p0" w:id="4"/>
      <w:bookmarkEnd w:id="4"/>
      <w:r w:rsidDel="00000000" w:rsidR="00000000" w:rsidRPr="00000000">
        <w:rPr>
          <w:sz w:val="24"/>
          <w:szCs w:val="24"/>
          <w:rtl w:val="0"/>
        </w:rPr>
        <w:t xml:space="preserve">Další ujednání stran</w:t>
      </w:r>
    </w:p>
    <w:p w:rsidR="00000000" w:rsidDel="00000000" w:rsidP="00000000" w:rsidRDefault="00000000" w:rsidRPr="00000000" w14:paraId="0000001C">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Právní odpovědnost za případné škody vzniklé na majetku a zdraví účastníků kurzu přebírá v době programu organizovaném a vedeném instruktory v plné míře Poskytovatel a to od okamžiku nástupu účastníků na program v místě konání až do doby jeho ukončení. Mimo program organizovaný a vedený instruktory Poskytovatele, Poskytovatel za zdraví a majetek účastníků kurzu neodpovídá. Program je vždy zahájený výzvou instruktora k nástupu na program a ukončen oznámením instruktora o konci programu.</w:t>
      </w:r>
    </w:p>
    <w:p w:rsidR="00000000" w:rsidDel="00000000" w:rsidP="00000000" w:rsidRDefault="00000000" w:rsidRPr="00000000" w14:paraId="0000001D">
      <w:pPr>
        <w:pStyle w:val="Heading2"/>
        <w:numPr>
          <w:ilvl w:val="0"/>
          <w:numId w:val="3"/>
        </w:numPr>
        <w:spacing w:after="100" w:before="0" w:line="335" w:lineRule="auto"/>
        <w:ind w:left="720" w:hanging="360"/>
        <w:rPr>
          <w:sz w:val="24"/>
          <w:szCs w:val="24"/>
        </w:rPr>
      </w:pPr>
      <w:bookmarkStart w:colFirst="0" w:colLast="0" w:name="_heading=h.tyjcwt" w:id="5"/>
      <w:bookmarkEnd w:id="5"/>
      <w:r w:rsidDel="00000000" w:rsidR="00000000" w:rsidRPr="00000000">
        <w:rPr>
          <w:sz w:val="24"/>
          <w:szCs w:val="24"/>
          <w:rtl w:val="0"/>
        </w:rPr>
        <w:t xml:space="preserve">Závěrečná ustanovení</w:t>
      </w:r>
    </w:p>
    <w:p w:rsidR="00000000" w:rsidDel="00000000" w:rsidP="00000000" w:rsidRDefault="00000000" w:rsidRPr="00000000" w14:paraId="0000001E">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Právní vztahy Smlouvou neupravené se řídí OZ.</w:t>
      </w:r>
    </w:p>
    <w:p w:rsidR="00000000" w:rsidDel="00000000" w:rsidP="00000000" w:rsidRDefault="00000000" w:rsidRPr="00000000" w14:paraId="0000001F">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Smlouvu je možné měnit pouze písemnou dohodou Stran.</w:t>
      </w:r>
    </w:p>
    <w:p w:rsidR="00000000" w:rsidDel="00000000" w:rsidP="00000000" w:rsidRDefault="00000000" w:rsidRPr="00000000" w14:paraId="00000020">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Poskytovatel je povinen při plnění dle Smlouvy zajistit ochranu osobních údajů. Objednatel mu k tomu poskytne potřebnou součinnost.</w:t>
      </w:r>
    </w:p>
    <w:p w:rsidR="00000000" w:rsidDel="00000000" w:rsidP="00000000" w:rsidRDefault="00000000" w:rsidRPr="00000000" w14:paraId="00000021">
      <w:pPr>
        <w:numPr>
          <w:ilvl w:val="1"/>
          <w:numId w:val="3"/>
        </w:numPr>
        <w:spacing w:after="100" w:line="335" w:lineRule="auto"/>
        <w:ind w:left="99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Smlouva je vyhotovena ve 2 stejnopisech, přičemž každá ze Stran obdrží 1 stejnopis.</w:t>
      </w:r>
    </w:p>
    <w:p w:rsidR="00000000" w:rsidDel="00000000" w:rsidP="00000000" w:rsidRDefault="00000000" w:rsidRPr="00000000" w14:paraId="00000022">
      <w:pPr>
        <w:spacing w:after="100" w:line="33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Strany tímto výslovně prohlašují, že si tuto Smlouvu před jejím podpisem přečetly, že byla uzavřena po vzájemném projednání a že vyjadřuje jejich pravou a svobodnou vůli, na důkaz čehož připojují níže své podpisy.</w:t>
      </w:r>
    </w:p>
    <w:tbl>
      <w:tblPr>
        <w:tblStyle w:val="Table1"/>
        <w:tblW w:w="9025.0" w:type="dxa"/>
        <w:jc w:val="left"/>
        <w:tblLayout w:type="fixed"/>
        <w:tblLook w:val="0600"/>
      </w:tblPr>
      <w:tblGrid>
        <w:gridCol w:w="4512"/>
        <w:gridCol w:w="4513"/>
        <w:tblGridChange w:id="0">
          <w:tblGrid>
            <w:gridCol w:w="4512"/>
            <w:gridCol w:w="4513"/>
          </w:tblGrid>
        </w:tblGridChange>
      </w:tblGrid>
      <w:tr>
        <w:trPr>
          <w:cantSplit w:val="0"/>
          <w:trHeight w:val="510" w:hRule="atLeast"/>
          <w:tblHeader w:val="0"/>
        </w:trPr>
        <w:tc>
          <w:tcPr>
            <w:tcMar>
              <w:top w:w="60.0" w:type="dxa"/>
              <w:left w:w="60.0" w:type="dxa"/>
              <w:bottom w:w="60.0" w:type="dxa"/>
              <w:right w:w="60.0" w:type="dxa"/>
            </w:tcMar>
          </w:tcPr>
          <w:p w:rsidR="00000000" w:rsidDel="00000000" w:rsidP="00000000" w:rsidRDefault="00000000" w:rsidRPr="00000000" w14:paraId="00000023">
            <w:pPr>
              <w:spacing w:after="100" w:line="33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Objednatele</w:t>
            </w:r>
          </w:p>
        </w:tc>
        <w:tc>
          <w:tcPr>
            <w:tcMar>
              <w:top w:w="60.0" w:type="dxa"/>
              <w:left w:w="60.0" w:type="dxa"/>
              <w:bottom w:w="60.0" w:type="dxa"/>
              <w:right w:w="60.0" w:type="dxa"/>
            </w:tcMar>
          </w:tcPr>
          <w:p w:rsidR="00000000" w:rsidDel="00000000" w:rsidP="00000000" w:rsidRDefault="00000000" w:rsidRPr="00000000" w14:paraId="00000025">
            <w:pPr>
              <w:spacing w:after="100" w:line="33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Poskytovatele</w:t>
            </w:r>
          </w:p>
        </w:tc>
      </w:tr>
      <w:tr>
        <w:trPr>
          <w:cantSplit w:val="0"/>
          <w:trHeight w:val="900" w:hRule="atLeast"/>
          <w:tblHeader w:val="0"/>
        </w:trPr>
        <w:tc>
          <w:tcPr>
            <w:tcMar>
              <w:top w:w="60.0" w:type="dxa"/>
              <w:left w:w="60.0" w:type="dxa"/>
              <w:bottom w:w="60.0" w:type="dxa"/>
              <w:right w:w="60.0" w:type="dxa"/>
            </w:tcMar>
          </w:tcPr>
          <w:p w:rsidR="00000000" w:rsidDel="00000000" w:rsidP="00000000" w:rsidRDefault="00000000" w:rsidRPr="00000000" w14:paraId="00000027">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Místo: Zlín</w:t>
            </w:r>
          </w:p>
          <w:p w:rsidR="00000000" w:rsidDel="00000000" w:rsidP="00000000" w:rsidRDefault="00000000" w:rsidRPr="00000000" w14:paraId="00000028">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 7. 3. 2024</w:t>
            </w:r>
          </w:p>
        </w:tc>
        <w:tc>
          <w:tcPr>
            <w:tcMar>
              <w:top w:w="60.0" w:type="dxa"/>
              <w:left w:w="60.0" w:type="dxa"/>
              <w:bottom w:w="60.0" w:type="dxa"/>
              <w:right w:w="60.0" w:type="dxa"/>
            </w:tcMar>
          </w:tcPr>
          <w:p w:rsidR="00000000" w:rsidDel="00000000" w:rsidP="00000000" w:rsidRDefault="00000000" w:rsidRPr="00000000" w14:paraId="00000029">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Místo: Holešov</w:t>
            </w:r>
          </w:p>
          <w:p w:rsidR="00000000" w:rsidDel="00000000" w:rsidP="00000000" w:rsidRDefault="00000000" w:rsidRPr="00000000" w14:paraId="0000002A">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 15. 3. 2024</w:t>
            </w:r>
          </w:p>
        </w:tc>
      </w:tr>
      <w:tr>
        <w:trPr>
          <w:cantSplit w:val="0"/>
          <w:trHeight w:val="810" w:hRule="atLeast"/>
          <w:tblHeader w:val="0"/>
        </w:trPr>
        <w:tc>
          <w:tcPr>
            <w:tcMar>
              <w:top w:w="60.0" w:type="dxa"/>
              <w:left w:w="60.0" w:type="dxa"/>
              <w:bottom w:w="60.0" w:type="dxa"/>
              <w:right w:w="60.0" w:type="dxa"/>
            </w:tcMar>
          </w:tcPr>
          <w:p w:rsidR="00000000" w:rsidDel="00000000" w:rsidP="00000000" w:rsidRDefault="00000000" w:rsidRPr="00000000" w14:paraId="0000002B">
            <w:pPr>
              <w:spacing w:after="100" w:line="33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w:t>
            </w:r>
          </w:p>
        </w:tc>
        <w:tc>
          <w:tcPr>
            <w:tcMar>
              <w:top w:w="60.0" w:type="dxa"/>
              <w:left w:w="60.0" w:type="dxa"/>
              <w:bottom w:w="60.0" w:type="dxa"/>
              <w:right w:w="60.0" w:type="dxa"/>
            </w:tcMar>
          </w:tcPr>
          <w:p w:rsidR="00000000" w:rsidDel="00000000" w:rsidP="00000000" w:rsidRDefault="00000000" w:rsidRPr="00000000" w14:paraId="0000002D">
            <w:pPr>
              <w:spacing w:after="100" w:line="33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w:t>
            </w:r>
          </w:p>
        </w:tc>
      </w:tr>
      <w:tr>
        <w:trPr>
          <w:cantSplit w:val="0"/>
          <w:trHeight w:val="900" w:hRule="atLeast"/>
          <w:tblHeader w:val="0"/>
        </w:trPr>
        <w:tc>
          <w:tcPr>
            <w:tcMar>
              <w:top w:w="60.0" w:type="dxa"/>
              <w:left w:w="60.0" w:type="dxa"/>
              <w:bottom w:w="60.0" w:type="dxa"/>
              <w:right w:w="60.0" w:type="dxa"/>
            </w:tcMar>
          </w:tcPr>
          <w:p w:rsidR="00000000" w:rsidDel="00000000" w:rsidP="00000000" w:rsidRDefault="00000000" w:rsidRPr="00000000" w14:paraId="0000002F">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Jméno: Mgr. Alena Štachová</w:t>
            </w:r>
          </w:p>
          <w:p w:rsidR="00000000" w:rsidDel="00000000" w:rsidP="00000000" w:rsidRDefault="00000000" w:rsidRPr="00000000" w14:paraId="00000030">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Funkce: Ředitelka školy</w:t>
            </w:r>
          </w:p>
        </w:tc>
        <w:tc>
          <w:tcPr>
            <w:tcMar>
              <w:top w:w="60.0" w:type="dxa"/>
              <w:left w:w="60.0" w:type="dxa"/>
              <w:bottom w:w="60.0" w:type="dxa"/>
              <w:right w:w="60.0" w:type="dxa"/>
            </w:tcMar>
          </w:tcPr>
          <w:p w:rsidR="00000000" w:rsidDel="00000000" w:rsidP="00000000" w:rsidRDefault="00000000" w:rsidRPr="00000000" w14:paraId="00000031">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Jméno: Ing. Petr Němčík</w:t>
            </w:r>
          </w:p>
          <w:p w:rsidR="00000000" w:rsidDel="00000000" w:rsidP="00000000" w:rsidRDefault="00000000" w:rsidRPr="00000000" w14:paraId="00000032">
            <w:pPr>
              <w:spacing w:after="100" w:line="33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Funkce: Člen Rady spolku</w:t>
            </w:r>
          </w:p>
        </w:tc>
      </w:tr>
    </w:tbl>
    <w:p w:rsidR="00000000" w:rsidDel="00000000" w:rsidP="00000000" w:rsidRDefault="00000000" w:rsidRPr="00000000" w14:paraId="00000033">
      <w:pPr>
        <w:spacing w:after="100" w:line="335" w:lineRule="auto"/>
        <w:rPr/>
      </w:pPr>
      <w:r w:rsidDel="00000000" w:rsidR="00000000" w:rsidRPr="00000000">
        <w:rPr>
          <w:rtl w:val="0"/>
        </w:rPr>
      </w:r>
    </w:p>
    <w:sectPr>
      <w:pgSz w:h="16834" w:w="11909" w:orient="portrait"/>
      <w:pgMar w:bottom="963" w:top="963" w:left="963" w:right="96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200" w:before="200" w:line="360" w:lineRule="auto"/>
      <w:ind w:left="720" w:hanging="360"/>
      <w:jc w:val="both"/>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200" w:before="200" w:line="360" w:lineRule="auto"/>
      <w:ind w:left="720" w:hanging="360"/>
      <w:jc w:val="both"/>
      <w:outlineLvl w:val="1"/>
    </w:pPr>
    <w:rPr>
      <w:rFonts w:ascii="Times New Roman" w:cs="Times New Roman" w:eastAsia="Times New Roman" w:hAnsi="Times New Roman"/>
      <w:b w:val="1"/>
      <w:sz w:val="28"/>
      <w:szCs w:val="28"/>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T1p/Yp3CWyRDf7NfnSVa1djKg==">CgMxLjAyCGguZ2pkZ3hzMgloLjMwajB6bGwyCWguMWZvYjl0ZTIJaC4zem55c2g3MgloLjJldDkycDAyCGgudHlqY3d0OAByITFZaThaMmNMbDU3N0R1UXMtdlNNQlhBVzQ5QjBlOFZnYQ==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2024-01-23T14:40:00Z</dcterms:created>
</cp:coreProperties>
</file>