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„Dohoda“)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mezi těmito smluvními stranami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Fakultní mateřská škola se speciální péčí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Mgr. Irenou Hanyš Holemou, PhD.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65994027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NormalWeb"/>
        <w:spacing w:before="280" w:after="280"/>
        <w:rPr>
          <w:rFonts w:ascii="Arial" w:hAnsi="Arial"/>
          <w:sz w:val="22"/>
          <w:szCs w:val="22"/>
        </w:rPr>
      </w:pPr>
      <w:r>
        <w:rPr>
          <w:rFonts w:eastAsia="Calibri" w:cs="" w:ascii="Arial" w:hAnsi="Arial" w:cstheme="minorBidi" w:eastAsiaTheme="minorHAnsi"/>
          <w:color w:val="000000"/>
          <w:sz w:val="22"/>
          <w:szCs w:val="22"/>
          <w:shd w:fill="000000" w:val="clear"/>
        </w:rPr>
        <w:t>Pavlou Vybíralovou</w:t>
      </w:r>
      <w:r>
        <w:rPr>
          <w:rFonts w:eastAsia="Calibri" w:cs="" w:ascii="Arial" w:hAnsi="Arial" w:cstheme="minorBidi" w:eastAsiaTheme="minorHAnsi"/>
          <w:sz w:val="22"/>
          <w:szCs w:val="22"/>
          <w:shd w:fill="auto" w:val="clear"/>
        </w:rPr>
        <w:br/>
      </w:r>
      <w:r>
        <w:rPr>
          <w:rFonts w:ascii="Arial" w:hAnsi="Arial"/>
          <w:sz w:val="22"/>
          <w:szCs w:val="22"/>
        </w:rPr>
        <w:t xml:space="preserve">sídlo </w:t>
      </w:r>
      <w:r>
        <w:rPr>
          <w:rFonts w:eastAsia="Calibri" w:cs="Arial" w:ascii="Arial" w:hAnsi="Arial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: Bolzanova 3, Plzeň 301 00</w:t>
      </w:r>
    </w:p>
    <w:p>
      <w:pPr>
        <w:pStyle w:val="Default"/>
        <w:spacing w:lineRule="auto" w:line="27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IČ:  </w:t>
      </w:r>
      <w:r>
        <w:rPr>
          <w:rFonts w:cs="Times New Roman"/>
          <w:sz w:val="22"/>
          <w:szCs w:val="22"/>
        </w:rPr>
        <w:t>11622733</w:t>
      </w:r>
    </w:p>
    <w:p>
      <w:pPr>
        <w:pStyle w:val="Default"/>
        <w:spacing w:lineRule="auto" w:line="276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(dále jen „poskytovatel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Smluvní strany uzavírají tuto dohodu o vypořádání bezdůvodného obohacení vzhledem k 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uzavřely dne 1. 2. 2024 rámcovou smlouvu, jejímž předmětem je poskytování služeb mentora a pravidelná mentorská podpora. Tato smlouva byla uzavřena v souladu s výsledkem zadávacího řízení.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§ 2 odst. 1 písm. a)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ze smlouvy uvedené v části I bodě 1 této dohody bylo poskytnuto plnění, přestože v době poskytnutí plnění nebyla tato smlouva uveřejněna dle § 5 ZRS /respektive byla uvedena v nečitelné podobě / 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považují za nesporné, v souladu se smlouvou uvedenou v čl. I odst. 1 této Dohody a prohlašují, že plnění přijímají do svého vlastnictví. </w:t>
      </w:r>
    </w:p>
    <w:p>
      <w:pPr>
        <w:pStyle w:val="ListParagraph"/>
        <w:numPr>
          <w:ilvl w:val="0"/>
          <w:numId w:val="2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obdrží1 vyhotovení a dodavatel 1 vyhotovení.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 Praze dne 13. 3. 2024</w:t>
        <w:tab/>
        <w:tab/>
        <w:tab/>
        <w:tab/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fd061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fd061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fd06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  <w:lang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LibreOffice/7.5.7.1$Windows_X86_64 LibreOffice_project/47eb0cf7efbacdee9b19ae25d6752381ede23126</Application>
  <AppVersion>15.0000</AppVersion>
  <Pages>3</Pages>
  <Words>395</Words>
  <Characters>2182</Characters>
  <CharactersWithSpaces>2565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 Jan</dc:creator>
  <dc:description/>
  <dc:language>cs-CZ</dc:language>
  <cp:lastModifiedBy/>
  <cp:lastPrinted>2024-03-14T14:44:51Z</cp:lastPrinted>
  <dcterms:modified xsi:type="dcterms:W3CDTF">2024-03-14T15:26:32Z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