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2"/>
        <w:ind w:lef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14"/>
        <w:ind w:lef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164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17"/>
        </w:rPr>
        <w:t xml:space="preserve"> </w:t>
      </w:r>
      <w:r>
        <w:rPr/>
        <w:t xml:space="preserve"> </w:t>
      </w:r>
    </w:p>
    <w:p>
      <w:pPr>
        <w:pStyle w:val="Nadpis1"/>
        <w:ind w:left="1326" w:hanging="10"/>
        <w:rPr/>
      </w:pPr>
      <w:r>
        <w:rPr/>
        <w:t xml:space="preserve">Olympus Czech Group, s.r.o., člen koncernu </w:t>
      </w:r>
      <w:r>
        <w:rPr>
          <w:b w:val="false"/>
          <w:sz w:val="20"/>
        </w:rPr>
        <w:t xml:space="preserve"> </w:t>
      </w:r>
    </w:p>
    <w:p>
      <w:pPr>
        <w:pStyle w:val="Normal"/>
        <w:spacing w:lineRule="auto" w:line="259" w:before="0" w:after="2"/>
        <w:ind w:left="1341" w:hanging="0"/>
        <w:jc w:val="left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jako </w:t>
      </w:r>
    </w:p>
    <w:p>
      <w:pPr>
        <w:pStyle w:val="Normal"/>
        <w:ind w:left="1431" w:hanging="10"/>
        <w:rPr/>
      </w:pPr>
      <w:r>
        <w:rPr/>
        <w:t xml:space="preserve">PRODÁVAJÍCÍ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65"/>
        <w:ind w:left="0" w:hanging="0"/>
        <w:jc w:val="left"/>
        <w:rPr/>
      </w:pPr>
      <w:r>
        <w:rPr>
          <w:sz w:val="19"/>
        </w:rPr>
        <w:t xml:space="preserve"> </w:t>
      </w:r>
      <w:r>
        <w:rPr/>
        <w:t xml:space="preserve"> </w:t>
      </w:r>
    </w:p>
    <w:p>
      <w:pPr>
        <w:pStyle w:val="Nadpis1"/>
        <w:ind w:left="1326" w:hanging="10"/>
        <w:rPr/>
      </w:pPr>
      <w:r>
        <w:rPr/>
        <w:t xml:space="preserve">Nemocnice ve Frýdku-Místku, příspěvková organizace </w:t>
      </w:r>
      <w:r>
        <w:rPr>
          <w:b w:val="false"/>
          <w:sz w:val="20"/>
        </w:rPr>
        <w:t xml:space="preserve"> </w:t>
      </w:r>
    </w:p>
    <w:p>
      <w:pPr>
        <w:pStyle w:val="Normal"/>
        <w:spacing w:lineRule="auto" w:line="259" w:before="0" w:after="2"/>
        <w:ind w:left="1341" w:hanging="0"/>
        <w:jc w:val="left"/>
        <w:rPr/>
      </w:pPr>
      <w:r>
        <w:rPr/>
        <w:t xml:space="preserve"> </w:t>
      </w:r>
    </w:p>
    <w:p>
      <w:pPr>
        <w:pStyle w:val="Normal"/>
        <w:ind w:left="1351" w:hanging="10"/>
        <w:rPr/>
      </w:pPr>
      <w:r>
        <w:rPr/>
        <w:t xml:space="preserve">jako </w:t>
      </w:r>
    </w:p>
    <w:p>
      <w:pPr>
        <w:pStyle w:val="Normal"/>
        <w:ind w:left="1351" w:hanging="10"/>
        <w:rPr/>
      </w:pPr>
      <w:r>
        <w:rPr/>
        <w:t xml:space="preserve">KUPUJÍCÍ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527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68" w:before="0" w:after="78"/>
        <w:ind w:left="3984" w:right="3002" w:hanging="10"/>
        <w:jc w:val="center"/>
        <w:rPr/>
      </w:pPr>
      <w:r>
        <w:rPr>
          <w:sz w:val="40"/>
        </w:rPr>
        <w:t xml:space="preserve">Dodatek č. 1 k </w:t>
      </w:r>
    </w:p>
    <w:p>
      <w:pPr>
        <w:pStyle w:val="Nadpis1"/>
        <w:spacing w:before="0" w:after="82"/>
        <w:ind w:left="0" w:right="597" w:hanging="0"/>
        <w:jc w:val="right"/>
        <w:rPr/>
      </w:pPr>
      <w:r>
        <w:rPr>
          <w:b w:val="false"/>
          <w:sz w:val="40"/>
        </w:rPr>
        <w:t xml:space="preserve">Dohodě o podmínkách poskytnutí odměny </w:t>
      </w:r>
    </w:p>
    <w:p>
      <w:pPr>
        <w:pStyle w:val="Normal"/>
        <w:spacing w:lineRule="auto" w:line="268" w:before="0" w:after="0"/>
        <w:ind w:left="870" w:hanging="10"/>
        <w:jc w:val="center"/>
        <w:rPr/>
      </w:pPr>
      <w:r>
        <w:rPr>
          <w:sz w:val="40"/>
        </w:rPr>
        <w:t xml:space="preserve">za odběr zboží </w:t>
      </w:r>
    </w:p>
    <w:p>
      <w:pPr>
        <w:pStyle w:val="Normal"/>
        <w:spacing w:lineRule="auto" w:line="259" w:before="0" w:after="0"/>
        <w:ind w:left="1220" w:hanging="0"/>
        <w:jc w:val="center"/>
        <w:rPr>
          <w:sz w:val="18"/>
        </w:rPr>
      </w:pPr>
      <w:r>
        <w:rPr>
          <w:sz w:val="18"/>
        </w:rPr>
        <w:t xml:space="preserve">(KS i mimo KS) </w:t>
      </w:r>
    </w:p>
    <w:p>
      <w:pPr>
        <w:pStyle w:val="Normal"/>
        <w:spacing w:lineRule="auto" w:line="259" w:before="0" w:after="160"/>
        <w:ind w:left="0" w:hanging="0"/>
        <w:jc w:val="left"/>
        <w:rPr>
          <w:sz w:val="18"/>
        </w:rPr>
      </w:pPr>
      <w:r>
        <w:rPr>
          <w:sz w:val="18"/>
        </w:rPr>
      </w:r>
      <w:r>
        <w:br w:type="page"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>
      <w:pPr>
        <w:pStyle w:val="Nadpis2"/>
        <w:rPr/>
      </w:pPr>
      <w:r>
        <w:rPr/>
        <w:t xml:space="preserve">Tento dodatek č. 1 k dohodě o podmínkách poskytnutí odměny za odběr zboží </w:t>
      </w:r>
      <w:r>
        <w:rPr>
          <w:b w:val="false"/>
        </w:rPr>
        <w:t>(„</w:t>
      </w:r>
      <w:r>
        <w:rPr/>
        <w:t>Dodatek</w:t>
      </w:r>
      <w:r>
        <w:rPr>
          <w:b w:val="false"/>
        </w:rPr>
        <w:t>”)</w:t>
      </w:r>
      <w:r>
        <w:rPr/>
        <w:t xml:space="preserve"> uzavírají </w:t>
      </w:r>
    </w:p>
    <w:p>
      <w:pPr>
        <w:pStyle w:val="Normal"/>
        <w:spacing w:lineRule="auto" w:line="261" w:before="0" w:after="3"/>
        <w:ind w:left="110" w:hanging="10"/>
        <w:jc w:val="left"/>
        <w:rPr/>
      </w:pPr>
      <w:r>
        <w:rPr>
          <w:b/>
        </w:rPr>
        <w:t>níže uvedeného dne, měsíce a roku, tito účastníci:</w:t>
      </w:r>
      <w:r>
        <w:rPr/>
        <w:t xml:space="preserve"> </w:t>
      </w:r>
    </w:p>
    <w:p>
      <w:pPr>
        <w:pStyle w:val="Normal"/>
        <w:spacing w:lineRule="auto" w:line="259" w:before="0" w:after="126"/>
        <w:ind w:left="0" w:hanging="0"/>
        <w:jc w:val="left"/>
        <w:rPr/>
      </w:pPr>
      <w:r>
        <w:rPr>
          <w:b/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66" w:before="0" w:after="0"/>
        <w:ind w:left="85" w:right="4657" w:hanging="10"/>
        <w:jc w:val="left"/>
        <w:rPr/>
      </w:pPr>
      <w:r>
        <w:rPr>
          <w:b/>
        </w:rPr>
        <w:t xml:space="preserve">Olympus Czech Group, s.r.o., člen koncernu </w:t>
      </w:r>
      <w:r>
        <w:rPr/>
        <w:t xml:space="preserve">se sídlem Praha - Praha 6, Evropská 176, PSČ 16041 IČO: 270 68 641 </w:t>
      </w:r>
    </w:p>
    <w:p>
      <w:pPr>
        <w:pStyle w:val="Normal"/>
        <w:ind w:left="85" w:hanging="10"/>
        <w:rPr/>
      </w:pPr>
      <w:r>
        <w:rPr/>
        <w:t xml:space="preserve">DIČ: CZ27068641  </w:t>
      </w:r>
    </w:p>
    <w:p>
      <w:pPr>
        <w:pStyle w:val="Normal"/>
        <w:ind w:left="0" w:right="2842" w:firstLine="90"/>
        <w:rPr/>
      </w:pPr>
      <w:r>
        <w:rPr/>
        <w:t xml:space="preserve">zapsaná v obchodním rejstříku Městského soudu v Praze, sp. zn. C 93921 zastoupená Radkem Šubotníkem a Davidem Horákem, prokuristy  </w:t>
      </w:r>
      <w:r>
        <w:rPr>
          <w:sz w:val="19"/>
        </w:rPr>
        <w:t xml:space="preserve"> </w:t>
      </w:r>
      <w:r>
        <w:rPr/>
        <w:t>(dále jen „</w:t>
      </w:r>
      <w:r>
        <w:rPr>
          <w:b/>
        </w:rPr>
        <w:t>Prodávající</w:t>
      </w:r>
      <w:r>
        <w:rPr/>
        <w:t xml:space="preserve">“)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232"/>
        <w:ind w:left="85" w:hanging="10"/>
        <w:rPr/>
      </w:pPr>
      <w:r>
        <w:rPr/>
        <w:t xml:space="preserve">a </w:t>
      </w:r>
    </w:p>
    <w:p>
      <w:pPr>
        <w:pStyle w:val="Normal"/>
        <w:ind w:left="85" w:right="3844" w:hanging="10"/>
        <w:rPr/>
      </w:pPr>
      <w:r>
        <w:rPr>
          <w:b/>
        </w:rPr>
        <w:t xml:space="preserve">Nemocnice ve Frýdku-Místku, příspěvková organizace </w:t>
      </w:r>
      <w:r>
        <w:rPr/>
        <w:t xml:space="preserve">se sídlem El. Krásnohorské 321, Frýdek, 738 01 Frýdek-Místek </w:t>
      </w:r>
    </w:p>
    <w:p>
      <w:pPr>
        <w:pStyle w:val="Normal"/>
        <w:ind w:left="85" w:right="7526" w:hanging="10"/>
        <w:rPr/>
      </w:pPr>
      <w:r>
        <w:rPr/>
        <w:t xml:space="preserve">IČO: 005 34 188 DIČ: CZ00534188  </w:t>
      </w:r>
    </w:p>
    <w:p>
      <w:pPr>
        <w:pStyle w:val="Normal"/>
        <w:spacing w:before="0" w:after="32"/>
        <w:ind w:left="85" w:right="1826" w:hanging="10"/>
        <w:rPr/>
      </w:pPr>
      <w:r>
        <w:rPr/>
        <w:t xml:space="preserve">zapsaná v obchodním rejstříku Krajského soudu v Ostravě, sp. zn. Pr 938 zastoupená Ing. Tomášem Stejskalem, MBA, LL.M., ředitelem  </w:t>
      </w:r>
    </w:p>
    <w:p>
      <w:pPr>
        <w:pStyle w:val="Normal"/>
        <w:ind w:left="10" w:hanging="10"/>
        <w:rPr/>
      </w:pPr>
      <w:r>
        <w:rPr/>
        <w:t xml:space="preserve"> </w:t>
      </w:r>
      <w:r>
        <w:rPr/>
        <w:t>(dále jen „</w:t>
      </w:r>
      <w:r>
        <w:rPr>
          <w:b/>
        </w:rPr>
        <w:t>Kupující</w:t>
      </w:r>
      <w:r>
        <w:rPr/>
        <w:t>“ a společně s Prodávajícím dále jen „</w:t>
      </w:r>
      <w:r>
        <w:rPr>
          <w:b/>
        </w:rPr>
        <w:t>Účastníci dohody</w:t>
      </w:r>
      <w:r>
        <w:rPr/>
        <w:t xml:space="preserve">“) </w:t>
      </w:r>
    </w:p>
    <w:p>
      <w:pPr>
        <w:pStyle w:val="Normal"/>
        <w:spacing w:lineRule="auto" w:line="280" w:before="0" w:after="0"/>
        <w:ind w:left="0" w:right="9433" w:hanging="0"/>
        <w:jc w:val="left"/>
        <w:rPr/>
      </w:pPr>
      <w:r>
        <w:rPr>
          <w:sz w:val="19"/>
        </w:rPr>
        <w:t xml:space="preserve"> </w:t>
      </w:r>
      <w:r>
        <w:rPr/>
        <w:t xml:space="preserve"> </w:t>
      </w:r>
      <w:r>
        <w:rPr>
          <w:sz w:val="18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4"/>
        <w:ind w:left="0" w:hanging="0"/>
        <w:jc w:val="left"/>
        <w:rPr/>
      </w:pPr>
      <w:r>
        <w:rPr>
          <w:sz w:val="18"/>
        </w:rPr>
        <w:t xml:space="preserve"> </w:t>
      </w:r>
      <w:r>
        <w:rPr/>
        <w:t xml:space="preserve"> </w:t>
      </w:r>
    </w:p>
    <w:p>
      <w:pPr>
        <w:pStyle w:val="Nadpis2"/>
        <w:tabs>
          <w:tab w:val="clear" w:pos="708"/>
          <w:tab w:val="center" w:pos="3641" w:leader="none"/>
          <w:tab w:val="center" w:pos="5361" w:leader="none"/>
        </w:tabs>
        <w:ind w:left="-15" w:hanging="0"/>
        <w:rPr/>
      </w:pPr>
      <w:r>
        <w:rPr>
          <w:rFonts w:eastAsia="Calibri" w:cs="Calibri" w:ascii="Calibri" w:hAnsi="Calibri"/>
          <w:b w:val="false"/>
          <w:sz w:val="22"/>
        </w:rPr>
        <w:t xml:space="preserve"> </w:t>
      </w:r>
      <w:r>
        <w:rPr>
          <w:rFonts w:eastAsia="Calibri" w:cs="Calibri" w:ascii="Calibri" w:hAnsi="Calibri"/>
          <w:b w:val="false"/>
          <w:sz w:val="22"/>
        </w:rPr>
        <w:tab/>
      </w:r>
      <w:r>
        <w:rPr/>
        <w:t xml:space="preserve">I.  </w:t>
        <w:tab/>
        <w:t xml:space="preserve">ÚVODNÍ USTANOVENÍ  </w:t>
      </w:r>
    </w:p>
    <w:p>
      <w:pPr>
        <w:pStyle w:val="Normal"/>
        <w:spacing w:lineRule="auto" w:line="259" w:before="0" w:after="42"/>
        <w:ind w:left="0" w:hanging="0"/>
        <w:jc w:val="left"/>
        <w:rPr/>
      </w:pPr>
      <w:r>
        <w:rPr>
          <w:b/>
          <w:sz w:val="19"/>
        </w:rPr>
        <w:t xml:space="preserve"> </w:t>
      </w:r>
      <w:r>
        <w:rPr/>
        <w:t xml:space="preserve"> </w:t>
      </w:r>
    </w:p>
    <w:p>
      <w:pPr>
        <w:pStyle w:val="Normal"/>
        <w:spacing w:before="0" w:after="113"/>
        <w:ind w:left="645" w:hanging="570"/>
        <w:rPr/>
      </w:pPr>
      <w:r>
        <w:rPr>
          <w:b/>
        </w:rPr>
        <w:t xml:space="preserve">1.1  </w:t>
      </w:r>
      <w:r>
        <w:rPr/>
        <w:t>Účastníci dohody uzavřeli dne 3. ledna 2024 dohodu o podmínkách poskytnutí odměny za odběr zboží (dále jen „</w:t>
      </w:r>
      <w:r>
        <w:rPr>
          <w:b/>
        </w:rPr>
        <w:t>Dohoda</w:t>
      </w:r>
      <w:r>
        <w:rPr/>
        <w:t xml:space="preserve">“), jejímž předmětem je stanovení výše, způsobu výpočtu a podmínek pro vznik nároku Kupujícího na poskytnutí finančního bonusu, jak je tento pojem definován v Dohodě, od Prodávajícího. </w:t>
      </w:r>
    </w:p>
    <w:p>
      <w:pPr>
        <w:pStyle w:val="Normal"/>
        <w:spacing w:before="0" w:after="102"/>
        <w:ind w:left="645" w:hanging="570"/>
        <w:rPr/>
      </w:pPr>
      <w:r>
        <w:rPr>
          <w:b/>
        </w:rPr>
        <w:t xml:space="preserve">1.2  </w:t>
      </w:r>
      <w:r>
        <w:rPr/>
        <w:t xml:space="preserve">Účastníci dohody mají nyní zájem upravit svá vzájemná práva a povinnosti ve vztahu k odběru zboží, které ve stávajícím znění Dohody není zahrnuto. </w:t>
      </w:r>
    </w:p>
    <w:p>
      <w:pPr>
        <w:pStyle w:val="Normal"/>
        <w:spacing w:lineRule="auto" w:line="259" w:before="0" w:after="131"/>
        <w:ind w:left="90" w:hanging="0"/>
        <w:jc w:val="left"/>
        <w:rPr/>
      </w:pPr>
      <w:r>
        <w:rPr/>
        <w:t xml:space="preserve"> </w:t>
      </w:r>
    </w:p>
    <w:p>
      <w:pPr>
        <w:pStyle w:val="Nadpis2"/>
        <w:tabs>
          <w:tab w:val="clear" w:pos="708"/>
          <w:tab w:val="center" w:pos="3791" w:leader="none"/>
          <w:tab w:val="center" w:pos="5382" w:leader="none"/>
        </w:tabs>
        <w:ind w:left="-15" w:hanging="0"/>
        <w:rPr/>
      </w:pPr>
      <w:r>
        <w:rPr>
          <w:rFonts w:eastAsia="Calibri" w:cs="Calibri" w:ascii="Calibri" w:hAnsi="Calibri"/>
          <w:b w:val="false"/>
          <w:sz w:val="22"/>
        </w:rPr>
        <w:t xml:space="preserve"> </w:t>
      </w:r>
      <w:r>
        <w:rPr>
          <w:rFonts w:eastAsia="Calibri" w:cs="Calibri" w:ascii="Calibri" w:hAnsi="Calibri"/>
          <w:b w:val="false"/>
          <w:sz w:val="22"/>
        </w:rPr>
        <w:tab/>
      </w:r>
      <w:r>
        <w:rPr/>
        <w:t xml:space="preserve">II.  </w:t>
        <w:tab/>
        <w:t xml:space="preserve">PŘEDMĚT DODATKU  </w:t>
      </w:r>
    </w:p>
    <w:p>
      <w:pPr>
        <w:pStyle w:val="Normal"/>
        <w:spacing w:lineRule="auto" w:line="259" w:before="0" w:after="27"/>
        <w:ind w:left="0" w:hanging="0"/>
        <w:jc w:val="left"/>
        <w:rPr/>
      </w:pP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spacing w:before="0" w:after="130"/>
        <w:ind w:left="645" w:hanging="570"/>
        <w:rPr/>
      </w:pPr>
      <w:r>
        <w:rPr>
          <w:b/>
        </w:rPr>
        <w:t xml:space="preserve">2.1  </w:t>
      </w:r>
      <w:r>
        <w:rPr/>
        <w:t>Účastníci dohody tímto dodatkem č. 1 k Dohodě (dále jen „</w:t>
      </w:r>
      <w:r>
        <w:rPr>
          <w:b/>
        </w:rPr>
        <w:t>Dodatek</w:t>
      </w:r>
      <w:r>
        <w:rPr/>
        <w:t xml:space="preserve">“) mění Dohodu tak, že příloha č. 2 Dohody (Specifikace zboží prodávaného mimo konsignační sklad) se ruší v plném rozsahu a nahrazuje se přílohou č. 1 tohoto Dodatku, která tvoří jeho nedílnou součást. </w:t>
      </w:r>
    </w:p>
    <w:p>
      <w:pPr>
        <w:pStyle w:val="Normal"/>
        <w:tabs>
          <w:tab w:val="clear" w:pos="708"/>
          <w:tab w:val="center" w:pos="3951" w:leader="none"/>
        </w:tabs>
        <w:spacing w:before="0" w:after="108"/>
        <w:ind w:left="0" w:hanging="0"/>
        <w:jc w:val="left"/>
        <w:rPr/>
      </w:pPr>
      <w:r>
        <w:rPr>
          <w:b/>
        </w:rPr>
        <w:t xml:space="preserve">2.2 </w:t>
        <w:tab/>
      </w:r>
      <w:r>
        <w:rPr/>
        <w:t xml:space="preserve">Všechna ostatní ustanovení Dohody zůstávají tímto Dodatkem nedotčena. </w:t>
      </w:r>
    </w:p>
    <w:p>
      <w:pPr>
        <w:pStyle w:val="Normal"/>
        <w:spacing w:lineRule="auto" w:line="259" w:before="0" w:after="112"/>
        <w:ind w:left="9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44"/>
        <w:ind w:left="90" w:hanging="0"/>
        <w:jc w:val="left"/>
        <w:rPr/>
      </w:pPr>
      <w:r>
        <w:rPr>
          <w:b/>
        </w:rPr>
        <w:t xml:space="preserve"> </w:t>
      </w:r>
    </w:p>
    <w:p>
      <w:pPr>
        <w:pStyle w:val="Nadpis2"/>
        <w:spacing w:before="0" w:after="141"/>
        <w:ind w:left="2907" w:right="2657" w:firstLine="633"/>
        <w:jc w:val="center"/>
        <w:rPr/>
      </w:pPr>
      <w:r>
        <w:rPr/>
        <w:t>III. ZÁVĚREČNÁ USTANOVENÍ</w:t>
      </w:r>
    </w:p>
    <w:p>
      <w:pPr>
        <w:pStyle w:val="Normal"/>
        <w:spacing w:before="0" w:after="132"/>
        <w:ind w:left="645" w:hanging="570"/>
        <w:rPr/>
      </w:pPr>
      <w:r>
        <w:rPr>
          <w:b/>
        </w:rPr>
        <w:t xml:space="preserve">3.1  </w:t>
      </w:r>
      <w:r>
        <w:rPr/>
        <w:t xml:space="preserve">Tento Dodatek byl sepsán v elektronické podobě a nabývá platnosti a účinnosti dnem podpisu posledním Účastníkem dohody. </w:t>
      </w:r>
    </w:p>
    <w:p>
      <w:pPr>
        <w:pStyle w:val="Normal"/>
        <w:ind w:left="645" w:hanging="570"/>
        <w:rPr/>
      </w:pPr>
      <w:r>
        <w:rPr>
          <w:b/>
        </w:rPr>
        <w:t xml:space="preserve">2.3  </w:t>
      </w:r>
      <w:r>
        <w:rPr/>
        <w:t xml:space="preserve">Účastníci dohody prohlašují, že si Dodatek řádně přečetli, s celým jeho obsahem souhlasí a na důkaz toho, že se jedná o projev jejich svobodné a vážné vůle, který není činěn v tísni ani za nápadně nevýhodných podmínek, připojují své podpisy.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4"/>
        <w:ind w:left="0" w:hanging="0"/>
        <w:jc w:val="center"/>
        <w:rPr/>
      </w:pPr>
      <w:r>
        <w:rPr>
          <w:i/>
        </w:rPr>
        <w:t xml:space="preserve">– </w:t>
      </w:r>
      <w:r>
        <w:rPr>
          <w:i/>
        </w:rPr>
        <w:t>PODPISOVÁ STRANA NÁSLEDUJE –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8"/>
        </w:rPr>
        <w:t xml:space="preserve"> </w:t>
      </w:r>
      <w:r>
        <w:rPr/>
        <w:t xml:space="preserve"> </w:t>
      </w:r>
    </w:p>
    <w:tbl>
      <w:tblPr>
        <w:tblStyle w:val="TableGrid"/>
        <w:tblW w:w="9194" w:type="dxa"/>
        <w:jc w:val="left"/>
        <w:tblInd w:w="0" w:type="dxa"/>
        <w:tblLayout w:type="fixed"/>
        <w:tblCellMar>
          <w:top w:w="0" w:type="dxa"/>
          <w:left w:w="0" w:type="dxa"/>
          <w:bottom w:w="17" w:type="dxa"/>
          <w:right w:w="0" w:type="dxa"/>
        </w:tblCellMar>
        <w:tblLook w:firstRow="1" w:noVBand="1" w:lastRow="0" w:firstColumn="1" w:lastColumn="0" w:noHBand="0" w:val="04a0"/>
      </w:tblPr>
      <w:tblGrid>
        <w:gridCol w:w="4274"/>
        <w:gridCol w:w="760"/>
        <w:gridCol w:w="4160"/>
      </w:tblGrid>
      <w:tr>
        <w:trPr>
          <w:trHeight w:val="2228" w:hRule="atLeast"/>
        </w:trPr>
        <w:tc>
          <w:tcPr>
            <w:tcW w:w="4274" w:type="dxa"/>
            <w:tcBorders/>
          </w:tcPr>
          <w:p>
            <w:pPr>
              <w:pStyle w:val="Normal"/>
              <w:widowControl/>
              <w:spacing w:lineRule="auto" w:line="259" w:before="0" w:after="162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b/>
                <w:kern w:val="2"/>
                <w:szCs w:val="22"/>
                <w:lang w:val="cs-CZ" w:eastAsia="cs-CZ" w:bidi="ar-SA"/>
              </w:rPr>
              <w:t xml:space="preserve">Za Prodávajícího  </w:t>
            </w:r>
          </w:p>
          <w:p>
            <w:pPr>
              <w:pStyle w:val="Normal"/>
              <w:widowControl/>
              <w:spacing w:lineRule="auto" w:line="259" w:before="0" w:after="247"/>
              <w:ind w:left="28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Cs w:val="22"/>
                <w:lang w:val="cs-CZ" w:eastAsia="cs-CZ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59" w:before="0" w:after="131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 w:val="11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 w:val="17"/>
                <w:szCs w:val="22"/>
                <w:vertAlign w:val="subscript"/>
                <w:lang w:val="cs-CZ" w:eastAsia="cs-CZ" w:bidi="ar-SA"/>
              </w:rPr>
              <w:t xml:space="preserve"> </w:t>
            </w:r>
            <w:r>
              <w:rPr>
                <w:kern w:val="2"/>
                <w:sz w:val="17"/>
                <w:szCs w:val="22"/>
                <w:vertAlign w:val="subscript"/>
                <w:lang w:val="cs-CZ" w:eastAsia="cs-CZ" w:bidi="ar-SA"/>
              </w:rPr>
              <w:tab/>
            </w:r>
            <w:r>
              <w:rPr>
                <w:kern w:val="2"/>
                <w:szCs w:val="22"/>
                <w:lang w:val="cs-CZ" w:eastAsia="cs-CZ" w:bidi="ar-SA"/>
              </w:rPr>
              <w:t xml:space="preserve">  </w:t>
              <w:tab/>
            </w:r>
            <w:r>
              <w:rPr>
                <w:kern w:val="2"/>
                <w:sz w:val="11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45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 w:val="11"/>
                <w:szCs w:val="22"/>
                <w:lang w:val="cs-CZ" w:eastAsia="cs-CZ" w:bidi="ar-SA"/>
              </w:rPr>
              <w:t xml:space="preserve">     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39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 w:val="11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4198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 w:val="7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Trebuchet MS" w:cs="Trebuchet MS" w:ascii="Trebuchet MS" w:hAnsi="Trebuchet MS"/>
                <w:kern w:val="2"/>
                <w:sz w:val="6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Cs w:val="22"/>
                <w:lang w:val="cs-CZ" w:eastAsia="cs-CZ" w:bidi="ar-SA"/>
              </w:rPr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28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b/>
                <w:kern w:val="2"/>
                <w:szCs w:val="22"/>
                <w:lang w:val="cs-CZ" w:eastAsia="cs-CZ" w:bidi="ar-SA"/>
              </w:rPr>
              <w:t xml:space="preserve">Za Kupujícího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</w:tc>
      </w:tr>
      <w:tr>
        <w:trPr>
          <w:trHeight w:val="386" w:hRule="atLeast"/>
        </w:trPr>
        <w:tc>
          <w:tcPr>
            <w:tcW w:w="427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2"/>
                <w:szCs w:val="22"/>
                <w:lang w:val="cs-CZ" w:eastAsia="cs-CZ" w:bidi="ar-SA"/>
              </w:rPr>
            </w:pPr>
            <w:r>
              <w:rPr>
                <w:i/>
                <w:kern w:val="2"/>
                <w:szCs w:val="22"/>
                <w:lang w:val="cs-CZ" w:eastAsia="cs-CZ" w:bidi="ar-SA"/>
              </w:rPr>
              <w:t xml:space="preserve">     </w:t>
            </w:r>
            <w:r>
              <w:rPr>
                <w:i/>
                <w:kern w:val="2"/>
                <w:szCs w:val="22"/>
                <w:lang w:val="cs-CZ" w:eastAsia="cs-CZ" w:bidi="ar-SA"/>
              </w:rPr>
              <w:t xml:space="preserve">__________________________________  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5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i/>
                <w:kern w:val="2"/>
                <w:szCs w:val="22"/>
                <w:lang w:val="cs-CZ" w:eastAsia="cs-CZ" w:bidi="ar-SA"/>
              </w:rPr>
              <w:t xml:space="preserve">  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20" w:hanging="0"/>
              <w:rPr>
                <w:kern w:val="2"/>
                <w:szCs w:val="22"/>
                <w:lang w:val="cs-CZ" w:eastAsia="cs-CZ" w:bidi="ar-SA"/>
              </w:rPr>
            </w:pPr>
            <w:r>
              <w:rPr>
                <w:i/>
                <w:kern w:val="2"/>
                <w:szCs w:val="22"/>
                <w:lang w:val="cs-CZ" w:eastAsia="cs-CZ" w:bidi="ar-SA"/>
              </w:rPr>
              <w:t xml:space="preserve">     </w:t>
            </w:r>
            <w:r>
              <w:rPr>
                <w:i/>
                <w:kern w:val="2"/>
                <w:szCs w:val="22"/>
                <w:lang w:val="cs-CZ" w:eastAsia="cs-CZ" w:bidi="ar-SA"/>
              </w:rPr>
              <w:t>__________________________________</w:t>
            </w:r>
            <w:r>
              <w:rPr>
                <w:rFonts w:eastAsia="Trebuchet MS" w:cs="Trebuchet MS" w:ascii="Trebuchet MS" w:hAnsi="Trebuchet MS"/>
                <w:kern w:val="2"/>
                <w:sz w:val="6"/>
                <w:szCs w:val="22"/>
                <w:lang w:val="cs-CZ" w:eastAsia="cs-CZ" w:bidi="ar-SA"/>
              </w:rPr>
              <w:t xml:space="preserve">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4274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center" w:pos="1480" w:leader="none"/>
              </w:tabs>
              <w:spacing w:lineRule="auto" w:line="259" w:before="0" w:after="0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rFonts w:eastAsia="Calibri" w:cs="Calibri" w:ascii="Calibri" w:hAnsi="Calibri"/>
                <w:kern w:val="2"/>
                <w:sz w:val="2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2"/>
                <w:sz w:val="22"/>
                <w:szCs w:val="22"/>
                <w:lang w:val="cs-CZ" w:eastAsia="cs-CZ" w:bidi="ar-SA"/>
              </w:rPr>
              <w:tab/>
            </w:r>
            <w:r>
              <w:rPr>
                <w:i/>
                <w:kern w:val="2"/>
                <w:szCs w:val="22"/>
                <w:lang w:val="cs-CZ" w:eastAsia="cs-CZ" w:bidi="ar-SA"/>
              </w:rPr>
              <w:t xml:space="preserve">Radek Šubotník, prokurista  </w:t>
            </w:r>
          </w:p>
        </w:tc>
        <w:tc>
          <w:tcPr>
            <w:tcW w:w="760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kern w:val="2"/>
                <w:szCs w:val="22"/>
                <w:lang w:val="cs-CZ" w:eastAsia="cs-CZ" w:bidi="ar-SA"/>
              </w:rPr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right="183" w:hanging="0"/>
              <w:jc w:val="right"/>
              <w:rPr>
                <w:kern w:val="2"/>
                <w:szCs w:val="22"/>
                <w:lang w:val="cs-CZ" w:eastAsia="cs-CZ" w:bidi="ar-SA"/>
              </w:rPr>
            </w:pPr>
            <w:r>
              <w:rPr>
                <w:i/>
                <w:kern w:val="2"/>
                <w:szCs w:val="22"/>
                <w:lang w:val="cs-CZ" w:eastAsia="cs-CZ" w:bidi="ar-SA"/>
              </w:rPr>
              <w:t>Ing. Tomáš Stejskal</w:t>
            </w:r>
            <w:r>
              <w:rPr>
                <w:i/>
                <w:kern w:val="2"/>
                <w:sz w:val="22"/>
                <w:szCs w:val="22"/>
                <w:lang w:val="cs-CZ" w:eastAsia="cs-CZ" w:bidi="ar-SA"/>
              </w:rPr>
              <w:t>, MBA, LL.M.</w:t>
            </w:r>
            <w:r>
              <w:rPr>
                <w:i/>
                <w:kern w:val="2"/>
                <w:szCs w:val="22"/>
                <w:lang w:val="cs-CZ" w:eastAsia="cs-CZ" w:bidi="ar-SA"/>
              </w:rPr>
              <w:t xml:space="preserve">, ředitel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5034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220" w:leader="none"/>
              </w:tabs>
              <w:spacing w:lineRule="auto" w:line="259" w:before="0" w:after="0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rFonts w:eastAsia="Calibri" w:cs="Calibri" w:ascii="Calibri" w:hAnsi="Calibri"/>
                <w:kern w:val="2"/>
                <w:sz w:val="2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2"/>
                <w:sz w:val="22"/>
                <w:szCs w:val="22"/>
                <w:lang w:val="cs-CZ" w:eastAsia="cs-CZ" w:bidi="ar-SA"/>
              </w:rPr>
              <w:tab/>
            </w:r>
            <w:r>
              <w:rPr>
                <w:i/>
                <w:kern w:val="2"/>
                <w:szCs w:val="22"/>
                <w:lang w:val="cs-CZ" w:eastAsia="cs-CZ" w:bidi="ar-SA"/>
              </w:rPr>
              <w:t xml:space="preserve">Olympus Czech Group s.r.o., člen koncernu   </w:t>
            </w:r>
          </w:p>
        </w:tc>
        <w:tc>
          <w:tcPr>
            <w:tcW w:w="416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2"/>
                <w:szCs w:val="22"/>
                <w:lang w:val="cs-CZ" w:eastAsia="cs-CZ" w:bidi="ar-SA"/>
              </w:rPr>
            </w:pPr>
            <w:r>
              <w:rPr>
                <w:i/>
                <w:kern w:val="2"/>
                <w:szCs w:val="22"/>
                <w:lang w:val="cs-CZ" w:eastAsia="cs-CZ" w:bidi="ar-SA"/>
              </w:rPr>
              <w:t xml:space="preserve">     </w:t>
            </w:r>
            <w:r>
              <w:rPr>
                <w:i/>
                <w:kern w:val="2"/>
                <w:szCs w:val="22"/>
                <w:lang w:val="cs-CZ" w:eastAsia="cs-CZ" w:bidi="ar-SA"/>
              </w:rPr>
              <w:t xml:space="preserve">Nemocnice ve Frýdku-Místku,p.o. </w:t>
            </w:r>
            <w:r>
              <w:rPr>
                <w:kern w:val="2"/>
                <w:szCs w:val="22"/>
                <w:lang w:val="cs-CZ" w:eastAsia="cs-CZ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2"/>
        <w:ind w:left="280" w:hanging="0"/>
        <w:jc w:val="left"/>
        <w:rPr/>
      </w:pPr>
      <w:r>
        <w:rPr>
          <w:i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1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92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102"/>
        <w:ind w:left="255" w:hanging="10"/>
        <w:jc w:val="left"/>
        <w:rPr/>
      </w:pPr>
      <w:r>
        <w:rPr>
          <w:i/>
        </w:rPr>
        <w:t xml:space="preserve">__________________________________ </w:t>
      </w:r>
      <w:r>
        <w:rPr/>
        <w:t xml:space="preserve"> </w:t>
      </w:r>
    </w:p>
    <w:p>
      <w:pPr>
        <w:pStyle w:val="Normal"/>
        <w:spacing w:lineRule="auto" w:line="259" w:before="0" w:after="38"/>
        <w:ind w:left="255" w:hanging="10"/>
        <w:jc w:val="left"/>
        <w:rPr/>
      </w:pPr>
      <w:r>
        <w:rPr>
          <w:i/>
        </w:rPr>
        <w:t xml:space="preserve">David Horák, prokurista </w:t>
      </w:r>
      <w:r>
        <w:rPr/>
        <w:t xml:space="preserve"> </w:t>
      </w:r>
    </w:p>
    <w:p>
      <w:pPr>
        <w:sectPr>
          <w:type w:val="nextPage"/>
          <w:pgSz w:w="11906" w:h="16838"/>
          <w:pgMar w:left="1141" w:right="1221" w:header="0" w:top="1408" w:footer="0" w:bottom="1659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38"/>
        <w:ind w:left="255" w:hanging="10"/>
        <w:jc w:val="left"/>
        <w:rPr/>
      </w:pPr>
      <w:r>
        <w:rPr>
          <w:i/>
        </w:rPr>
        <w:t>Olympus Czech Group s.r.o., člen koncernu</w:t>
      </w:r>
      <w:r>
        <w:rPr/>
        <w:t xml:space="preserve"> </w:t>
      </w:r>
    </w:p>
    <w:p>
      <w:pPr>
        <w:pStyle w:val="Normal"/>
        <w:spacing w:lineRule="auto" w:line="259" w:before="0" w:after="60"/>
        <w:ind w:left="0" w:right="459" w:hanging="0"/>
        <w:jc w:val="center"/>
        <w:rPr/>
      </w:pPr>
      <w:r>
        <w:rPr>
          <w:b/>
          <w:sz w:val="40"/>
        </w:rPr>
        <w:t xml:space="preserve">PŘÍLOHA Č. 1 </w:t>
      </w:r>
    </w:p>
    <w:p>
      <w:pPr>
        <w:pStyle w:val="Normal"/>
        <w:spacing w:lineRule="auto" w:line="302" w:before="0" w:after="0"/>
        <w:ind w:left="410" w:hanging="220"/>
        <w:jc w:val="left"/>
        <w:rPr/>
      </w:pPr>
      <w:r>
        <w:rPr>
          <w:b/>
          <w:sz w:val="40"/>
        </w:rPr>
        <w:t xml:space="preserve">DODATKU Č. 1 K DOHODĚ O PODMÍNKÁCH POSKYTNUTÍ ODMĚNY ZA ODBĚR ZBOŽÍ </w:t>
      </w:r>
    </w:p>
    <w:p>
      <w:pPr>
        <w:pStyle w:val="Normal"/>
        <w:spacing w:lineRule="auto" w:line="259" w:before="0" w:after="112"/>
        <w:ind w:left="1251" w:hanging="0"/>
        <w:jc w:val="left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spacing w:lineRule="auto" w:line="259" w:before="0" w:after="112"/>
        <w:ind w:left="1251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auto" w:line="259" w:before="0" w:after="44"/>
        <w:ind w:left="100" w:hanging="0"/>
        <w:jc w:val="left"/>
        <w:rPr/>
      </w:pPr>
      <w:r>
        <w:rPr>
          <w:sz w:val="40"/>
        </w:rPr>
        <w:t xml:space="preserve">Příloha č. 2  </w:t>
      </w:r>
    </w:p>
    <w:p>
      <w:pPr>
        <w:pStyle w:val="Normal"/>
        <w:spacing w:lineRule="auto" w:line="259" w:before="0" w:after="4"/>
        <w:ind w:left="90" w:hanging="0"/>
        <w:jc w:val="left"/>
        <w:rPr/>
      </w:pPr>
      <w:r>
        <w:rPr>
          <w:b/>
          <w:sz w:val="28"/>
        </w:rPr>
        <w:t xml:space="preserve">Specifikace zboží prodávaného mimo konsignační sklad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71"/>
        <w:ind w:left="100" w:hanging="0"/>
        <w:jc w:val="left"/>
        <w:rPr/>
      </w:pPr>
      <w:r>
        <w:rPr>
          <w:b/>
          <w:color w:val="FFC000"/>
          <w:sz w:val="28"/>
        </w:rPr>
        <w:t>(obchodní tajemství)</w:t>
      </w:r>
      <w:r>
        <w:rPr>
          <w:b/>
          <w:sz w:val="28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  <w:sz w:val="39"/>
        </w:rPr>
        <w:t xml:space="preserve"> </w:t>
      </w:r>
      <w:r>
        <w:rPr/>
        <w:t xml:space="preserve"> </w:t>
      </w:r>
    </w:p>
    <w:p>
      <w:pPr>
        <w:pStyle w:val="Normal"/>
        <w:spacing w:lineRule="auto" w:line="249" w:before="0" w:after="0"/>
        <w:ind w:left="0" w:right="9101" w:hanging="0"/>
        <w:rPr>
          <w:sz w:val="18"/>
          <w:szCs w:val="20"/>
        </w:rPr>
      </w:pPr>
      <w:r>
        <w:rPr>
          <w:sz w:val="18"/>
          <w:szCs w:val="20"/>
        </w:rPr>
        <w:t xml:space="preserve">  </w:t>
      </w:r>
    </w:p>
    <w:sectPr>
      <w:type w:val="nextPage"/>
      <w:pgSz w:w="11906" w:h="16838"/>
      <w:pgMar w:left="1441" w:right="1222" w:header="0" w:top="1386" w:footer="0" w:bottom="16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1" w:before="0" w:after="5"/>
      <w:ind w:left="1421" w:hanging="10"/>
      <w:jc w:val="both"/>
    </w:pPr>
    <w:rPr>
      <w:rFonts w:ascii="Arial" w:hAnsi="Arial" w:eastAsia="Arial" w:cs="Arial"/>
      <w:color w:val="000000"/>
      <w:kern w:val="2"/>
      <w:sz w:val="20"/>
      <w:szCs w:val="22"/>
      <w:lang w:val="cs-CZ" w:eastAsia="cs-CZ" w:bidi="ar-SA"/>
    </w:rPr>
  </w:style>
  <w:style w:type="paragraph" w:styleId="Nadpis1">
    <w:name w:val="Heading 1"/>
    <w:next w:val="Normal"/>
    <w:link w:val="Nadpis1Char"/>
    <w:uiPriority w:val="9"/>
    <w:qFormat/>
    <w:pPr>
      <w:keepNext w:val="true"/>
      <w:keepLines/>
      <w:widowControl/>
      <w:bidi w:val="0"/>
      <w:spacing w:lineRule="auto" w:line="259" w:before="0" w:after="0"/>
      <w:ind w:left="1341" w:hanging="10"/>
      <w:jc w:val="left"/>
      <w:outlineLvl w:val="0"/>
    </w:pPr>
    <w:rPr>
      <w:rFonts w:ascii="Arial" w:hAnsi="Arial" w:eastAsia="Arial" w:cs="Arial"/>
      <w:b/>
      <w:color w:val="000000"/>
      <w:kern w:val="2"/>
      <w:sz w:val="22"/>
      <w:szCs w:val="22"/>
      <w:lang w:val="cs-CZ" w:eastAsia="cs-CZ" w:bidi="ar-SA"/>
    </w:rPr>
  </w:style>
  <w:style w:type="paragraph" w:styleId="Nadpis2">
    <w:name w:val="Heading 2"/>
    <w:next w:val="Normal"/>
    <w:link w:val="Nadpis2Char"/>
    <w:uiPriority w:val="9"/>
    <w:unhideWhenUsed/>
    <w:qFormat/>
    <w:pPr>
      <w:keepNext w:val="true"/>
      <w:keepLines/>
      <w:widowControl/>
      <w:bidi w:val="0"/>
      <w:spacing w:lineRule="auto" w:line="261" w:before="0" w:after="3"/>
      <w:ind w:left="100" w:hanging="10"/>
      <w:jc w:val="left"/>
      <w:outlineLvl w:val="1"/>
    </w:pPr>
    <w:rPr>
      <w:rFonts w:ascii="Arial" w:hAnsi="Arial" w:eastAsia="Arial" w:cs="Arial"/>
      <w:b/>
      <w:color w:val="000000"/>
      <w:kern w:val="2"/>
      <w:sz w:val="20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Pr>
      <w:rFonts w:ascii="Arial" w:hAnsi="Arial" w:eastAsia="Arial" w:cs="Arial"/>
      <w:b/>
      <w:color w:val="000000"/>
      <w:sz w:val="22"/>
    </w:rPr>
  </w:style>
  <w:style w:type="character" w:styleId="Nadpis2Char" w:customStyle="1">
    <w:name w:val="Nadpis 2 Char"/>
    <w:link w:val="Nadpis2"/>
    <w:qFormat/>
    <w:rPr>
      <w:rFonts w:ascii="Arial" w:hAnsi="Arial" w:eastAsia="Arial" w:cs="Arial"/>
      <w:b/>
      <w:color w:val="000000"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4</Pages>
  <Words>402</Words>
  <Characters>2362</Characters>
  <CharactersWithSpaces>2928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2024-03-13T10:36:00Z</dcterms:created>
  <dc:creator>Vojtekova Ingrid</dc:creator>
  <dc:description/>
  <dc:language>cs-CZ</dc:language>
  <cp:lastModifiedBy/>
  <dcterms:modified xsi:type="dcterms:W3CDTF">2024-03-13T13:05:57Z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