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D561" w14:textId="77777777" w:rsidR="00DE22BF" w:rsidRDefault="00000000">
      <w:pPr>
        <w:pStyle w:val="Heading110"/>
        <w:keepNext/>
        <w:keepLines/>
      </w:pPr>
      <w:bookmarkStart w:id="0" w:name="bookmark0"/>
      <w:r>
        <w:rPr>
          <w:rStyle w:val="Heading11"/>
          <w:b/>
          <w:bCs/>
        </w:rPr>
        <w:t>SMLOUVA O SPOLUPRÁCI</w:t>
      </w:r>
      <w:bookmarkEnd w:id="0"/>
    </w:p>
    <w:p w14:paraId="01DDD910" w14:textId="77777777" w:rsidR="00DE22BF" w:rsidRDefault="00000000">
      <w:pPr>
        <w:pStyle w:val="Bodytext10"/>
        <w:jc w:val="center"/>
        <w:rPr>
          <w:sz w:val="19"/>
          <w:szCs w:val="19"/>
        </w:rPr>
      </w:pPr>
      <w:r>
        <w:rPr>
          <w:rStyle w:val="Bodytext1"/>
        </w:rPr>
        <w:t>uzavřená podle § 1746 odst. 2 zákona č. 89/2012 Sb., občanský zákoník, ve znění pozdějších předpisů,</w:t>
      </w:r>
      <w:r>
        <w:rPr>
          <w:rStyle w:val="Bodytext1"/>
        </w:rPr>
        <w:br/>
        <w:t xml:space="preserve">(dále jen </w:t>
      </w:r>
      <w:r>
        <w:rPr>
          <w:rStyle w:val="Bodytext1"/>
          <w:b/>
          <w:bCs/>
          <w:sz w:val="19"/>
          <w:szCs w:val="19"/>
        </w:rPr>
        <w:t>„Občanský zákoník“)</w:t>
      </w:r>
    </w:p>
    <w:p w14:paraId="36DCE0BA" w14:textId="77777777" w:rsidR="00DE22BF" w:rsidRDefault="00000000">
      <w:pPr>
        <w:pStyle w:val="Bodytext10"/>
        <w:spacing w:after="260"/>
      </w:pPr>
      <w:r>
        <w:rPr>
          <w:rStyle w:val="Bodytext1"/>
        </w:rPr>
        <w:t>mezi:</w:t>
      </w:r>
    </w:p>
    <w:p w14:paraId="52A615F7" w14:textId="77777777" w:rsidR="00DE22BF" w:rsidRDefault="00000000">
      <w:pPr>
        <w:pStyle w:val="Bodytext10"/>
        <w:tabs>
          <w:tab w:val="left" w:pos="7056"/>
          <w:tab w:val="left" w:leader="dot" w:pos="8935"/>
          <w:tab w:val="left" w:leader="dot" w:pos="9389"/>
          <w:tab w:val="right" w:leader="dot" w:pos="9958"/>
          <w:tab w:val="left" w:leader="dot" w:pos="10303"/>
        </w:tabs>
        <w:spacing w:after="0" w:line="197" w:lineRule="auto"/>
      </w:pPr>
      <w:r>
        <w:rPr>
          <w:rStyle w:val="Bodytext1"/>
        </w:rPr>
        <w:t xml:space="preserve">Novo </w:t>
      </w:r>
      <w:proofErr w:type="spellStart"/>
      <w:r>
        <w:rPr>
          <w:rStyle w:val="Bodytext1"/>
        </w:rPr>
        <w:t>Nordisk</w:t>
      </w:r>
      <w:proofErr w:type="spellEnd"/>
      <w:r>
        <w:rPr>
          <w:rStyle w:val="Bodytext1"/>
        </w:rPr>
        <w:t xml:space="preserve"> A/S se sídlem Novo Alle 1, 2880 </w:t>
      </w:r>
      <w:proofErr w:type="spellStart"/>
      <w:r>
        <w:rPr>
          <w:rStyle w:val="Bodytext1"/>
        </w:rPr>
        <w:t>Bagsvsrd</w:t>
      </w:r>
      <w:proofErr w:type="spellEnd"/>
      <w:r>
        <w:rPr>
          <w:rStyle w:val="Bodytext1"/>
        </w:rPr>
        <w:t xml:space="preserve">, </w:t>
      </w:r>
      <w:proofErr w:type="spellStart"/>
      <w:r>
        <w:rPr>
          <w:rStyle w:val="Bodytext1"/>
        </w:rPr>
        <w:t>Denmark</w:t>
      </w:r>
      <w:proofErr w:type="spellEnd"/>
      <w:r>
        <w:rPr>
          <w:rStyle w:val="Bodytext1"/>
        </w:rPr>
        <w:tab/>
        <w:t xml:space="preserve">evidenční číslo NsP. </w:t>
      </w:r>
      <w:r>
        <w:rPr>
          <w:rStyle w:val="Bodytext1"/>
          <w:color w:val="672E3B"/>
        </w:rPr>
        <w:t>Z</w:t>
      </w:r>
      <w:r>
        <w:rPr>
          <w:rStyle w:val="Bodytext1"/>
        </w:rPr>
        <w:tab/>
        <w:t>/</w:t>
      </w:r>
      <w:r>
        <w:rPr>
          <w:rStyle w:val="Bodytext1"/>
        </w:rPr>
        <w:tab/>
        <w:t>/</w:t>
      </w:r>
      <w:r>
        <w:rPr>
          <w:rStyle w:val="Bodytext1"/>
        </w:rPr>
        <w:tab/>
        <w:t>/.</w:t>
      </w:r>
      <w:r>
        <w:rPr>
          <w:rStyle w:val="Bodytext1"/>
        </w:rPr>
        <w:tab/>
      </w:r>
    </w:p>
    <w:p w14:paraId="48A57FC5" w14:textId="77777777" w:rsidR="00DE22BF" w:rsidRDefault="00000000">
      <w:pPr>
        <w:pStyle w:val="Bodytext10"/>
        <w:tabs>
          <w:tab w:val="left" w:pos="7056"/>
          <w:tab w:val="right" w:leader="dot" w:pos="10271"/>
        </w:tabs>
        <w:spacing w:after="140"/>
      </w:pPr>
      <w:r>
        <w:rPr>
          <w:rStyle w:val="Bodytext1"/>
        </w:rPr>
        <w:t xml:space="preserve">CVR: 24256790 (dále jen </w:t>
      </w:r>
      <w:r>
        <w:rPr>
          <w:rStyle w:val="Bodytext1"/>
          <w:b/>
          <w:bCs/>
          <w:sz w:val="19"/>
          <w:szCs w:val="19"/>
        </w:rPr>
        <w:t xml:space="preserve">„Dodavatel“ </w:t>
      </w:r>
      <w:r>
        <w:rPr>
          <w:rStyle w:val="Bodytext1"/>
        </w:rPr>
        <w:t xml:space="preserve">nebo též </w:t>
      </w:r>
      <w:r>
        <w:rPr>
          <w:rStyle w:val="Bodytext1"/>
          <w:b/>
          <w:bCs/>
          <w:sz w:val="19"/>
          <w:szCs w:val="19"/>
        </w:rPr>
        <w:t xml:space="preserve">„Novo </w:t>
      </w:r>
      <w:proofErr w:type="spellStart"/>
      <w:r>
        <w:rPr>
          <w:rStyle w:val="Bodytext1"/>
          <w:b/>
          <w:bCs/>
          <w:sz w:val="19"/>
          <w:szCs w:val="19"/>
        </w:rPr>
        <w:t>Nordisk</w:t>
      </w:r>
      <w:proofErr w:type="spellEnd"/>
      <w:r>
        <w:rPr>
          <w:rStyle w:val="Bodytext1"/>
          <w:b/>
          <w:bCs/>
          <w:sz w:val="19"/>
          <w:szCs w:val="19"/>
        </w:rPr>
        <w:t>“)</w:t>
      </w:r>
      <w:r>
        <w:rPr>
          <w:rStyle w:val="Bodytext1"/>
          <w:b/>
          <w:bCs/>
          <w:sz w:val="19"/>
          <w:szCs w:val="19"/>
        </w:rPr>
        <w:tab/>
      </w:r>
      <w:r>
        <w:rPr>
          <w:rStyle w:val="Bodytext1"/>
        </w:rPr>
        <w:t>evidenční číslo MSK</w:t>
      </w:r>
      <w:r>
        <w:rPr>
          <w:rStyle w:val="Bodytext1"/>
        </w:rPr>
        <w:tab/>
        <w:t>—</w:t>
      </w:r>
    </w:p>
    <w:p w14:paraId="102376A5" w14:textId="77777777" w:rsidR="00DE22BF" w:rsidRDefault="00000000">
      <w:pPr>
        <w:pStyle w:val="Bodytext10"/>
        <w:tabs>
          <w:tab w:val="left" w:pos="7056"/>
          <w:tab w:val="left" w:leader="dot" w:pos="8597"/>
          <w:tab w:val="left" w:leader="dot" w:pos="8764"/>
          <w:tab w:val="right" w:leader="dot" w:pos="10271"/>
        </w:tabs>
        <w:spacing w:after="0"/>
      </w:pPr>
      <w:r>
        <w:rPr>
          <w:rStyle w:val="Bodytext1"/>
        </w:rPr>
        <w:t>„</w:t>
      </w:r>
      <w:r>
        <w:rPr>
          <w:rStyle w:val="Bodytext1"/>
        </w:rPr>
        <w:tab/>
        <w:t>ID dle RS MVČ&amp;</w:t>
      </w:r>
      <w:r>
        <w:rPr>
          <w:rStyle w:val="Bodytext1"/>
        </w:rPr>
        <w:tab/>
      </w:r>
      <w:r>
        <w:rPr>
          <w:rStyle w:val="Bodytext1"/>
        </w:rPr>
        <w:tab/>
      </w:r>
      <w:r>
        <w:rPr>
          <w:rStyle w:val="Bodytext1"/>
        </w:rPr>
        <w:tab/>
        <w:t xml:space="preserve"> ...... I</w:t>
      </w:r>
    </w:p>
    <w:p w14:paraId="3B8B55C2" w14:textId="77777777" w:rsidR="00DE22BF" w:rsidRDefault="00000000">
      <w:pPr>
        <w:pStyle w:val="Bodytext10"/>
        <w:tabs>
          <w:tab w:val="left" w:pos="1447"/>
        </w:tabs>
        <w:spacing w:after="0"/>
        <w:ind w:right="220"/>
        <w:jc w:val="right"/>
        <w:rPr>
          <w:sz w:val="19"/>
          <w:szCs w:val="19"/>
        </w:rPr>
      </w:pPr>
      <w:r>
        <w:rPr>
          <w:rStyle w:val="Bodytext1"/>
          <w:sz w:val="19"/>
          <w:szCs w:val="19"/>
        </w:rPr>
        <w:t>™</w:t>
      </w:r>
      <w:r>
        <w:rPr>
          <w:rStyle w:val="Bodytext1"/>
          <w:sz w:val="19"/>
          <w:szCs w:val="19"/>
        </w:rPr>
        <w:tab/>
        <w:t>14.03.® J</w:t>
      </w:r>
    </w:p>
    <w:p w14:paraId="6B65C7B2" w14:textId="77777777" w:rsidR="00DE22BF" w:rsidRDefault="00000000">
      <w:pPr>
        <w:pStyle w:val="Bodytext10"/>
        <w:tabs>
          <w:tab w:val="left" w:pos="2326"/>
          <w:tab w:val="left" w:leader="underscore" w:pos="2840"/>
          <w:tab w:val="left" w:leader="underscore" w:pos="3011"/>
        </w:tabs>
        <w:spacing w:after="0" w:line="180" w:lineRule="auto"/>
        <w:ind w:right="220"/>
        <w:jc w:val="right"/>
      </w:pPr>
      <w:r>
        <w:rPr>
          <w:rStyle w:val="Bodytext1"/>
        </w:rPr>
        <w:t>Dutým evidence:</w:t>
      </w:r>
      <w:r>
        <w:rPr>
          <w:rStyle w:val="Bodytext1"/>
        </w:rPr>
        <w:tab/>
        <w:t>.</w:t>
      </w:r>
      <w:r>
        <w:rPr>
          <w:rStyle w:val="Bodytext1"/>
        </w:rPr>
        <w:tab/>
      </w:r>
      <w:proofErr w:type="gramStart"/>
      <w:r>
        <w:rPr>
          <w:rStyle w:val="Bodytext1"/>
        </w:rPr>
        <w:tab/>
        <w:t xml:space="preserve"> ,</w:t>
      </w:r>
      <w:proofErr w:type="gramEnd"/>
    </w:p>
    <w:p w14:paraId="3AAAD7CC" w14:textId="77777777" w:rsidR="00DE22BF" w:rsidRDefault="00000000">
      <w:pPr>
        <w:pStyle w:val="Bodytext10"/>
        <w:spacing w:after="0" w:line="252" w:lineRule="auto"/>
        <w:rPr>
          <w:sz w:val="19"/>
          <w:szCs w:val="19"/>
        </w:rPr>
      </w:pPr>
      <w:r>
        <w:rPr>
          <w:rStyle w:val="Bodytext1"/>
          <w:b/>
          <w:bCs/>
          <w:sz w:val="19"/>
          <w:szCs w:val="19"/>
        </w:rPr>
        <w:t>Nemocnice Havířov, příspěvková organizace</w:t>
      </w:r>
    </w:p>
    <w:p w14:paraId="472588BF" w14:textId="77777777" w:rsidR="00DE22BF" w:rsidRDefault="00000000">
      <w:pPr>
        <w:pStyle w:val="Bodytext10"/>
        <w:spacing w:after="0"/>
      </w:pPr>
      <w:r>
        <w:rPr>
          <w:rStyle w:val="Bodytext1"/>
        </w:rPr>
        <w:t>se sídlem Dělnická 1132/24, Havířov, 736 01</w:t>
      </w:r>
    </w:p>
    <w:p w14:paraId="05FBE6D9" w14:textId="77777777" w:rsidR="00DE22BF" w:rsidRDefault="00000000">
      <w:pPr>
        <w:pStyle w:val="Bodytext10"/>
        <w:spacing w:after="0"/>
      </w:pPr>
      <w:r>
        <w:rPr>
          <w:rStyle w:val="Bodytext1"/>
        </w:rPr>
        <w:t>IČ: 00844896</w:t>
      </w:r>
    </w:p>
    <w:p w14:paraId="2BD3D60B" w14:textId="77777777" w:rsidR="00DE22BF" w:rsidRDefault="00000000">
      <w:pPr>
        <w:pStyle w:val="Bodytext10"/>
        <w:spacing w:after="0"/>
      </w:pPr>
      <w:r>
        <w:rPr>
          <w:rStyle w:val="Bodytext1"/>
        </w:rPr>
        <w:t>DIČ: CZ00844896</w:t>
      </w:r>
    </w:p>
    <w:p w14:paraId="78C73B36" w14:textId="55020E05" w:rsidR="00DE22BF" w:rsidRDefault="00000000">
      <w:pPr>
        <w:pStyle w:val="Bodytext10"/>
        <w:spacing w:after="0"/>
      </w:pPr>
      <w:r>
        <w:rPr>
          <w:rStyle w:val="Bodytext1"/>
        </w:rPr>
        <w:t xml:space="preserve">Bankovní spojení: </w:t>
      </w:r>
    </w:p>
    <w:p w14:paraId="0E3770F2" w14:textId="77777777" w:rsidR="00DE22BF" w:rsidRDefault="00000000">
      <w:pPr>
        <w:pStyle w:val="Bodytext10"/>
        <w:spacing w:after="0"/>
      </w:pPr>
      <w:r>
        <w:rPr>
          <w:rStyle w:val="Bodytext1"/>
        </w:rPr>
        <w:t xml:space="preserve">Zapsaná v obchodním rejstříku vedeném u Krajského soudu v Ostravě oddíl </w:t>
      </w:r>
      <w:proofErr w:type="spellStart"/>
      <w:r>
        <w:rPr>
          <w:rStyle w:val="Bodytext1"/>
        </w:rPr>
        <w:t>Pr</w:t>
      </w:r>
      <w:proofErr w:type="spellEnd"/>
      <w:r>
        <w:rPr>
          <w:rStyle w:val="Bodytext1"/>
        </w:rPr>
        <w:t>, vložka 899</w:t>
      </w:r>
    </w:p>
    <w:p w14:paraId="7FF49DCC" w14:textId="4AE0C9A8" w:rsidR="00DE22BF" w:rsidRDefault="00000000">
      <w:pPr>
        <w:pStyle w:val="Bodytext10"/>
        <w:rPr>
          <w:sz w:val="19"/>
          <w:szCs w:val="19"/>
        </w:rPr>
      </w:pPr>
      <w:r>
        <w:rPr>
          <w:rStyle w:val="Bodytext1"/>
        </w:rPr>
        <w:t xml:space="preserve">Zastoupená ředitelem (dále jen </w:t>
      </w:r>
      <w:r>
        <w:rPr>
          <w:rStyle w:val="Bodytext1"/>
          <w:b/>
          <w:bCs/>
          <w:sz w:val="19"/>
          <w:szCs w:val="19"/>
        </w:rPr>
        <w:t>„Odběratel“),</w:t>
      </w:r>
    </w:p>
    <w:p w14:paraId="6656898D" w14:textId="77777777" w:rsidR="00DE22BF" w:rsidRDefault="00000000">
      <w:pPr>
        <w:pStyle w:val="Bodytext10"/>
        <w:spacing w:after="440"/>
        <w:rPr>
          <w:sz w:val="19"/>
          <w:szCs w:val="19"/>
        </w:rPr>
      </w:pPr>
      <w:r>
        <w:rPr>
          <w:rStyle w:val="Bodytext1"/>
        </w:rPr>
        <w:t xml:space="preserve">(Dodavatel a Odběratel dále společně jen jako </w:t>
      </w:r>
      <w:r>
        <w:rPr>
          <w:rStyle w:val="Bodytext1"/>
          <w:b/>
          <w:bCs/>
          <w:sz w:val="19"/>
          <w:szCs w:val="19"/>
        </w:rPr>
        <w:t xml:space="preserve">„Strany“ </w:t>
      </w:r>
      <w:r>
        <w:rPr>
          <w:rStyle w:val="Bodytext1"/>
        </w:rPr>
        <w:t xml:space="preserve">a jednotlivě jako </w:t>
      </w:r>
      <w:r>
        <w:rPr>
          <w:rStyle w:val="Bodytext1"/>
          <w:b/>
          <w:bCs/>
          <w:sz w:val="19"/>
          <w:szCs w:val="19"/>
        </w:rPr>
        <w:t>„Strana“)</w:t>
      </w:r>
    </w:p>
    <w:p w14:paraId="20E7DC89" w14:textId="77777777" w:rsidR="00DE22BF" w:rsidRDefault="00000000">
      <w:pPr>
        <w:pStyle w:val="Bodytext10"/>
        <w:rPr>
          <w:sz w:val="19"/>
          <w:szCs w:val="19"/>
        </w:rPr>
      </w:pPr>
      <w:r>
        <w:rPr>
          <w:rStyle w:val="Bodytext1"/>
        </w:rPr>
        <w:t xml:space="preserve">Strany se níže uvedeného dne dohodly na uzavření této Smlouvy o spolupráci (dále jen </w:t>
      </w:r>
      <w:r>
        <w:rPr>
          <w:rStyle w:val="Bodytext1"/>
          <w:b/>
          <w:bCs/>
          <w:sz w:val="19"/>
          <w:szCs w:val="19"/>
        </w:rPr>
        <w:t>„Smlouva“):</w:t>
      </w:r>
    </w:p>
    <w:p w14:paraId="7A044656" w14:textId="77777777" w:rsidR="00DE22BF" w:rsidRDefault="00000000">
      <w:pPr>
        <w:pStyle w:val="Bodytext10"/>
        <w:numPr>
          <w:ilvl w:val="0"/>
          <w:numId w:val="1"/>
        </w:numPr>
        <w:tabs>
          <w:tab w:val="left" w:pos="353"/>
        </w:tabs>
        <w:spacing w:line="252" w:lineRule="auto"/>
        <w:jc w:val="center"/>
        <w:rPr>
          <w:sz w:val="19"/>
          <w:szCs w:val="19"/>
        </w:rPr>
      </w:pPr>
      <w:r>
        <w:rPr>
          <w:rStyle w:val="Bodytext1"/>
          <w:b/>
          <w:bCs/>
          <w:sz w:val="19"/>
          <w:szCs w:val="19"/>
        </w:rPr>
        <w:t>Předmět Smlouvy</w:t>
      </w:r>
    </w:p>
    <w:p w14:paraId="110B57E4" w14:textId="77777777" w:rsidR="00DE22BF" w:rsidRDefault="00000000">
      <w:pPr>
        <w:pStyle w:val="Bodytext10"/>
        <w:numPr>
          <w:ilvl w:val="1"/>
          <w:numId w:val="1"/>
        </w:numPr>
        <w:tabs>
          <w:tab w:val="left" w:pos="576"/>
        </w:tabs>
        <w:ind w:left="560" w:hanging="560"/>
        <w:jc w:val="both"/>
        <w:rPr>
          <w:sz w:val="19"/>
          <w:szCs w:val="19"/>
        </w:rPr>
      </w:pPr>
      <w:r>
        <w:rPr>
          <w:rStyle w:val="Bodytext1"/>
        </w:rPr>
        <w:t xml:space="preserve">Předmětem této Smlouvy je závazek Dodavatele poskytnout Odběrateli při splnění podmínek stanovených touto Smlouvou za odběr vybraných výrobků Dodavatele anebo osob s ním majetkově spřízněných (dále jen </w:t>
      </w:r>
      <w:r>
        <w:rPr>
          <w:rStyle w:val="Bodytext1"/>
          <w:b/>
          <w:bCs/>
          <w:sz w:val="19"/>
          <w:szCs w:val="19"/>
        </w:rPr>
        <w:t xml:space="preserve">„Spřízněná osoba") </w:t>
      </w:r>
      <w:r>
        <w:rPr>
          <w:rStyle w:val="Bodytext1"/>
        </w:rPr>
        <w:t xml:space="preserve">obratový bonus (dále jen </w:t>
      </w:r>
      <w:r>
        <w:rPr>
          <w:rStyle w:val="Bodytext1"/>
          <w:b/>
          <w:bCs/>
          <w:sz w:val="19"/>
          <w:szCs w:val="19"/>
        </w:rPr>
        <w:t>„Bonus“).</w:t>
      </w:r>
    </w:p>
    <w:p w14:paraId="7B378909" w14:textId="77777777" w:rsidR="00DE22BF" w:rsidRDefault="00000000">
      <w:pPr>
        <w:pStyle w:val="Bodytext10"/>
        <w:numPr>
          <w:ilvl w:val="1"/>
          <w:numId w:val="1"/>
        </w:numPr>
        <w:tabs>
          <w:tab w:val="left" w:pos="576"/>
        </w:tabs>
        <w:ind w:left="560" w:hanging="560"/>
        <w:jc w:val="both"/>
      </w:pPr>
      <w:r>
        <w:rPr>
          <w:rStyle w:val="Bodytext1"/>
        </w:rPr>
        <w:t xml:space="preserve">Závazek Dodavatele poskytnout Odběrateli Bonus se vztahuje na výrobky Dodavatele anebo jeho Spřízněných osob zařazené do portfolia, které je podrobněji specifikováno v Příloze 1 této Smlouvy (dále jen </w:t>
      </w:r>
      <w:r>
        <w:rPr>
          <w:rStyle w:val="Bodytext1"/>
          <w:b/>
          <w:bCs/>
          <w:sz w:val="19"/>
          <w:szCs w:val="19"/>
        </w:rPr>
        <w:t xml:space="preserve">„Zboží“) </w:t>
      </w:r>
      <w:r>
        <w:rPr>
          <w:rStyle w:val="Bodytext1"/>
        </w:rPr>
        <w:t>a výrobky odebrané na zákaznická čísla uvedená v Příloze 3.</w:t>
      </w:r>
    </w:p>
    <w:p w14:paraId="1C911BDA" w14:textId="77777777" w:rsidR="00DE22BF" w:rsidRDefault="00000000">
      <w:pPr>
        <w:pStyle w:val="Bodytext10"/>
        <w:numPr>
          <w:ilvl w:val="1"/>
          <w:numId w:val="1"/>
        </w:numPr>
        <w:tabs>
          <w:tab w:val="left" w:pos="576"/>
        </w:tabs>
        <w:ind w:left="560" w:hanging="560"/>
        <w:jc w:val="both"/>
      </w:pPr>
      <w:r>
        <w:rPr>
          <w:rStyle w:val="Bodytext1"/>
        </w:rPr>
        <w:t>Odběrateli vznikne nárok na Bonus za splnění podmínek stanovených touto Smlouvou v případě, že odběr Zboží uskutečněný Odběratelem v příslušném referenčním období dosáhne alespoň obratu Zboží ve výši specifikované v příslušném obratovém pásmu určeném v Příloze 2 této Smlouvy, a to ve výši odpovídající procentuálnímu podílu z celkového obratu Zboží dosaženého Odběratelem v daném referenčním období stanovenému dle specifikace uvedené v Příloze 2 této Smlouvy a zboží odebrané na zákaznická čísla uvedená v Příloze 3 - Seznam zákaznických čísel.</w:t>
      </w:r>
    </w:p>
    <w:p w14:paraId="05E63E29" w14:textId="77777777" w:rsidR="00DE22BF" w:rsidRDefault="00000000">
      <w:pPr>
        <w:pStyle w:val="Bodytext10"/>
        <w:numPr>
          <w:ilvl w:val="1"/>
          <w:numId w:val="1"/>
        </w:numPr>
        <w:tabs>
          <w:tab w:val="left" w:pos="576"/>
        </w:tabs>
        <w:ind w:left="560" w:hanging="560"/>
        <w:jc w:val="both"/>
        <w:rPr>
          <w:sz w:val="19"/>
          <w:szCs w:val="19"/>
        </w:rPr>
      </w:pPr>
      <w:r>
        <w:rPr>
          <w:rStyle w:val="Bodytext1"/>
        </w:rPr>
        <w:t xml:space="preserve">Obratem se pro účely posouzení nároku na Bonus a stanovení jeho výše rozumí součet cen všech balení Zboží, které Odběratel nakoupil od distributorů v příslušném referenčním období, přičemž cenou se pro účely výpočtu obratu a výše Bonusu rozumí cena výrobce za jedno balení určitého druhu Zboží (bez DPH) stanovená Dodavatelem, která je vůči Odběrateli uplatňována při odběru Zboží (dále jen </w:t>
      </w:r>
      <w:r>
        <w:rPr>
          <w:rStyle w:val="Bodytext1"/>
          <w:b/>
          <w:bCs/>
          <w:sz w:val="19"/>
          <w:szCs w:val="19"/>
        </w:rPr>
        <w:t>„Stanovená cena“).</w:t>
      </w:r>
    </w:p>
    <w:p w14:paraId="6CEB54B4" w14:textId="77777777" w:rsidR="00DE22BF" w:rsidRDefault="00000000">
      <w:pPr>
        <w:pStyle w:val="Bodytext10"/>
        <w:numPr>
          <w:ilvl w:val="1"/>
          <w:numId w:val="1"/>
        </w:numPr>
        <w:tabs>
          <w:tab w:val="left" w:pos="576"/>
        </w:tabs>
        <w:ind w:left="560" w:hanging="560"/>
        <w:jc w:val="both"/>
      </w:pPr>
      <w:r>
        <w:rPr>
          <w:rStyle w:val="Bodytext1"/>
        </w:rPr>
        <w:t>Referenčním obdobím se pro účely výpočtu obratu Zboží a posouzení vzniku nároku na Bonus a jeho výše rozumí období pololetí.</w:t>
      </w:r>
    </w:p>
    <w:p w14:paraId="1B1D64DF" w14:textId="77777777" w:rsidR="00DE22BF" w:rsidRDefault="00000000">
      <w:pPr>
        <w:pStyle w:val="Bodytext10"/>
        <w:numPr>
          <w:ilvl w:val="1"/>
          <w:numId w:val="1"/>
        </w:numPr>
        <w:tabs>
          <w:tab w:val="left" w:pos="576"/>
        </w:tabs>
        <w:ind w:left="560" w:hanging="560"/>
        <w:jc w:val="both"/>
      </w:pPr>
      <w:r>
        <w:rPr>
          <w:rStyle w:val="Bodytext1"/>
        </w:rPr>
        <w:t xml:space="preserve">Bonus je splatný pololetně, přičemž se Bonus vypočítá z odběrů Zboží uskutečněných Odběratelem na zákaznická čísla uvedená v Příloze 3 v příslušném pololetí, které je definováno v odstavci 1.5. výše. Hranice jednotlivých obratových pásem jsou stanovené v Příloze 2, pro účely posouzení vzniku nároku na výplatu Bonusu a stanovení její </w:t>
      </w:r>
      <w:proofErr w:type="gramStart"/>
      <w:r>
        <w:rPr>
          <w:rStyle w:val="Bodytext1"/>
        </w:rPr>
        <w:t>výše .</w:t>
      </w:r>
      <w:proofErr w:type="gramEnd"/>
    </w:p>
    <w:p w14:paraId="51B36CA4" w14:textId="77777777" w:rsidR="00DE22BF" w:rsidRDefault="00000000">
      <w:pPr>
        <w:pStyle w:val="Bodytext10"/>
        <w:numPr>
          <w:ilvl w:val="1"/>
          <w:numId w:val="1"/>
        </w:numPr>
        <w:tabs>
          <w:tab w:val="left" w:pos="576"/>
        </w:tabs>
        <w:ind w:left="560" w:hanging="560"/>
        <w:jc w:val="both"/>
      </w:pPr>
      <w:r>
        <w:rPr>
          <w:rStyle w:val="Bodytext1"/>
        </w:rPr>
        <w:t xml:space="preserve">Odběratel poskytne Dodavateli do 15 dnů po uplynutí příslušného Referenčního období přehled o množství Zboží odebraného Odběratelem v daném Referenčním období (dále jen „Přehled") a vyčíslení částky, která by mu měla být podle bonusového schématu specifikovaného v Příloze 2 vyplacena jako splátka Bonusu (dále jen „Návrh"), a to na adresu zástupce společnosti Novo </w:t>
      </w:r>
      <w:proofErr w:type="spellStart"/>
      <w:r>
        <w:rPr>
          <w:rStyle w:val="Bodytext1"/>
        </w:rPr>
        <w:t>Nordisk</w:t>
      </w:r>
      <w:proofErr w:type="spellEnd"/>
      <w:r>
        <w:rPr>
          <w:rStyle w:val="Bodytext1"/>
        </w:rPr>
        <w:t xml:space="preserve">. Přehled a Návrh vztahující se k poslednímu Referenčnímu období budou zároveň obsahovat informace o odběrech Zboží a vyplacených splátkách za celé referenční období. Při postupu podle tohoto odstavce Odběratel není oprávněn kumulovat či jinak převádět odběry Zboží z různých </w:t>
      </w:r>
      <w:proofErr w:type="spellStart"/>
      <w:r>
        <w:rPr>
          <w:rStyle w:val="Bodytext1"/>
        </w:rPr>
        <w:t>Refernčních</w:t>
      </w:r>
      <w:proofErr w:type="spellEnd"/>
      <w:r>
        <w:rPr>
          <w:rStyle w:val="Bodytext1"/>
        </w:rPr>
        <w:t xml:space="preserve"> období pro účely výpočtu Bonusu nebo jeho splátky.</w:t>
      </w:r>
    </w:p>
    <w:p w14:paraId="6B5BC12B" w14:textId="77777777" w:rsidR="00DE22BF" w:rsidRDefault="00000000">
      <w:pPr>
        <w:pStyle w:val="Bodytext10"/>
        <w:numPr>
          <w:ilvl w:val="1"/>
          <w:numId w:val="1"/>
        </w:numPr>
        <w:tabs>
          <w:tab w:val="left" w:pos="580"/>
        </w:tabs>
        <w:ind w:left="560" w:hanging="560"/>
        <w:jc w:val="both"/>
      </w:pPr>
      <w:r>
        <w:rPr>
          <w:rStyle w:val="Bodytext1"/>
        </w:rPr>
        <w:lastRenderedPageBreak/>
        <w:t xml:space="preserve">Dodavatel v přiměřeném období, nejpozději do 1 měsíce od poskytnutí Přehledu a Návrhu, posoudí podklady pro přiznání dílčí splátky Bonusu poskytnuté mu Odběratelem podle této Smlouvy, a buď Návrh odsouhlasí a informuje o tom Odběratele, nebo vznese písemně odůvodněné připomínky k obdrženým podkladům. Odběratel je povinen na vyžádání Dodavateli předložit doklady, například dodací listy či faktury, které prokazují, že Odběratel v daném Dílčím období uskutečnil odběr určitého množství Zboží; Odběratel je povinen zajistit, aby na těchto dokladech, zejména dodacích listech či fakturách případně vystavených distributorem, byly před tím, než tyto doklady poskytne Dodavateli, znečitelněny údaje identifikující distributora, údaje o distributorových cenách Zboží a jakékoliv osobní údaje. Odběratel je povinen připomínky Dodavatele vypořádat tak, aby na jejich základě Dodavatel mohl odsouhlasit Návrh, popř. stanovit dílčí splátku Bonusu k výplatě podle této Smlouvy odchylné od Návrhu; vypořádání připomínek spolu s odůvodněním Odběratel </w:t>
      </w:r>
      <w:proofErr w:type="gramStart"/>
      <w:r>
        <w:rPr>
          <w:rStyle w:val="Bodytext1"/>
        </w:rPr>
        <w:t>doručí</w:t>
      </w:r>
      <w:proofErr w:type="gramEnd"/>
      <w:r>
        <w:rPr>
          <w:rStyle w:val="Bodytext1"/>
        </w:rPr>
        <w:t xml:space="preserve"> Dodavateli na adresu uvedenou v odstavci </w:t>
      </w:r>
      <w:proofErr w:type="spellStart"/>
      <w:r>
        <w:rPr>
          <w:rStyle w:val="Bodytext1"/>
          <w:b/>
          <w:bCs/>
          <w:sz w:val="19"/>
          <w:szCs w:val="19"/>
        </w:rPr>
        <w:t>Error</w:t>
      </w:r>
      <w:proofErr w:type="spellEnd"/>
      <w:r>
        <w:rPr>
          <w:rStyle w:val="Bodytext1"/>
          <w:b/>
          <w:bCs/>
          <w:sz w:val="19"/>
          <w:szCs w:val="19"/>
        </w:rPr>
        <w:t xml:space="preserve">! Reference source not </w:t>
      </w:r>
      <w:proofErr w:type="spellStart"/>
      <w:r>
        <w:rPr>
          <w:rStyle w:val="Bodytext1"/>
          <w:b/>
          <w:bCs/>
          <w:sz w:val="19"/>
          <w:szCs w:val="19"/>
        </w:rPr>
        <w:t>found</w:t>
      </w:r>
      <w:proofErr w:type="spellEnd"/>
      <w:r>
        <w:rPr>
          <w:rStyle w:val="Bodytext1"/>
          <w:b/>
          <w:bCs/>
          <w:sz w:val="19"/>
          <w:szCs w:val="19"/>
        </w:rPr>
        <w:t xml:space="preserve">. </w:t>
      </w:r>
      <w:r>
        <w:rPr>
          <w:rStyle w:val="Bodytext1"/>
        </w:rPr>
        <w:t>výše do 15 dnů ode dne, kdy mu byly připomínky sděleny, nestanoví-li Dodavatel delší lhůtu.</w:t>
      </w:r>
    </w:p>
    <w:p w14:paraId="3A0E768C" w14:textId="77777777" w:rsidR="00DE22BF" w:rsidRDefault="00000000">
      <w:pPr>
        <w:pStyle w:val="Bodytext10"/>
        <w:numPr>
          <w:ilvl w:val="1"/>
          <w:numId w:val="1"/>
        </w:numPr>
        <w:tabs>
          <w:tab w:val="left" w:pos="580"/>
        </w:tabs>
        <w:ind w:left="560" w:hanging="560"/>
        <w:jc w:val="both"/>
      </w:pPr>
      <w:r>
        <w:rPr>
          <w:rStyle w:val="Bodytext1"/>
        </w:rPr>
        <w:t>Do 45 dnů od odsouhlasení Návrhu, příp. stanovení dílčí splátky Bonusu k výplatě odchylné od něj, zajistí Dodavatel poskytnutí Bonusu, a to tak, že zajistí vystavení příslušného daňového dokladu nebo opravného daňového dokladu ve prospěch Odběratele prostřednictvím příslušného distributora se splatností nepřesahující 15 dnů.</w:t>
      </w:r>
    </w:p>
    <w:p w14:paraId="57E6B04D" w14:textId="77777777" w:rsidR="00DE22BF" w:rsidRDefault="00000000">
      <w:pPr>
        <w:pStyle w:val="Bodytext10"/>
        <w:numPr>
          <w:ilvl w:val="1"/>
          <w:numId w:val="1"/>
        </w:numPr>
        <w:tabs>
          <w:tab w:val="left" w:pos="580"/>
        </w:tabs>
        <w:ind w:left="560" w:hanging="560"/>
        <w:jc w:val="both"/>
      </w:pPr>
      <w:r>
        <w:rPr>
          <w:rStyle w:val="Bodytext1"/>
        </w:rPr>
        <w:t>Po uplynutí referenčního období bude dílčí splátka Bonusu za poslední Dílčí období vdaném referenčním období stanovena tak, aby celková částka vyplacená na dílčích splátkách Bonusu odpovídala výši, v jaké vznikl Odběrateli nárok na Bonus za odběry Zboží uskutečněné v průběhu celého referenčního období. Pokud celková výše Bonusu, na kterou Odběrateli vznikl nárok za referenční období, je nižší než součet do té doby vyplacených dílčích splátek Bonusu, bude částka odpovídající výši vzniklého rozdílu vrácena Odběratelem Dodavateli (buď přímo nebo prostřednictvím příslušného distributora) na základě příslušného daňového dokladu, a to do 30 dnů ode dne, kdy mu byl příslušný daňový doklad doručen.</w:t>
      </w:r>
    </w:p>
    <w:p w14:paraId="480652D6" w14:textId="77777777" w:rsidR="00DE22BF" w:rsidRDefault="00000000">
      <w:pPr>
        <w:pStyle w:val="Bodytext10"/>
        <w:numPr>
          <w:ilvl w:val="1"/>
          <w:numId w:val="1"/>
        </w:numPr>
        <w:tabs>
          <w:tab w:val="left" w:pos="580"/>
        </w:tabs>
        <w:spacing w:after="680"/>
        <w:ind w:left="560" w:hanging="560"/>
        <w:jc w:val="both"/>
      </w:pPr>
      <w:r>
        <w:rPr>
          <w:rStyle w:val="Bodytext1"/>
        </w:rPr>
        <w:t xml:space="preserve">V případě, že Odběratel na adresu uvedenou v odstavci </w:t>
      </w:r>
      <w:proofErr w:type="spellStart"/>
      <w:r>
        <w:rPr>
          <w:rStyle w:val="Bodytext1"/>
          <w:b/>
          <w:bCs/>
          <w:sz w:val="19"/>
          <w:szCs w:val="19"/>
        </w:rPr>
        <w:t>Error</w:t>
      </w:r>
      <w:proofErr w:type="spellEnd"/>
      <w:r>
        <w:rPr>
          <w:rStyle w:val="Bodytext1"/>
          <w:b/>
          <w:bCs/>
          <w:sz w:val="19"/>
          <w:szCs w:val="19"/>
        </w:rPr>
        <w:t xml:space="preserve">! Reference source not </w:t>
      </w:r>
      <w:proofErr w:type="spellStart"/>
      <w:r>
        <w:rPr>
          <w:rStyle w:val="Bodytext1"/>
          <w:b/>
          <w:bCs/>
          <w:sz w:val="19"/>
          <w:szCs w:val="19"/>
        </w:rPr>
        <w:t>found</w:t>
      </w:r>
      <w:proofErr w:type="spellEnd"/>
      <w:r>
        <w:rPr>
          <w:rStyle w:val="Bodytext1"/>
          <w:b/>
          <w:bCs/>
          <w:sz w:val="19"/>
          <w:szCs w:val="19"/>
        </w:rPr>
        <w:t xml:space="preserve">. </w:t>
      </w:r>
      <w:r>
        <w:rPr>
          <w:rStyle w:val="Bodytext1"/>
        </w:rPr>
        <w:t xml:space="preserve">výše ve stanovené lhůtě nedoručí Dodavateli Přehled a Návrh, </w:t>
      </w:r>
      <w:proofErr w:type="gramStart"/>
      <w:r>
        <w:rPr>
          <w:rStyle w:val="Bodytext1"/>
        </w:rPr>
        <w:t>pozbyde</w:t>
      </w:r>
      <w:proofErr w:type="gramEnd"/>
      <w:r>
        <w:rPr>
          <w:rStyle w:val="Bodytext1"/>
        </w:rPr>
        <w:t xml:space="preserve"> Odběratel nárok na výplatu příslušné dílčí splátky Bonusu za odběr Zboží za příslušné Dílčí období, ohledně něhož Dodavateli nepředložil řádně a včas uvedené podklady.</w:t>
      </w:r>
    </w:p>
    <w:p w14:paraId="35A4C5EB" w14:textId="77777777" w:rsidR="00DE22BF" w:rsidRDefault="00000000">
      <w:pPr>
        <w:pStyle w:val="Bodytext10"/>
        <w:numPr>
          <w:ilvl w:val="0"/>
          <w:numId w:val="1"/>
        </w:numPr>
        <w:tabs>
          <w:tab w:val="left" w:pos="353"/>
        </w:tabs>
        <w:spacing w:line="252" w:lineRule="auto"/>
        <w:jc w:val="center"/>
        <w:rPr>
          <w:sz w:val="19"/>
          <w:szCs w:val="19"/>
        </w:rPr>
      </w:pPr>
      <w:r>
        <w:rPr>
          <w:rStyle w:val="Bodytext1"/>
          <w:b/>
          <w:bCs/>
          <w:sz w:val="19"/>
          <w:szCs w:val="19"/>
        </w:rPr>
        <w:t>Obecné podmínky pro poskytování Bonusu</w:t>
      </w:r>
    </w:p>
    <w:p w14:paraId="0D498A9C" w14:textId="77777777" w:rsidR="00DE22BF" w:rsidRDefault="00000000">
      <w:pPr>
        <w:pStyle w:val="Bodytext10"/>
        <w:numPr>
          <w:ilvl w:val="1"/>
          <w:numId w:val="1"/>
        </w:numPr>
        <w:tabs>
          <w:tab w:val="left" w:pos="580"/>
        </w:tabs>
        <w:ind w:left="560" w:hanging="560"/>
        <w:jc w:val="both"/>
      </w:pPr>
      <w:r>
        <w:rPr>
          <w:rStyle w:val="Bodytext1"/>
        </w:rPr>
        <w:t xml:space="preserve">Strany berou na vědomí, že poskytování Bonusu musí být průběžně posuzováno z hlediska jeho souladu se soutěžními pravidly podle zákona č. 143/2001 Sb., o ochraně hospodářské soutěže, v platném znění (dále jen </w:t>
      </w:r>
      <w:r>
        <w:rPr>
          <w:rStyle w:val="Bodytext1"/>
          <w:b/>
          <w:bCs/>
          <w:sz w:val="19"/>
          <w:szCs w:val="19"/>
        </w:rPr>
        <w:t xml:space="preserve">„ZHS“), </w:t>
      </w:r>
      <w:r>
        <w:rPr>
          <w:rStyle w:val="Bodytext1"/>
        </w:rPr>
        <w:t xml:space="preserve">a čl. 101 a čl. 102 Smlouvy o fungování EU (dále jen </w:t>
      </w:r>
      <w:r>
        <w:rPr>
          <w:rStyle w:val="Bodytext1"/>
          <w:b/>
          <w:bCs/>
          <w:sz w:val="19"/>
          <w:szCs w:val="19"/>
        </w:rPr>
        <w:t xml:space="preserve">„SFEU"). </w:t>
      </w:r>
      <w:r>
        <w:rPr>
          <w:rStyle w:val="Bodytext1"/>
        </w:rPr>
        <w:t>Dodavatel má právo s okamžitou účinností jednostranně změnit nebo ukončit tuto Smlouvu písemnou výpovědí doručenou Odběrateli, pokud by se poskytování Bonusu dostalo do rozporu se soutěžními pravidly podle ZHS nebo SFEU nebo na základě výzvy či povinností uložených Dodavateli ze strany kompetentního orgánu, zejména Úřadu pro ochranu hospodářské soutěže, případně Evropské komise. Odběratel se zavazuje poskytnout v takovém případě Dodavateli veškerou potřebnou součinnost, aby došlo k dosažení souladu s právními předpisy. Strany výslovně prohlašují, že postupem podle tohoto odstavce Odběrateli nevzniká nárok na náhradu škody.</w:t>
      </w:r>
    </w:p>
    <w:p w14:paraId="59574C07" w14:textId="77777777" w:rsidR="00DE22BF" w:rsidRDefault="00000000">
      <w:pPr>
        <w:pStyle w:val="Bodytext10"/>
        <w:numPr>
          <w:ilvl w:val="1"/>
          <w:numId w:val="1"/>
        </w:numPr>
        <w:tabs>
          <w:tab w:val="left" w:pos="580"/>
        </w:tabs>
        <w:ind w:left="560" w:hanging="560"/>
        <w:jc w:val="both"/>
      </w:pPr>
      <w:r>
        <w:rPr>
          <w:rStyle w:val="Bodytext1"/>
        </w:rPr>
        <w:t>Strany výslovně prohlašují, že v současnosti ani po uzavření této Smlouvy Odběratel není nijak vázán odebírat Zboží ani jiné výrobky Dodavatele nebo jeho Spřízněných osob v jakémkoliv množství a disponuje absolutní smluvní volností co do výběru výrobků, a to bez ohledu na to, zda se jedná o výrobky Dodavatele či jeho Spřízněných osob nebo o výrobky, které jejich výrobkům konkurují.</w:t>
      </w:r>
    </w:p>
    <w:p w14:paraId="050C7BB8" w14:textId="77777777" w:rsidR="00DE22BF" w:rsidRDefault="00000000">
      <w:pPr>
        <w:pStyle w:val="Bodytext10"/>
        <w:numPr>
          <w:ilvl w:val="1"/>
          <w:numId w:val="1"/>
        </w:numPr>
        <w:tabs>
          <w:tab w:val="left" w:pos="580"/>
        </w:tabs>
        <w:ind w:left="560" w:hanging="560"/>
        <w:jc w:val="both"/>
      </w:pPr>
      <w:r>
        <w:rPr>
          <w:rStyle w:val="Bodytext1"/>
        </w:rPr>
        <w:t>Strany prohlašují, že účelem této Smlouvy není poskytnutí daru či sponzorského příspěvku Odběrateli, nýbrž poskytnutí Bonusu za Odběratelův odběr Zboží, který zohledňuje ekonomickou úsporu na straně Dodavatele danou objemem Zboží odebraného Odběratelem.</w:t>
      </w:r>
    </w:p>
    <w:p w14:paraId="4AF2E6C8" w14:textId="77777777" w:rsidR="00DE22BF" w:rsidRDefault="00000000">
      <w:pPr>
        <w:pStyle w:val="Bodytext10"/>
        <w:numPr>
          <w:ilvl w:val="1"/>
          <w:numId w:val="1"/>
        </w:numPr>
        <w:tabs>
          <w:tab w:val="left" w:pos="580"/>
        </w:tabs>
        <w:ind w:left="560" w:hanging="560"/>
        <w:jc w:val="both"/>
      </w:pPr>
      <w:r>
        <w:rPr>
          <w:rStyle w:val="Bodytext1"/>
        </w:rPr>
        <w:t xml:space="preserve">Strany shodně prohlašují, že účelem ani cílem této Smlouvy není jakákoliv reklama nebo jiná propagační činnost. Odběratel se zavazuje neučinit nic, co by mohlo vést k tomu, že by spolupráce mezi ním a Dodavatelem podle této Smlouvy </w:t>
      </w:r>
      <w:proofErr w:type="gramStart"/>
      <w:r>
        <w:rPr>
          <w:rStyle w:val="Bodytext1"/>
        </w:rPr>
        <w:t>byla</w:t>
      </w:r>
      <w:proofErr w:type="gramEnd"/>
      <w:r>
        <w:rPr>
          <w:rStyle w:val="Bodytext1"/>
        </w:rPr>
        <w:t xml:space="preserve"> jakkoliv vnímána jako jakákoliv propagace jakékoliv terapie nebo jakéhokoliv Zboží, léčivého přípravku či jiného výrobku Dodavatele nebo jeho Spřízněných osob.</w:t>
      </w:r>
    </w:p>
    <w:p w14:paraId="638C758C" w14:textId="77777777" w:rsidR="00DE22BF" w:rsidRDefault="00000000">
      <w:pPr>
        <w:pStyle w:val="Bodytext10"/>
        <w:numPr>
          <w:ilvl w:val="1"/>
          <w:numId w:val="1"/>
        </w:numPr>
        <w:tabs>
          <w:tab w:val="left" w:pos="582"/>
        </w:tabs>
        <w:spacing w:after="200"/>
        <w:ind w:left="560" w:hanging="560"/>
        <w:jc w:val="both"/>
      </w:pPr>
      <w:r>
        <w:rPr>
          <w:rStyle w:val="Bodytext1"/>
        </w:rPr>
        <w:t>Strany výslovně prohlašují, že účelem ani následkem této Smlouvy není poskytnutí slevy, výhody či čehokoliv hodnotného, ať již přímo nebo nepřímo, jakékoliv osobě, včetně osob, které jsou členy statutárního nebo jiného rozhodovacího orgánu Odběratele nebo které jsou zaměstnanci či poskytovateli služeb Odběratele, zejména lékařům, střednímu zdravotnickému personálu, farmaceutům a jeho či jejich administrativnímu personálu, jakož i všem dalším osobám, které mohou v průběhu své pracovní činnosti předepisovat, podávat, vydávat, dodávat či nakupovat jakékoliv léčivé přípravky.</w:t>
      </w:r>
    </w:p>
    <w:p w14:paraId="1E867578" w14:textId="77777777" w:rsidR="00DE22BF" w:rsidRDefault="00000000">
      <w:pPr>
        <w:pStyle w:val="Bodytext10"/>
        <w:numPr>
          <w:ilvl w:val="1"/>
          <w:numId w:val="1"/>
        </w:numPr>
        <w:tabs>
          <w:tab w:val="left" w:pos="582"/>
        </w:tabs>
        <w:spacing w:after="200"/>
        <w:ind w:left="560" w:hanging="560"/>
        <w:jc w:val="both"/>
      </w:pPr>
      <w:r>
        <w:rPr>
          <w:rStyle w:val="Bodytext1"/>
        </w:rPr>
        <w:t xml:space="preserve">Odběratel se zavazuje, že nebude ovlivňovat rozhodnutí kterékoliv osoby, která je u něj angažována, nebo jiného </w:t>
      </w:r>
      <w:r>
        <w:rPr>
          <w:rStyle w:val="Bodytext1"/>
        </w:rPr>
        <w:lastRenderedPageBreak/>
        <w:t>poskytovatele zdravotních či lékárenských služeb, ve věci předepisování, odběru nebo vydávání Zboží nebo jakýchkoliv jiných léčivých přípravků či jiných výrobků Dodavatele nebo jeho Spřízněných osob.</w:t>
      </w:r>
    </w:p>
    <w:p w14:paraId="27554EDE" w14:textId="77777777" w:rsidR="00DE22BF" w:rsidRDefault="00000000">
      <w:pPr>
        <w:pStyle w:val="Bodytext10"/>
        <w:numPr>
          <w:ilvl w:val="1"/>
          <w:numId w:val="1"/>
        </w:numPr>
        <w:tabs>
          <w:tab w:val="left" w:pos="582"/>
        </w:tabs>
        <w:spacing w:after="200"/>
        <w:ind w:left="560" w:hanging="560"/>
        <w:jc w:val="both"/>
      </w:pPr>
      <w:r>
        <w:rPr>
          <w:rStyle w:val="Bodytext1"/>
        </w:rPr>
        <w:t>Dodavatel výslovně prohlašuje, že poskytnutí Bonusu není pobídkou či návodem na neoprávněné čerpání prostředků z veřejného zdravotního pojištění, a zároveň prohlašuje, že mu nejsou známy žádné skutečnosti, které by bránily poskytnutí tohoto Bonusu.</w:t>
      </w:r>
    </w:p>
    <w:p w14:paraId="0EBF5F10" w14:textId="77777777" w:rsidR="00DE22BF" w:rsidRDefault="00000000">
      <w:pPr>
        <w:pStyle w:val="Bodytext10"/>
        <w:numPr>
          <w:ilvl w:val="1"/>
          <w:numId w:val="1"/>
        </w:numPr>
        <w:tabs>
          <w:tab w:val="left" w:pos="582"/>
        </w:tabs>
        <w:spacing w:after="200"/>
        <w:ind w:left="560" w:hanging="560"/>
        <w:jc w:val="both"/>
      </w:pPr>
      <w:r>
        <w:rPr>
          <w:rStyle w:val="Bodytext1"/>
        </w:rPr>
        <w:t>Odběratel prohlašuje a zaručuje, že má veškeré licence a povolení, které mohou být nezbytné či vyžadované podle právních předpisů za účelem poskytování zdravotní péče, a tyto licence a povolení jsou platné a účinné v plném rozsahu.</w:t>
      </w:r>
    </w:p>
    <w:p w14:paraId="5EAE9611" w14:textId="77777777" w:rsidR="00DE22BF" w:rsidRDefault="00000000">
      <w:pPr>
        <w:pStyle w:val="Bodytext10"/>
        <w:numPr>
          <w:ilvl w:val="1"/>
          <w:numId w:val="1"/>
        </w:numPr>
        <w:tabs>
          <w:tab w:val="left" w:pos="582"/>
        </w:tabs>
        <w:spacing w:after="200"/>
        <w:ind w:left="560" w:hanging="560"/>
        <w:jc w:val="both"/>
      </w:pPr>
      <w:r>
        <w:rPr>
          <w:rStyle w:val="Bodytext1"/>
        </w:rPr>
        <w:t>Odběratel prohlašuje a zaručuje, že uzavření této Smlouvy není v rozporu s jakoukoli smlouvou uzavřenou se třetí stranou a že plnění Smlouvy ze strany Odběratele nepovede k porušení práv třetích osob, etických standardů ani použitelných právních, obecně závazných ani interních předpisů, pravidel nebo pokynů, jimiž je Odběratel povinen se řídit.</w:t>
      </w:r>
    </w:p>
    <w:p w14:paraId="6ABFFF49" w14:textId="77777777" w:rsidR="00DE22BF" w:rsidRDefault="00000000">
      <w:pPr>
        <w:pStyle w:val="Bodytext10"/>
        <w:numPr>
          <w:ilvl w:val="1"/>
          <w:numId w:val="1"/>
        </w:numPr>
        <w:tabs>
          <w:tab w:val="left" w:pos="582"/>
        </w:tabs>
        <w:spacing w:after="200"/>
        <w:ind w:left="560" w:hanging="560"/>
        <w:jc w:val="both"/>
      </w:pPr>
      <w:r>
        <w:rPr>
          <w:rStyle w:val="Bodytext1"/>
        </w:rPr>
        <w:t>Odběratel bere na vědomí, že jeho případné závazky vůči zdravotním pojišťovnám a jejich vypořádání jsou jeho výhradní záležitostí. Odběratel v této souvislosti prohlašuje, zaručuje a zavazuje se, že při vykazování Zboží k jeho úhradám z prostředků veřejného zdravotního pojištění bude postupovat výlučně v souladu s příslušnými právními předpisy (zejména zákonem č. 48/1997 Sb., o veřejném zdravotním pojištění, zákonem č. 526/1990 Sb., o cenách, zákonem č. 265/1991 Sb., o působnosti orgánů České republiky v oblasti cen, jakož i jejich prováděcími předpisy), jakož i veškerými interními předpisy (včetně Příkazu ministra č. 13/2018, č.j. MZDR 16781/2018) vydanými v souladu s nimi. Odběratel zůstává plně odpovědný za své evidenční a daňové povinnosti vůči veřejným orgánům.</w:t>
      </w:r>
    </w:p>
    <w:p w14:paraId="62B1900C" w14:textId="77777777" w:rsidR="00DE22BF" w:rsidRDefault="00000000">
      <w:pPr>
        <w:pStyle w:val="Bodytext10"/>
        <w:numPr>
          <w:ilvl w:val="1"/>
          <w:numId w:val="1"/>
        </w:numPr>
        <w:tabs>
          <w:tab w:val="left" w:pos="582"/>
        </w:tabs>
        <w:spacing w:after="200"/>
        <w:ind w:left="560" w:hanging="560"/>
        <w:jc w:val="both"/>
      </w:pPr>
      <w:r>
        <w:rPr>
          <w:rStyle w:val="Bodytext1"/>
        </w:rPr>
        <w:t>Odběratel prohlašuje, zaručuje a zavazuje se, že veškeré účetní knihy, záznamy, faktury a další dokumenty související s platbami Bonusů a použitím prostředků vyplacených na Bonus nebo jeho dílčí splátku dle této Smlouvy jsou a budou úplné a přesné a budou dostatečně podrobně zachycovat povahu a hodnotu transakcí a výdajů, a že v souvislosti s touto Smlouvou nezřídí ani nepoužije žádné fondy či podobné zdroje, které nebudou zachyceny v jeho účetnictví; Odběratel bere na vědomí, že je povinen v této souvislosti postupovat v souladu s příslušnými právními předpisy, jakož i veškerými interními předpisy (včetně Příkazu ministra č. 13/2018, č.j. MZDR 16781/2018) vydanými v souladu s nimi.</w:t>
      </w:r>
    </w:p>
    <w:p w14:paraId="50F01837" w14:textId="77777777" w:rsidR="00DE22BF" w:rsidRDefault="00000000">
      <w:pPr>
        <w:pStyle w:val="Bodytext10"/>
        <w:numPr>
          <w:ilvl w:val="1"/>
          <w:numId w:val="1"/>
        </w:numPr>
        <w:tabs>
          <w:tab w:val="left" w:pos="582"/>
        </w:tabs>
        <w:spacing w:after="200"/>
        <w:ind w:left="560" w:hanging="560"/>
        <w:jc w:val="both"/>
      </w:pPr>
      <w:r>
        <w:rPr>
          <w:rStyle w:val="Bodytext1"/>
        </w:rPr>
        <w:t xml:space="preserve">Strany se dohodly, že Odběratel Dodavateli na vyžádání </w:t>
      </w:r>
      <w:proofErr w:type="gramStart"/>
      <w:r>
        <w:rPr>
          <w:rStyle w:val="Bodytext1"/>
        </w:rPr>
        <w:t>doloží</w:t>
      </w:r>
      <w:proofErr w:type="gramEnd"/>
      <w:r>
        <w:rPr>
          <w:rStyle w:val="Bodytext1"/>
        </w:rPr>
        <w:t>, že prostředky vyplacené na Bonus používá v souladu s touto Smlouvou a že řádně plní i její další podmínky.</w:t>
      </w:r>
    </w:p>
    <w:p w14:paraId="25DDD97D" w14:textId="77777777" w:rsidR="00DE22BF" w:rsidRDefault="00000000">
      <w:pPr>
        <w:pStyle w:val="Bodytext10"/>
        <w:numPr>
          <w:ilvl w:val="1"/>
          <w:numId w:val="1"/>
        </w:numPr>
        <w:tabs>
          <w:tab w:val="left" w:pos="582"/>
        </w:tabs>
        <w:spacing w:after="200"/>
        <w:ind w:left="560" w:hanging="560"/>
        <w:jc w:val="both"/>
      </w:pPr>
      <w:r>
        <w:rPr>
          <w:rStyle w:val="Bodytext1"/>
        </w:rPr>
        <w:t>Odběratel se zavazuje, že bude prostředky, které mu byly vyplaceny jako Bonus, používat výhradně v souladu s právními předpisy. Odběratel se zejména zavazuje, že prostředky, které mu byly vyplaceny jako Bonus (včetně jakékoliv dílčí splátky), přímo ani nepřímo nepoužije na odměny pro osobu či osoby vyjmenované v odstavci 2.5 výše.</w:t>
      </w:r>
    </w:p>
    <w:p w14:paraId="4AED4C47" w14:textId="77777777" w:rsidR="00DE22BF" w:rsidRDefault="00000000">
      <w:pPr>
        <w:pStyle w:val="Bodytext10"/>
        <w:numPr>
          <w:ilvl w:val="0"/>
          <w:numId w:val="1"/>
        </w:numPr>
        <w:tabs>
          <w:tab w:val="left" w:pos="353"/>
        </w:tabs>
        <w:spacing w:after="200" w:line="257" w:lineRule="auto"/>
        <w:jc w:val="center"/>
        <w:rPr>
          <w:sz w:val="19"/>
          <w:szCs w:val="19"/>
        </w:rPr>
      </w:pPr>
      <w:r>
        <w:rPr>
          <w:rStyle w:val="Bodytext1"/>
          <w:b/>
          <w:bCs/>
          <w:sz w:val="19"/>
          <w:szCs w:val="19"/>
        </w:rPr>
        <w:t>Ustanovení o etice podnikání</w:t>
      </w:r>
    </w:p>
    <w:p w14:paraId="0C941EA8" w14:textId="77777777" w:rsidR="00DE22BF" w:rsidRDefault="00000000">
      <w:pPr>
        <w:pStyle w:val="Bodytext10"/>
        <w:numPr>
          <w:ilvl w:val="1"/>
          <w:numId w:val="1"/>
        </w:numPr>
        <w:tabs>
          <w:tab w:val="left" w:pos="582"/>
        </w:tabs>
        <w:spacing w:after="200"/>
        <w:ind w:left="560" w:hanging="560"/>
        <w:jc w:val="both"/>
      </w:pPr>
      <w:r>
        <w:rPr>
          <w:rStyle w:val="Bodytext1"/>
        </w:rPr>
        <w:t>Odběratel bude při výkonu činnosti podle této Smlouvy nebo v souvislosti s ní postupovat v souladu se všemi platnými zákony a jinými právními předpisy, jakož i protikorupčními předpisy Velké Británie, tj. Anti-</w:t>
      </w:r>
      <w:proofErr w:type="spellStart"/>
      <w:r>
        <w:rPr>
          <w:rStyle w:val="Bodytext1"/>
        </w:rPr>
        <w:t>Bribery</w:t>
      </w:r>
      <w:proofErr w:type="spellEnd"/>
      <w:r>
        <w:rPr>
          <w:rStyle w:val="Bodytext1"/>
        </w:rPr>
        <w:t xml:space="preserve"> </w:t>
      </w:r>
      <w:proofErr w:type="spellStart"/>
      <w:r>
        <w:rPr>
          <w:rStyle w:val="Bodytext1"/>
        </w:rPr>
        <w:t>Act</w:t>
      </w:r>
      <w:proofErr w:type="spellEnd"/>
      <w:r>
        <w:rPr>
          <w:rStyle w:val="Bodytext1"/>
        </w:rPr>
        <w:t xml:space="preserve"> (dále jen „ABA“), a Spojených států amerických, tj. </w:t>
      </w:r>
      <w:proofErr w:type="spellStart"/>
      <w:r>
        <w:rPr>
          <w:rStyle w:val="Bodytext1"/>
        </w:rPr>
        <w:t>Foreign</w:t>
      </w:r>
      <w:proofErr w:type="spellEnd"/>
      <w:r>
        <w:rPr>
          <w:rStyle w:val="Bodytext1"/>
        </w:rPr>
        <w:t xml:space="preserve"> </w:t>
      </w:r>
      <w:proofErr w:type="spellStart"/>
      <w:r>
        <w:rPr>
          <w:rStyle w:val="Bodytext1"/>
        </w:rPr>
        <w:t>Corrupt</w:t>
      </w:r>
      <w:proofErr w:type="spellEnd"/>
      <w:r>
        <w:rPr>
          <w:rStyle w:val="Bodytext1"/>
        </w:rPr>
        <w:t xml:space="preserve"> </w:t>
      </w:r>
      <w:proofErr w:type="spellStart"/>
      <w:r>
        <w:rPr>
          <w:rStyle w:val="Bodytext1"/>
        </w:rPr>
        <w:t>Practices</w:t>
      </w:r>
      <w:proofErr w:type="spellEnd"/>
      <w:r>
        <w:rPr>
          <w:rStyle w:val="Bodytext1"/>
        </w:rPr>
        <w:t xml:space="preserve"> </w:t>
      </w:r>
      <w:proofErr w:type="spellStart"/>
      <w:r>
        <w:rPr>
          <w:rStyle w:val="Bodytext1"/>
        </w:rPr>
        <w:t>Act</w:t>
      </w:r>
      <w:proofErr w:type="spellEnd"/>
      <w:r>
        <w:rPr>
          <w:rStyle w:val="Bodytext1"/>
        </w:rPr>
        <w:t xml:space="preserve"> (dále jen „FCPA“), a etickými předpisy uplatňovanými v daném odvětví, zejména etickými předpisy Asociace inovativního farmaceutického průmyslu. Odběratel bere na vědomí, že dodržováním protikorupčních právních předpisů České republiky zajistí pro účely této Smlouvy i soulad s protikorupčními předpisy ABA a FCPA.</w:t>
      </w:r>
    </w:p>
    <w:p w14:paraId="2968C4DC" w14:textId="77777777" w:rsidR="00DE22BF" w:rsidRDefault="00000000">
      <w:pPr>
        <w:pStyle w:val="Bodytext10"/>
        <w:numPr>
          <w:ilvl w:val="1"/>
          <w:numId w:val="1"/>
        </w:numPr>
        <w:tabs>
          <w:tab w:val="left" w:pos="582"/>
        </w:tabs>
        <w:spacing w:after="200"/>
        <w:ind w:left="560" w:hanging="560"/>
        <w:jc w:val="both"/>
      </w:pPr>
      <w:r>
        <w:rPr>
          <w:rStyle w:val="Bodytext1"/>
        </w:rPr>
        <w:t xml:space="preserve">V souvislosti s plněním této Smlouvy Odběratel prohlašuje, že ani on, ani žádná jiná osoba jednající jeho jménem neporušila a </w:t>
      </w:r>
      <w:proofErr w:type="gramStart"/>
      <w:r>
        <w:rPr>
          <w:rStyle w:val="Bodytext1"/>
        </w:rPr>
        <w:t>neporuší</w:t>
      </w:r>
      <w:proofErr w:type="gramEnd"/>
      <w:r>
        <w:rPr>
          <w:rStyle w:val="Bodytext1"/>
        </w:rPr>
        <w:t xml:space="preserve"> protikorupční právní předpisy ani Etický kodex společnosti Novo</w:t>
      </w:r>
    </w:p>
    <w:p w14:paraId="3354FDBF" w14:textId="77777777" w:rsidR="00DE22BF" w:rsidRDefault="00000000">
      <w:pPr>
        <w:pStyle w:val="Bodytext10"/>
        <w:spacing w:after="0"/>
        <w:ind w:left="560" w:firstLine="40"/>
        <w:jc w:val="both"/>
      </w:pPr>
      <w:proofErr w:type="spellStart"/>
      <w:r>
        <w:rPr>
          <w:rStyle w:val="Bodytext1"/>
        </w:rPr>
        <w:t>Nordisk</w:t>
      </w:r>
      <w:proofErr w:type="spellEnd"/>
      <w:r>
        <w:rPr>
          <w:rStyle w:val="Bodytext1"/>
        </w:rPr>
        <w:t xml:space="preserve"> (dostupný </w:t>
      </w:r>
      <w:r>
        <w:rPr>
          <w:rStyle w:val="Bodytext1"/>
          <w:u w:val="single"/>
        </w:rPr>
        <w:t>zde</w:t>
      </w:r>
      <w:r>
        <w:rPr>
          <w:rStyle w:val="Bodytext1"/>
        </w:rPr>
        <w:t>). Odběratel potvrzuje, že přímo ani nepřímo nenabídl, nepřislíbil, neschválil, nevyžádal, nezaplatil ani neposkytl žádnou hodnotu (včetně finančních prostředků) a že tak nebude činit ani v budoucnosti za účelem:</w:t>
      </w:r>
    </w:p>
    <w:p w14:paraId="5E974959" w14:textId="77777777" w:rsidR="00DE22BF" w:rsidRDefault="00000000">
      <w:pPr>
        <w:pStyle w:val="Bodytext10"/>
        <w:numPr>
          <w:ilvl w:val="0"/>
          <w:numId w:val="2"/>
        </w:numPr>
        <w:tabs>
          <w:tab w:val="left" w:pos="1457"/>
        </w:tabs>
        <w:spacing w:after="0"/>
        <w:ind w:left="1460" w:hanging="860"/>
        <w:jc w:val="both"/>
      </w:pPr>
      <w:r>
        <w:rPr>
          <w:rStyle w:val="Bodytext1"/>
        </w:rPr>
        <w:t>ovlivnění jednání, rozhodnutí či nekonání ze strany jakéhokoliv veřejného činitele za účelem získání či udržení obchodu či zajištění nepatřičné výhody v podnikání,</w:t>
      </w:r>
    </w:p>
    <w:p w14:paraId="6CE5C7AD" w14:textId="77777777" w:rsidR="00DE22BF" w:rsidRDefault="00000000">
      <w:pPr>
        <w:pStyle w:val="Bodytext10"/>
        <w:numPr>
          <w:ilvl w:val="0"/>
          <w:numId w:val="2"/>
        </w:numPr>
        <w:tabs>
          <w:tab w:val="left" w:pos="1363"/>
        </w:tabs>
        <w:spacing w:after="0"/>
        <w:ind w:firstLine="560"/>
        <w:jc w:val="both"/>
      </w:pPr>
      <w:r>
        <w:rPr>
          <w:rStyle w:val="Bodytext1"/>
        </w:rPr>
        <w:t>přesvědčení osoby k nepatřičnému jednání v rozporu s jejími povinnostmi; nebo</w:t>
      </w:r>
    </w:p>
    <w:p w14:paraId="462A2AB6" w14:textId="77777777" w:rsidR="00DE22BF" w:rsidRDefault="00000000">
      <w:pPr>
        <w:pStyle w:val="Bodytext10"/>
        <w:numPr>
          <w:ilvl w:val="0"/>
          <w:numId w:val="2"/>
        </w:numPr>
        <w:tabs>
          <w:tab w:val="left" w:pos="1363"/>
        </w:tabs>
        <w:spacing w:after="0"/>
        <w:ind w:firstLine="560"/>
        <w:jc w:val="both"/>
      </w:pPr>
      <w:r>
        <w:rPr>
          <w:rStyle w:val="Bodytext1"/>
        </w:rPr>
        <w:t>přesvědčení jakéhokoliv veřejného činitele či jiné osoby k využití jejího vlivu na státní orgán,</w:t>
      </w:r>
    </w:p>
    <w:p w14:paraId="5AB5737D" w14:textId="77777777" w:rsidR="00DE22BF" w:rsidRDefault="00000000">
      <w:pPr>
        <w:pStyle w:val="Bodytext10"/>
        <w:ind w:left="1460"/>
        <w:jc w:val="both"/>
      </w:pPr>
      <w:r>
        <w:rPr>
          <w:rStyle w:val="Bodytext1"/>
        </w:rPr>
        <w:t>organizaci či soukromý subjekt, aby tento provedl nepatřičný úkon, nebo k získání či udržení obchodu.</w:t>
      </w:r>
    </w:p>
    <w:p w14:paraId="7E1C6769" w14:textId="77777777" w:rsidR="00DE22BF" w:rsidRDefault="00000000">
      <w:pPr>
        <w:pStyle w:val="Bodytext10"/>
        <w:numPr>
          <w:ilvl w:val="1"/>
          <w:numId w:val="1"/>
        </w:numPr>
        <w:tabs>
          <w:tab w:val="left" w:pos="575"/>
        </w:tabs>
        <w:ind w:left="560" w:hanging="560"/>
        <w:jc w:val="both"/>
      </w:pPr>
      <w:r>
        <w:rPr>
          <w:rStyle w:val="Bodytext1"/>
        </w:rPr>
        <w:t xml:space="preserve">Žádná část plateb, které Odběratel přímo či nepřímo obdržel nebo </w:t>
      </w:r>
      <w:proofErr w:type="gramStart"/>
      <w:r>
        <w:rPr>
          <w:rStyle w:val="Bodytext1"/>
        </w:rPr>
        <w:t>obdrží</w:t>
      </w:r>
      <w:proofErr w:type="gramEnd"/>
      <w:r>
        <w:rPr>
          <w:rStyle w:val="Bodytext1"/>
        </w:rPr>
        <w:t xml:space="preserve"> od společnosti Novo </w:t>
      </w:r>
      <w:proofErr w:type="spellStart"/>
      <w:r>
        <w:rPr>
          <w:rStyle w:val="Bodytext1"/>
        </w:rPr>
        <w:t>Nordisk</w:t>
      </w:r>
      <w:proofErr w:type="spellEnd"/>
      <w:r>
        <w:rPr>
          <w:rStyle w:val="Bodytext1"/>
        </w:rPr>
        <w:t xml:space="preserve">, nebude použita k účelu, jímž by došlo k porušení protikorupčních právních předpisů nebo Etického kodexu společnosti Novo </w:t>
      </w:r>
      <w:proofErr w:type="spellStart"/>
      <w:r>
        <w:rPr>
          <w:rStyle w:val="Bodytext1"/>
        </w:rPr>
        <w:t>Nordisk</w:t>
      </w:r>
      <w:proofErr w:type="spellEnd"/>
      <w:r>
        <w:rPr>
          <w:rStyle w:val="Bodytext1"/>
        </w:rPr>
        <w:t>.</w:t>
      </w:r>
    </w:p>
    <w:p w14:paraId="22B821A8" w14:textId="77777777" w:rsidR="00DE22BF" w:rsidRDefault="00000000">
      <w:pPr>
        <w:pStyle w:val="Bodytext10"/>
        <w:numPr>
          <w:ilvl w:val="1"/>
          <w:numId w:val="1"/>
        </w:numPr>
        <w:tabs>
          <w:tab w:val="left" w:pos="575"/>
        </w:tabs>
        <w:ind w:left="560" w:hanging="560"/>
        <w:jc w:val="both"/>
      </w:pPr>
      <w:r>
        <w:rPr>
          <w:rStyle w:val="Bodytext1"/>
        </w:rPr>
        <w:t xml:space="preserve">Odběratel prohlašuje, že má zavedeny odpovídající interní kontrolní mechanismy k zajištění, aby služby dle této </w:t>
      </w:r>
      <w:r>
        <w:rPr>
          <w:rStyle w:val="Bodytext1"/>
        </w:rPr>
        <w:lastRenderedPageBreak/>
        <w:t xml:space="preserve">smlouvy byly v souladu s protikorupčními právními předpisy a Etickým kodexem společnosti Novo </w:t>
      </w:r>
      <w:proofErr w:type="spellStart"/>
      <w:r>
        <w:rPr>
          <w:rStyle w:val="Bodytext1"/>
        </w:rPr>
        <w:t>Nordisk</w:t>
      </w:r>
      <w:proofErr w:type="spellEnd"/>
      <w:r>
        <w:rPr>
          <w:rStyle w:val="Bodytext1"/>
        </w:rPr>
        <w:t>.</w:t>
      </w:r>
    </w:p>
    <w:p w14:paraId="0CEFDCE9" w14:textId="77777777" w:rsidR="00DE22BF" w:rsidRDefault="00000000">
      <w:pPr>
        <w:pStyle w:val="Bodytext10"/>
        <w:numPr>
          <w:ilvl w:val="1"/>
          <w:numId w:val="1"/>
        </w:numPr>
        <w:tabs>
          <w:tab w:val="left" w:pos="575"/>
        </w:tabs>
        <w:ind w:left="560" w:hanging="560"/>
        <w:jc w:val="both"/>
      </w:pPr>
      <w:r>
        <w:rPr>
          <w:rStyle w:val="Bodytext1"/>
        </w:rPr>
        <w:t xml:space="preserve">Na základě požadavku společnosti Novo </w:t>
      </w:r>
      <w:proofErr w:type="spellStart"/>
      <w:r>
        <w:rPr>
          <w:rStyle w:val="Bodytext1"/>
        </w:rPr>
        <w:t>Nordisk</w:t>
      </w:r>
      <w:proofErr w:type="spellEnd"/>
      <w:r>
        <w:rPr>
          <w:rStyle w:val="Bodytext1"/>
        </w:rPr>
        <w:t xml:space="preserve"> zpřístupní Odběratel pro účely auditu renomovaným autorizovaným účetním (dále jen „CPA“) </w:t>
      </w:r>
      <w:proofErr w:type="gramStart"/>
      <w:r>
        <w:rPr>
          <w:rStyle w:val="Bodytext1"/>
        </w:rPr>
        <w:t>určeným společností</w:t>
      </w:r>
      <w:proofErr w:type="gramEnd"/>
      <w:r>
        <w:rPr>
          <w:rStyle w:val="Bodytext1"/>
        </w:rPr>
        <w:t xml:space="preserve"> Novo </w:t>
      </w:r>
      <w:proofErr w:type="spellStart"/>
      <w:r>
        <w:rPr>
          <w:rStyle w:val="Bodytext1"/>
        </w:rPr>
        <w:t>Nordisk</w:t>
      </w:r>
      <w:proofErr w:type="spellEnd"/>
      <w:r>
        <w:rPr>
          <w:rStyle w:val="Bodytext1"/>
        </w:rPr>
        <w:t xml:space="preserve"> veškeré záznamy související s touto Smlouvou, mimo jiné příslušné účetní záznamy, záznamy o transakcích, finanční dokumenty či písemné směrnice a postupy. Odběratel bude výše uvedené záznamy uchovávat po dobu 5 let při uplatnění ustanovení příslušného zákona na ochranu údajů či výslovného zákonného omezení. CPA poskytne společnosti Novo </w:t>
      </w:r>
      <w:proofErr w:type="spellStart"/>
      <w:r>
        <w:rPr>
          <w:rStyle w:val="Bodytext1"/>
        </w:rPr>
        <w:t>Nordisk</w:t>
      </w:r>
      <w:proofErr w:type="spellEnd"/>
      <w:r>
        <w:rPr>
          <w:rStyle w:val="Bodytext1"/>
        </w:rPr>
        <w:t xml:space="preserve"> pouze ty informace získané auditem, které se týkají možného porušení protikorupčních právních předpisů či Etického kodexu společnosti Novo </w:t>
      </w:r>
      <w:proofErr w:type="spellStart"/>
      <w:r>
        <w:rPr>
          <w:rStyle w:val="Bodytext1"/>
        </w:rPr>
        <w:t>Nordisk</w:t>
      </w:r>
      <w:proofErr w:type="spellEnd"/>
      <w:r>
        <w:rPr>
          <w:rStyle w:val="Bodytext1"/>
        </w:rPr>
        <w:t xml:space="preserve">. Veškeré náklady na audit podle tohoto odstavce hradí společnost Novo </w:t>
      </w:r>
      <w:proofErr w:type="spellStart"/>
      <w:r>
        <w:rPr>
          <w:rStyle w:val="Bodytext1"/>
        </w:rPr>
        <w:t>Nordisk</w:t>
      </w:r>
      <w:proofErr w:type="spellEnd"/>
      <w:r>
        <w:rPr>
          <w:rStyle w:val="Bodytext1"/>
        </w:rPr>
        <w:t xml:space="preserve"> s výjimkou případů, kdy audit odhalí porušení protikorupčních právních předpisů či Etického kodexu společnosti Novo </w:t>
      </w:r>
      <w:proofErr w:type="spellStart"/>
      <w:r>
        <w:rPr>
          <w:rStyle w:val="Bodytext1"/>
        </w:rPr>
        <w:t>Nordisk</w:t>
      </w:r>
      <w:proofErr w:type="spellEnd"/>
      <w:r>
        <w:rPr>
          <w:rStyle w:val="Bodytext1"/>
        </w:rPr>
        <w:t>. V takovém případě hradí veškeré náklady na provedený audit Odběratel.</w:t>
      </w:r>
    </w:p>
    <w:p w14:paraId="68FA96EE" w14:textId="77777777" w:rsidR="00DE22BF" w:rsidRDefault="00000000">
      <w:pPr>
        <w:pStyle w:val="Bodytext10"/>
        <w:numPr>
          <w:ilvl w:val="1"/>
          <w:numId w:val="1"/>
        </w:numPr>
        <w:tabs>
          <w:tab w:val="left" w:pos="575"/>
        </w:tabs>
        <w:ind w:left="560" w:hanging="560"/>
        <w:jc w:val="both"/>
      </w:pPr>
      <w:r>
        <w:rPr>
          <w:rStyle w:val="Bodytext1"/>
        </w:rPr>
        <w:t xml:space="preserve">Pokud Odběratel zjistí porušení protikorupčních právních předpisů či Etického kodexu společnosti Novo </w:t>
      </w:r>
      <w:proofErr w:type="spellStart"/>
      <w:r>
        <w:rPr>
          <w:rStyle w:val="Bodytext1"/>
        </w:rPr>
        <w:t>Nordisk</w:t>
      </w:r>
      <w:proofErr w:type="spellEnd"/>
      <w:r>
        <w:rPr>
          <w:rStyle w:val="Bodytext1"/>
        </w:rPr>
        <w:t xml:space="preserve"> v souvislosti s plněním této Smlouvy nebo má podezření na takové porušení, neprodleně o svém zjištění či podezření písemně uvědomí společnost Novo </w:t>
      </w:r>
      <w:proofErr w:type="spellStart"/>
      <w:r>
        <w:rPr>
          <w:rStyle w:val="Bodytext1"/>
        </w:rPr>
        <w:t>Nordisk</w:t>
      </w:r>
      <w:proofErr w:type="spellEnd"/>
      <w:r>
        <w:rPr>
          <w:rStyle w:val="Bodytext1"/>
        </w:rPr>
        <w:t xml:space="preserve">. Odběratel souhlasí s tím, že bude plně spolupracovat na šetření společnosti Novo </w:t>
      </w:r>
      <w:proofErr w:type="spellStart"/>
      <w:r>
        <w:rPr>
          <w:rStyle w:val="Bodytext1"/>
        </w:rPr>
        <w:t>Nordisk</w:t>
      </w:r>
      <w:proofErr w:type="spellEnd"/>
      <w:r>
        <w:rPr>
          <w:rStyle w:val="Bodytext1"/>
        </w:rPr>
        <w:t xml:space="preserve"> za účelem zjištění, zda došlo k porušení. Odběratel souhlasí s tím, že veškeré informace týkající se této Smlouvy včetně její existence a podmínek mohou být poskytnuty státním orgánům a jiným osobám či subjektům, které dle rozhodnutí společnosti Novo </w:t>
      </w:r>
      <w:proofErr w:type="spellStart"/>
      <w:r>
        <w:rPr>
          <w:rStyle w:val="Bodytext1"/>
        </w:rPr>
        <w:t>Nordisk</w:t>
      </w:r>
      <w:proofErr w:type="spellEnd"/>
      <w:r>
        <w:rPr>
          <w:rStyle w:val="Bodytext1"/>
        </w:rPr>
        <w:t xml:space="preserve"> mají legitimní potřebu je znát.</w:t>
      </w:r>
    </w:p>
    <w:p w14:paraId="707D22D1" w14:textId="77777777" w:rsidR="00DE22BF" w:rsidRDefault="00000000">
      <w:pPr>
        <w:pStyle w:val="Bodytext10"/>
        <w:numPr>
          <w:ilvl w:val="1"/>
          <w:numId w:val="1"/>
        </w:numPr>
        <w:tabs>
          <w:tab w:val="left" w:pos="575"/>
        </w:tabs>
        <w:ind w:left="560" w:hanging="560"/>
        <w:jc w:val="both"/>
      </w:pPr>
      <w:r>
        <w:rPr>
          <w:rStyle w:val="Bodytext1"/>
        </w:rPr>
        <w:t xml:space="preserve">Odběratel potvrzuje, že přijal přiměřená opatření k zabránění porušení těchto ustanovení o etice podnikání ze strany subdodavatelů či jiných třetích stran poskytujících služby v souvislosti s touto Smlouvou a jednajících na základě jeho oprávnění a pod jeho vedením. Odběratel nese plnou odpovědnost za činnost a opomenuti těchto subdodavatelů a ochrání a odškodní společnost Novo </w:t>
      </w:r>
      <w:proofErr w:type="spellStart"/>
      <w:r>
        <w:rPr>
          <w:rStyle w:val="Bodytext1"/>
        </w:rPr>
        <w:t>Nordisk</w:t>
      </w:r>
      <w:proofErr w:type="spellEnd"/>
      <w:r>
        <w:rPr>
          <w:rStyle w:val="Bodytext1"/>
        </w:rPr>
        <w:t xml:space="preserve"> proti veškerým nárokům, výdajům (včetně právních nákladů a výdajů), ztrátám, škodám či odpovědnostem, které by mohly vzniknout činností či opomenutím těchto subdodavatelů.</w:t>
      </w:r>
    </w:p>
    <w:p w14:paraId="0BAD9D85" w14:textId="77777777" w:rsidR="00DE22BF" w:rsidRDefault="00000000">
      <w:pPr>
        <w:pStyle w:val="Bodytext10"/>
        <w:numPr>
          <w:ilvl w:val="0"/>
          <w:numId w:val="1"/>
        </w:numPr>
        <w:tabs>
          <w:tab w:val="left" w:pos="353"/>
        </w:tabs>
        <w:spacing w:line="252" w:lineRule="auto"/>
        <w:jc w:val="center"/>
        <w:rPr>
          <w:sz w:val="19"/>
          <w:szCs w:val="19"/>
        </w:rPr>
      </w:pPr>
      <w:r>
        <w:rPr>
          <w:rStyle w:val="Bodytext1"/>
          <w:b/>
          <w:bCs/>
          <w:sz w:val="19"/>
          <w:szCs w:val="19"/>
        </w:rPr>
        <w:t>Trvání Smlouvy</w:t>
      </w:r>
    </w:p>
    <w:p w14:paraId="1E80B8E2" w14:textId="77777777" w:rsidR="00DE22BF" w:rsidRDefault="00000000">
      <w:pPr>
        <w:pStyle w:val="Bodytext10"/>
        <w:numPr>
          <w:ilvl w:val="1"/>
          <w:numId w:val="1"/>
        </w:numPr>
        <w:tabs>
          <w:tab w:val="left" w:pos="575"/>
        </w:tabs>
        <w:jc w:val="both"/>
      </w:pPr>
      <w:r>
        <w:rPr>
          <w:rStyle w:val="Bodytext1"/>
        </w:rPr>
        <w:t>Tato Smlouva se uzavírá na dobu neurčitou.</w:t>
      </w:r>
    </w:p>
    <w:p w14:paraId="4B41671B" w14:textId="77777777" w:rsidR="00DE22BF" w:rsidRDefault="00000000">
      <w:pPr>
        <w:pStyle w:val="Bodytext10"/>
        <w:numPr>
          <w:ilvl w:val="1"/>
          <w:numId w:val="1"/>
        </w:numPr>
        <w:tabs>
          <w:tab w:val="left" w:pos="575"/>
        </w:tabs>
        <w:ind w:left="560" w:hanging="560"/>
        <w:jc w:val="both"/>
      </w:pPr>
      <w:r>
        <w:rPr>
          <w:rStyle w:val="Bodytext1"/>
        </w:rPr>
        <w:t>Každá Strana může tuto Smlouvu ukončit jednostranně písemnou výpovědí doručenou druhé Straně i bez uvedení důvodu. Výpovědní doba činí 3 měsíce a počíná běžet prvním dnem měsíce následujícího po doručení výpovědi druhé Straně.</w:t>
      </w:r>
    </w:p>
    <w:p w14:paraId="271D48B5" w14:textId="77777777" w:rsidR="00DE22BF" w:rsidRDefault="00000000">
      <w:pPr>
        <w:pStyle w:val="Bodytext10"/>
        <w:numPr>
          <w:ilvl w:val="1"/>
          <w:numId w:val="1"/>
        </w:numPr>
        <w:tabs>
          <w:tab w:val="left" w:pos="575"/>
        </w:tabs>
        <w:ind w:left="560" w:hanging="560"/>
        <w:jc w:val="both"/>
      </w:pPr>
      <w:r>
        <w:rPr>
          <w:rStyle w:val="Bodytext1"/>
        </w:rPr>
        <w:t>Dodavatel je oprávněn odstoupit od této Smlouvy s okamžitou účinností písemným oznámením doručeným Odběrateli v případě porušení článku 2, 3 nebo 5 této Smlouvy ze strany Odběratele nebo v případě porušení jakéhokoliv prohlášení či záruky Odběratele dle této Smlouvy nebo z důvodů stanovených zákonem. V takovém případě je Odběratel povinen veškeré finanční prostředky, které mu byly dle této Smlouvy vyplaceny na Bonus nebo jeho dílčí splátku, vyplatit Dodavateli, a to nejpozději do 15 dnů ode dne, kdy mu bylo doručeno oznámení o odstoupení od této Smlouvy učiněné Dodavatelem.</w:t>
      </w:r>
    </w:p>
    <w:p w14:paraId="297B0FB0" w14:textId="77777777" w:rsidR="00DE22BF" w:rsidRDefault="00000000">
      <w:pPr>
        <w:pStyle w:val="Bodytext10"/>
        <w:numPr>
          <w:ilvl w:val="0"/>
          <w:numId w:val="1"/>
        </w:numPr>
        <w:tabs>
          <w:tab w:val="left" w:pos="353"/>
        </w:tabs>
        <w:spacing w:line="252" w:lineRule="auto"/>
        <w:jc w:val="center"/>
        <w:rPr>
          <w:sz w:val="19"/>
          <w:szCs w:val="19"/>
        </w:rPr>
      </w:pPr>
      <w:r>
        <w:rPr>
          <w:rStyle w:val="Bodytext1"/>
          <w:b/>
          <w:bCs/>
          <w:sz w:val="19"/>
          <w:szCs w:val="19"/>
        </w:rPr>
        <w:t>Povinnost mlčenlivosti a obchodní tajemství</w:t>
      </w:r>
    </w:p>
    <w:p w14:paraId="711594CC" w14:textId="77777777" w:rsidR="00DE22BF" w:rsidRDefault="00000000">
      <w:pPr>
        <w:pStyle w:val="Bodytext10"/>
        <w:numPr>
          <w:ilvl w:val="1"/>
          <w:numId w:val="1"/>
        </w:numPr>
        <w:tabs>
          <w:tab w:val="left" w:pos="575"/>
        </w:tabs>
        <w:spacing w:after="0"/>
        <w:ind w:left="560" w:hanging="560"/>
        <w:jc w:val="both"/>
      </w:pPr>
      <w:r>
        <w:rPr>
          <w:rStyle w:val="Bodytext1"/>
        </w:rPr>
        <w:t>Strany se dohodly, že budou zachovávat mlčenlivost o obsahu této Smlouvy, jakož i ohledně informací vztahujících se k této Smlouvě či jakkoliv souvisejících s předmětem této Smlouvy a informací týkajících se jejich vzájemných obchodních vztahů, a že bez předchozího písemného souhlasu druhé Strany nezveřejní či jiným způsobem nezpřístupní třetím osobám podmínky této spolupráce ani jiné informace o vzájemných obchodních vztazích, a to i po skončení či zániku této spolupráce; tím není dotčeno právo Strany zpřístupnit obsah této Smlouvy a informace týkající se spolupráce Stran svým zaměstnancům, společníkům, akcionářům a odborným poradcům v rozsahu, ve kterém se s těmito informacemi potřebují seznámit v souvislosti s plněním svých úkolů v rámci této spolupráce, pokud jsou vázáni povinností mlčenlivosti minimálně v rozsahu stanoveném touto Smlouvou. Toto omezeni se nevztahuje na informace, které:</w:t>
      </w:r>
    </w:p>
    <w:p w14:paraId="63FA4959" w14:textId="77777777" w:rsidR="00DE22BF" w:rsidRDefault="00000000">
      <w:pPr>
        <w:pStyle w:val="Bodytext10"/>
        <w:numPr>
          <w:ilvl w:val="0"/>
          <w:numId w:val="3"/>
        </w:numPr>
        <w:tabs>
          <w:tab w:val="left" w:pos="1366"/>
        </w:tabs>
        <w:spacing w:after="0"/>
        <w:ind w:firstLine="560"/>
        <w:jc w:val="both"/>
      </w:pPr>
      <w:r>
        <w:rPr>
          <w:rStyle w:val="Bodytext1"/>
        </w:rPr>
        <w:t>jsou veřejně známé;</w:t>
      </w:r>
    </w:p>
    <w:p w14:paraId="13DCC343" w14:textId="77777777" w:rsidR="00DE22BF" w:rsidRDefault="00000000">
      <w:pPr>
        <w:pStyle w:val="Bodytext10"/>
        <w:numPr>
          <w:ilvl w:val="0"/>
          <w:numId w:val="3"/>
        </w:numPr>
        <w:tabs>
          <w:tab w:val="left" w:pos="1366"/>
        </w:tabs>
        <w:spacing w:after="0"/>
        <w:ind w:firstLine="560"/>
      </w:pPr>
      <w:r>
        <w:rPr>
          <w:rStyle w:val="Bodytext1"/>
        </w:rPr>
        <w:t>se stanou veřejně známými (jinak než z důvodu porušení ustanovení této Smlouvy);</w:t>
      </w:r>
    </w:p>
    <w:p w14:paraId="173B9259" w14:textId="77777777" w:rsidR="00DE22BF" w:rsidRDefault="00000000">
      <w:pPr>
        <w:pStyle w:val="Bodytext10"/>
        <w:numPr>
          <w:ilvl w:val="0"/>
          <w:numId w:val="3"/>
        </w:numPr>
        <w:tabs>
          <w:tab w:val="left" w:pos="1366"/>
        </w:tabs>
        <w:spacing w:after="0"/>
        <w:ind w:firstLine="560"/>
      </w:pPr>
      <w:r>
        <w:rPr>
          <w:rStyle w:val="Bodytext1"/>
        </w:rPr>
        <w:t>jsou oprávněné k dispozici druhé Straně před jejich poskytnutím takové Straně;</w:t>
      </w:r>
    </w:p>
    <w:p w14:paraId="636A0BDD" w14:textId="77777777" w:rsidR="00DE22BF" w:rsidRDefault="00000000">
      <w:pPr>
        <w:pStyle w:val="Bodytext10"/>
        <w:numPr>
          <w:ilvl w:val="0"/>
          <w:numId w:val="3"/>
        </w:numPr>
        <w:tabs>
          <w:tab w:val="left" w:pos="1366"/>
        </w:tabs>
        <w:ind w:firstLine="560"/>
      </w:pPr>
      <w:r>
        <w:rPr>
          <w:rStyle w:val="Bodytext1"/>
        </w:rPr>
        <w:t>Strana získá od třetí osoby, která není zavázána k zachovávání mlčenlivosti.</w:t>
      </w:r>
    </w:p>
    <w:p w14:paraId="76560B94" w14:textId="77777777" w:rsidR="00DE22BF" w:rsidRDefault="00000000">
      <w:pPr>
        <w:pStyle w:val="Bodytext10"/>
        <w:numPr>
          <w:ilvl w:val="1"/>
          <w:numId w:val="1"/>
        </w:numPr>
        <w:tabs>
          <w:tab w:val="left" w:pos="569"/>
        </w:tabs>
        <w:ind w:left="560" w:hanging="560"/>
        <w:jc w:val="both"/>
      </w:pPr>
      <w:r>
        <w:rPr>
          <w:rStyle w:val="Bodytext1"/>
        </w:rPr>
        <w:t>Dodavatel uvádí, že informace o Zboží a jeho specifikace, jakož i informace o podmínkách vzniku nároku na Bonus a jeho dílčí splátku a způsobu výpočtu obratu a výše Bonusu a jeho dílčí splátky, včetně bonusového schématu uvedeného v příslušné příloze, považuje za součást svého obchodního tajemství ve smyslu § 504 Občanského zákoníku a jako takové je chrání, neboť všeobecný přístup k těmto informacím může mít podstatný dopad na ekonomické výsledky a tržní postavení Dodavatele.</w:t>
      </w:r>
    </w:p>
    <w:p w14:paraId="5E0714FD" w14:textId="77777777" w:rsidR="00DE22BF" w:rsidRDefault="00000000">
      <w:pPr>
        <w:pStyle w:val="Bodytext10"/>
        <w:numPr>
          <w:ilvl w:val="1"/>
          <w:numId w:val="1"/>
        </w:numPr>
        <w:tabs>
          <w:tab w:val="left" w:pos="569"/>
        </w:tabs>
        <w:ind w:left="560" w:hanging="560"/>
        <w:jc w:val="both"/>
      </w:pPr>
      <w:r>
        <w:rPr>
          <w:rStyle w:val="Bodytext1"/>
        </w:rPr>
        <w:t xml:space="preserve">Odběratel se zavazuje, že bez předchozího písemného souhlasu Dodavatele nezveřejní ani jiným způsobem nezpřístupní třetím osobám informace o skutečnostech, které jsou obchodním tajemstvím Dodavatele, a to ani po skončení či zániku této spolupráce, a to s výjimkou případů, kdy je poskytnutí takových informací vyžadováno </w:t>
      </w:r>
      <w:r>
        <w:rPr>
          <w:rStyle w:val="Bodytext1"/>
        </w:rPr>
        <w:lastRenderedPageBreak/>
        <w:t>právními předpisy včetně příslušných Příkazů ministra; v takovém případě budou předmětné informace poskytnuty pouze v nezbytném rozsahu.</w:t>
      </w:r>
    </w:p>
    <w:p w14:paraId="50BD2139" w14:textId="77777777" w:rsidR="00DE22BF" w:rsidRDefault="00000000">
      <w:pPr>
        <w:pStyle w:val="Bodytext10"/>
        <w:numPr>
          <w:ilvl w:val="0"/>
          <w:numId w:val="1"/>
        </w:numPr>
        <w:tabs>
          <w:tab w:val="left" w:pos="353"/>
        </w:tabs>
        <w:spacing w:line="252" w:lineRule="auto"/>
        <w:jc w:val="center"/>
        <w:rPr>
          <w:sz w:val="19"/>
          <w:szCs w:val="19"/>
        </w:rPr>
      </w:pPr>
      <w:r>
        <w:rPr>
          <w:rStyle w:val="Bodytext1"/>
          <w:b/>
          <w:bCs/>
          <w:sz w:val="19"/>
          <w:szCs w:val="19"/>
        </w:rPr>
        <w:t>Závěrečná ustanovení</w:t>
      </w:r>
    </w:p>
    <w:p w14:paraId="02B07675" w14:textId="77777777" w:rsidR="00DE22BF" w:rsidRDefault="00000000">
      <w:pPr>
        <w:pStyle w:val="Bodytext10"/>
        <w:numPr>
          <w:ilvl w:val="1"/>
          <w:numId w:val="1"/>
        </w:numPr>
        <w:tabs>
          <w:tab w:val="left" w:pos="569"/>
        </w:tabs>
        <w:ind w:left="560" w:hanging="560"/>
        <w:jc w:val="both"/>
      </w:pPr>
      <w:r>
        <w:rPr>
          <w:rStyle w:val="Bodytext1"/>
        </w:rPr>
        <w:t xml:space="preserve">Tato Smlouva nabývá platnosti a účinnosti okamžikem jejího podpisu oprávněnými zástupci obou Stran. Je-li však uveřejnění této Smlouvy v registru smluv povinné dle zákona, č. 340/2015 Sb., o registru smluv, ve znění pozdějších předpisů (dále jen </w:t>
      </w:r>
      <w:r>
        <w:rPr>
          <w:rStyle w:val="Bodytext1"/>
          <w:b/>
          <w:bCs/>
          <w:sz w:val="19"/>
          <w:szCs w:val="19"/>
        </w:rPr>
        <w:t xml:space="preserve">„Zákon o registru smluv“), </w:t>
      </w:r>
      <w:r>
        <w:rPr>
          <w:rStyle w:val="Bodytext1"/>
        </w:rPr>
        <w:t>nabývá tato Smlouva účinnosti dnem jejího uveřejnění v registru smluv.</w:t>
      </w:r>
    </w:p>
    <w:p w14:paraId="46BD0573" w14:textId="77777777" w:rsidR="00DE22BF" w:rsidRDefault="00000000">
      <w:pPr>
        <w:pStyle w:val="Bodytext10"/>
        <w:numPr>
          <w:ilvl w:val="1"/>
          <w:numId w:val="1"/>
        </w:numPr>
        <w:tabs>
          <w:tab w:val="left" w:pos="569"/>
        </w:tabs>
        <w:ind w:left="560" w:hanging="560"/>
        <w:jc w:val="both"/>
      </w:pPr>
      <w:r>
        <w:rPr>
          <w:rStyle w:val="Bodytext1"/>
        </w:rPr>
        <w:t xml:space="preserve">V případě, že má být tato Smlouva uveřejněna v registru smluv podle Zákona o registru smluv, zavazuje se zajistit její uveřejnění Odběratel, a to až poté, co ve verzi Smlouvy určené k uveřejnění znečitelní informace, které jsou v souladu se Zákonem o registru smluv vyloučeny z uveřejnění, včetně informací tvořících obchodní tajemství dodavatele podle odstavce 5.2 této Smlouvy, a poté, co příslušná metadata </w:t>
      </w:r>
      <w:proofErr w:type="gramStart"/>
      <w:r>
        <w:rPr>
          <w:rStyle w:val="Bodytext1"/>
        </w:rPr>
        <w:t>označí</w:t>
      </w:r>
      <w:proofErr w:type="gramEnd"/>
      <w:r>
        <w:rPr>
          <w:rStyle w:val="Bodytext1"/>
        </w:rPr>
        <w:t xml:space="preserve"> jako metadata vyloučená z uveřejnění.</w:t>
      </w:r>
    </w:p>
    <w:p w14:paraId="5C86E74B" w14:textId="77777777" w:rsidR="00DE22BF" w:rsidRDefault="00000000">
      <w:pPr>
        <w:pStyle w:val="Bodytext10"/>
        <w:numPr>
          <w:ilvl w:val="1"/>
          <w:numId w:val="1"/>
        </w:numPr>
        <w:tabs>
          <w:tab w:val="left" w:pos="569"/>
        </w:tabs>
        <w:ind w:left="560" w:hanging="560"/>
        <w:jc w:val="both"/>
      </w:pPr>
      <w:r>
        <w:rPr>
          <w:rStyle w:val="Bodytext1"/>
        </w:rPr>
        <w:t>Pro vyloučení pochybností Strany prohlašují, že porušením povinnosti mlčenlivosti není uveřejnění této Smlouvy v registru smluv, pokud je uskutečněno v souladu s příslušnými právními předpisy a odstavcem 6.2 výše.</w:t>
      </w:r>
    </w:p>
    <w:p w14:paraId="3E6402E9" w14:textId="77777777" w:rsidR="00DE22BF" w:rsidRDefault="00000000">
      <w:pPr>
        <w:pStyle w:val="Bodytext10"/>
        <w:numPr>
          <w:ilvl w:val="1"/>
          <w:numId w:val="1"/>
        </w:numPr>
        <w:tabs>
          <w:tab w:val="left" w:pos="569"/>
        </w:tabs>
        <w:ind w:left="560" w:hanging="560"/>
        <w:jc w:val="both"/>
      </w:pPr>
      <w:r>
        <w:rPr>
          <w:rStyle w:val="Bodytext1"/>
        </w:rPr>
        <w:t xml:space="preserve">Pokud tato Smlouva </w:t>
      </w:r>
      <w:proofErr w:type="gramStart"/>
      <w:r>
        <w:rPr>
          <w:rStyle w:val="Bodytext1"/>
        </w:rPr>
        <w:t>nabyde</w:t>
      </w:r>
      <w:proofErr w:type="gramEnd"/>
      <w:r>
        <w:rPr>
          <w:rStyle w:val="Bodytext1"/>
        </w:rPr>
        <w:t xml:space="preserve"> účinnosti až po započetí referenčního období podle odstavce 1.5 této Smlouvy, použijí se pro účely výpočtu Bonusu podle této Smlouvy také odběry Zboží učiněné Odběratelem od započetí referenčního období do okamžiku nabytí účinnosti této Smlouvy.</w:t>
      </w:r>
    </w:p>
    <w:p w14:paraId="1DD0763E" w14:textId="77777777" w:rsidR="00DE22BF" w:rsidRDefault="00000000">
      <w:pPr>
        <w:pStyle w:val="Bodytext10"/>
        <w:numPr>
          <w:ilvl w:val="1"/>
          <w:numId w:val="1"/>
        </w:numPr>
        <w:tabs>
          <w:tab w:val="left" w:pos="569"/>
        </w:tabs>
        <w:ind w:left="560" w:hanging="560"/>
        <w:jc w:val="both"/>
      </w:pPr>
      <w:r>
        <w:rPr>
          <w:rStyle w:val="Bodytext1"/>
        </w:rPr>
        <w:t>Odběratel není oprávněn postoupit tuto Smlouvu ani žádná práva z ní vyplývající na třetí osobu bez předchozího výslovného souhlasu Dodavatele.</w:t>
      </w:r>
    </w:p>
    <w:p w14:paraId="6154FAF1" w14:textId="77777777" w:rsidR="00DE22BF" w:rsidRDefault="00000000">
      <w:pPr>
        <w:pStyle w:val="Bodytext10"/>
        <w:numPr>
          <w:ilvl w:val="1"/>
          <w:numId w:val="1"/>
        </w:numPr>
        <w:tabs>
          <w:tab w:val="left" w:pos="569"/>
        </w:tabs>
        <w:ind w:left="560" w:hanging="560"/>
        <w:jc w:val="both"/>
      </w:pPr>
      <w:r>
        <w:rPr>
          <w:rStyle w:val="Bodytext1"/>
        </w:rPr>
        <w:t>Tato Smlouva představuje úplné ujednání mezi Stranami o předmětu této Smlouvy a nahrazuje všechny případné předchozí ústní i písemné dohody a ujednání vztahující se k předmětu této Smlouvy.</w:t>
      </w:r>
    </w:p>
    <w:p w14:paraId="142BE843" w14:textId="77777777" w:rsidR="00DE22BF" w:rsidRDefault="00000000">
      <w:pPr>
        <w:pStyle w:val="Bodytext10"/>
        <w:numPr>
          <w:ilvl w:val="1"/>
          <w:numId w:val="1"/>
        </w:numPr>
        <w:tabs>
          <w:tab w:val="left" w:pos="569"/>
        </w:tabs>
        <w:ind w:left="560" w:hanging="560"/>
        <w:jc w:val="both"/>
      </w:pPr>
      <w:r>
        <w:rPr>
          <w:rStyle w:val="Bodytext1"/>
        </w:rPr>
        <w:t>Tuto Smlouvu lze měnit či doplňovat pouze písemnými dodatky, podepsanými oběma Stranami. Pro účely tohoto odstavce se za písemnou formu nepovažuje výměna e-mailových zpráv.</w:t>
      </w:r>
    </w:p>
    <w:p w14:paraId="737A1DB7" w14:textId="77777777" w:rsidR="00DE22BF" w:rsidRDefault="00000000">
      <w:pPr>
        <w:pStyle w:val="Bodytext10"/>
        <w:numPr>
          <w:ilvl w:val="1"/>
          <w:numId w:val="1"/>
        </w:numPr>
        <w:tabs>
          <w:tab w:val="left" w:pos="569"/>
        </w:tabs>
      </w:pPr>
      <w:r>
        <w:rPr>
          <w:rStyle w:val="Bodytext1"/>
        </w:rPr>
        <w:t>Tato Smlouva je vypracována ve dvou vyhotoveních, z nichž jedno náleží každé Straně.</w:t>
      </w:r>
    </w:p>
    <w:p w14:paraId="2ED2EB58" w14:textId="77777777" w:rsidR="00DE22BF" w:rsidRDefault="00000000">
      <w:pPr>
        <w:pStyle w:val="Bodytext10"/>
        <w:numPr>
          <w:ilvl w:val="1"/>
          <w:numId w:val="1"/>
        </w:numPr>
        <w:tabs>
          <w:tab w:val="left" w:pos="569"/>
        </w:tabs>
        <w:ind w:left="560" w:hanging="560"/>
        <w:jc w:val="both"/>
      </w:pPr>
      <w:r>
        <w:rPr>
          <w:rStyle w:val="Bodytext1"/>
        </w:rPr>
        <w:t>Tato Smlouva se řídí českým právním řádem, zejména Občanským zákoníkem. Strany se zavazují, že veškeré spory vzniklé v souvislosti s touto Smlouvou budou řešit smírně dohodou. Pokud by taková dohoda nebyla možná, budou spory předloženy věcně a místně příslušnému soudu v souladu s platnými právními předpisy.</w:t>
      </w:r>
    </w:p>
    <w:p w14:paraId="6C9B5E2A" w14:textId="77777777" w:rsidR="00DE22BF" w:rsidRDefault="00000000">
      <w:pPr>
        <w:pStyle w:val="Bodytext10"/>
        <w:numPr>
          <w:ilvl w:val="1"/>
          <w:numId w:val="1"/>
        </w:numPr>
        <w:tabs>
          <w:tab w:val="left" w:pos="569"/>
        </w:tabs>
        <w:ind w:left="560" w:hanging="560"/>
        <w:jc w:val="both"/>
      </w:pPr>
      <w:r>
        <w:rPr>
          <w:rStyle w:val="Bodytext1"/>
        </w:rPr>
        <w:t xml:space="preserve">Nedílnou součástí této Smlouvy je i její Příloha 1 (Seznam </w:t>
      </w:r>
      <w:proofErr w:type="spellStart"/>
      <w:r>
        <w:rPr>
          <w:rStyle w:val="Bodytext1"/>
        </w:rPr>
        <w:t>bonusovaného</w:t>
      </w:r>
      <w:proofErr w:type="spellEnd"/>
      <w:r>
        <w:rPr>
          <w:rStyle w:val="Bodytext1"/>
        </w:rPr>
        <w:t xml:space="preserve"> portfolia), Příloha 2 (Vzorec pro výpočet </w:t>
      </w:r>
      <w:proofErr w:type="gramStart"/>
      <w:r>
        <w:rPr>
          <w:rStyle w:val="Bodytext1"/>
        </w:rPr>
        <w:t>Bonusu )</w:t>
      </w:r>
      <w:proofErr w:type="gramEnd"/>
      <w:r>
        <w:rPr>
          <w:rStyle w:val="Bodytext1"/>
        </w:rPr>
        <w:t xml:space="preserve"> a Příloha 3 (Seznam zákaznických čísel).</w:t>
      </w:r>
      <w:r>
        <w:br w:type="page"/>
      </w:r>
    </w:p>
    <w:p w14:paraId="1F78713D" w14:textId="77777777" w:rsidR="00DE22BF" w:rsidRDefault="00000000">
      <w:pPr>
        <w:pStyle w:val="Bodytext10"/>
        <w:numPr>
          <w:ilvl w:val="1"/>
          <w:numId w:val="1"/>
        </w:numPr>
        <w:tabs>
          <w:tab w:val="left" w:pos="569"/>
        </w:tabs>
        <w:spacing w:after="920"/>
        <w:ind w:left="600" w:hanging="600"/>
        <w:jc w:val="both"/>
      </w:pPr>
      <w:r>
        <w:rPr>
          <w:rStyle w:val="Bodytext1"/>
        </w:rPr>
        <w:lastRenderedPageBreak/>
        <w:t>Strany prohlašují, že si tuto Smlouvu před jejím podpisem přečetly, že byla ujednána podle jejich pravé a svobodné vůle, určitě, vážné a srozumitelně. Autentičnost této Smlouvy Strany potvrzují svým podpisem.</w:t>
      </w:r>
    </w:p>
    <w:p w14:paraId="2D2CE3EE" w14:textId="01EAE4FE" w:rsidR="00DE22BF" w:rsidRDefault="00000000" w:rsidP="006F4D8A">
      <w:pPr>
        <w:pStyle w:val="Bodytext10"/>
        <w:spacing w:after="360"/>
        <w:jc w:val="center"/>
        <w:sectPr w:rsidR="00DE22BF" w:rsidSect="007969DE">
          <w:footerReference w:type="default" r:id="rId7"/>
          <w:pgSz w:w="11900" w:h="16840"/>
          <w:pgMar w:top="804" w:right="181" w:bottom="816" w:left="1229" w:header="376"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0AC6F511" wp14:editId="0DB454E3">
                <wp:simplePos x="0" y="0"/>
                <wp:positionH relativeFrom="page">
                  <wp:posOffset>798830</wp:posOffset>
                </wp:positionH>
                <wp:positionV relativeFrom="margin">
                  <wp:posOffset>1219200</wp:posOffset>
                </wp:positionV>
                <wp:extent cx="754380" cy="1873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54380" cy="187325"/>
                        </a:xfrm>
                        <a:prstGeom prst="rect">
                          <a:avLst/>
                        </a:prstGeom>
                        <a:noFill/>
                      </wps:spPr>
                      <wps:txbx>
                        <w:txbxContent>
                          <w:p w14:paraId="4E7456CE" w14:textId="77777777" w:rsidR="00DE22BF" w:rsidRDefault="00000000">
                            <w:pPr>
                              <w:pStyle w:val="Bodytext10"/>
                              <w:spacing w:after="0"/>
                            </w:pPr>
                            <w:r>
                              <w:rPr>
                                <w:rStyle w:val="Bodytext1"/>
                              </w:rPr>
                              <w:t>V Praze dne</w:t>
                            </w:r>
                          </w:p>
                        </w:txbxContent>
                      </wps:txbx>
                      <wps:bodyPr wrap="none" lIns="0" tIns="0" rIns="0" bIns="0"/>
                    </wps:wsp>
                  </a:graphicData>
                </a:graphic>
              </wp:anchor>
            </w:drawing>
          </mc:Choice>
          <mc:Fallback>
            <w:pict>
              <v:shapetype w14:anchorId="0AC6F511" id="_x0000_t202" coordsize="21600,21600" o:spt="202" path="m,l,21600r21600,l21600,xe">
                <v:stroke joinstyle="miter"/>
                <v:path gradientshapeok="t" o:connecttype="rect"/>
              </v:shapetype>
              <v:shape id="Shape 1" o:spid="_x0000_s1026" type="#_x0000_t202" style="position:absolute;left:0;text-align:left;margin-left:62.9pt;margin-top:96pt;width:59.4pt;height:14.75pt;z-index:125829378;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" filled="f" stroked="f">
                <v:textbox inset="0,0,0,0">
                  <w:txbxContent>
                    <w:p w14:paraId="4E7456CE" w14:textId="77777777" w:rsidR="00DE22BF" w:rsidRDefault="00000000">
                      <w:pPr>
                        <w:pStyle w:val="Bodytext10"/>
                        <w:spacing w:after="0"/>
                      </w:pPr>
                      <w:r>
                        <w:rPr>
                          <w:rStyle w:val="Bodytext1"/>
                        </w:rPr>
                        <w:t>V Praze dne</w:t>
                      </w:r>
                    </w:p>
                  </w:txbxContent>
                </v:textbox>
                <w10:wrap type="square" side="right" anchorx="page" anchory="margin"/>
              </v:shape>
            </w:pict>
          </mc:Fallback>
        </mc:AlternateContent>
      </w:r>
      <w:r>
        <w:rPr>
          <w:rStyle w:val="Bodytext1"/>
        </w:rPr>
        <w:t>V</w:t>
      </w:r>
    </w:p>
    <w:p w14:paraId="2E30DE87" w14:textId="77777777" w:rsidR="00DE22BF" w:rsidRDefault="00000000">
      <w:pPr>
        <w:pStyle w:val="Bodytext10"/>
        <w:spacing w:after="0"/>
        <w:jc w:val="center"/>
        <w:rPr>
          <w:sz w:val="19"/>
          <w:szCs w:val="19"/>
        </w:rPr>
      </w:pPr>
      <w:r>
        <w:rPr>
          <w:rStyle w:val="Bodytext1"/>
          <w:b/>
          <w:bCs/>
          <w:sz w:val="19"/>
          <w:szCs w:val="19"/>
        </w:rPr>
        <w:lastRenderedPageBreak/>
        <w:t>PŘÍLOHA 1</w:t>
      </w:r>
    </w:p>
    <w:p w14:paraId="23D5BC4F" w14:textId="77777777" w:rsidR="00DE22BF" w:rsidRDefault="00000000">
      <w:pPr>
        <w:pStyle w:val="Bodytext10"/>
        <w:spacing w:after="1120"/>
        <w:jc w:val="center"/>
      </w:pPr>
      <w:r>
        <w:rPr>
          <w:rStyle w:val="Bodytext1"/>
        </w:rPr>
        <w:t xml:space="preserve">Seznam </w:t>
      </w:r>
      <w:proofErr w:type="spellStart"/>
      <w:r>
        <w:rPr>
          <w:rStyle w:val="Bodytext1"/>
        </w:rPr>
        <w:t>bonusovaného</w:t>
      </w:r>
      <w:proofErr w:type="spellEnd"/>
      <w:r>
        <w:rPr>
          <w:rStyle w:val="Bodytext1"/>
        </w:rPr>
        <w:t xml:space="preserve"> portfolia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6"/>
        <w:gridCol w:w="1325"/>
        <w:gridCol w:w="3334"/>
      </w:tblGrid>
      <w:tr w:rsidR="00DE22BF" w14:paraId="5B32CB37" w14:textId="77777777">
        <w:tblPrEx>
          <w:tblCellMar>
            <w:top w:w="0" w:type="dxa"/>
            <w:bottom w:w="0" w:type="dxa"/>
          </w:tblCellMar>
        </w:tblPrEx>
        <w:trPr>
          <w:trHeight w:hRule="exact" w:val="511"/>
          <w:jc w:val="center"/>
        </w:trPr>
        <w:tc>
          <w:tcPr>
            <w:tcW w:w="1116" w:type="dxa"/>
            <w:tcBorders>
              <w:top w:val="single" w:sz="4" w:space="0" w:color="auto"/>
              <w:left w:val="single" w:sz="4" w:space="0" w:color="auto"/>
            </w:tcBorders>
            <w:shd w:val="clear" w:color="auto" w:fill="auto"/>
            <w:vAlign w:val="bottom"/>
          </w:tcPr>
          <w:p w14:paraId="59A5DF51" w14:textId="77777777" w:rsidR="00DE22BF" w:rsidRDefault="00000000">
            <w:pPr>
              <w:pStyle w:val="Other10"/>
              <w:spacing w:after="0"/>
              <w:ind w:firstLine="140"/>
              <w:rPr>
                <w:sz w:val="22"/>
                <w:szCs w:val="22"/>
              </w:rPr>
            </w:pPr>
            <w:r>
              <w:rPr>
                <w:rStyle w:val="Other1"/>
                <w:b/>
                <w:bCs/>
                <w:sz w:val="22"/>
                <w:szCs w:val="22"/>
              </w:rPr>
              <w:t>SUKLID</w:t>
            </w:r>
          </w:p>
        </w:tc>
        <w:tc>
          <w:tcPr>
            <w:tcW w:w="1325" w:type="dxa"/>
            <w:tcBorders>
              <w:top w:val="single" w:sz="4" w:space="0" w:color="auto"/>
              <w:left w:val="single" w:sz="4" w:space="0" w:color="auto"/>
            </w:tcBorders>
            <w:shd w:val="clear" w:color="auto" w:fill="auto"/>
            <w:vAlign w:val="bottom"/>
          </w:tcPr>
          <w:p w14:paraId="4B74FE3E" w14:textId="77777777" w:rsidR="00DE22BF" w:rsidRDefault="00000000">
            <w:pPr>
              <w:pStyle w:val="Other10"/>
              <w:spacing w:after="0"/>
              <w:ind w:firstLine="240"/>
              <w:rPr>
                <w:sz w:val="22"/>
                <w:szCs w:val="22"/>
              </w:rPr>
            </w:pPr>
            <w:proofErr w:type="spellStart"/>
            <w:r>
              <w:rPr>
                <w:rStyle w:val="Other1"/>
                <w:b/>
                <w:bCs/>
                <w:sz w:val="22"/>
                <w:szCs w:val="22"/>
              </w:rPr>
              <w:t>Product</w:t>
            </w:r>
            <w:proofErr w:type="spellEnd"/>
          </w:p>
        </w:tc>
        <w:tc>
          <w:tcPr>
            <w:tcW w:w="3334" w:type="dxa"/>
            <w:tcBorders>
              <w:top w:val="single" w:sz="4" w:space="0" w:color="auto"/>
              <w:left w:val="single" w:sz="4" w:space="0" w:color="auto"/>
              <w:right w:val="single" w:sz="4" w:space="0" w:color="auto"/>
            </w:tcBorders>
            <w:shd w:val="clear" w:color="auto" w:fill="auto"/>
            <w:vAlign w:val="bottom"/>
          </w:tcPr>
          <w:p w14:paraId="624A65DD" w14:textId="77777777" w:rsidR="00DE22BF" w:rsidRDefault="00000000">
            <w:pPr>
              <w:pStyle w:val="Other10"/>
              <w:spacing w:after="0"/>
              <w:jc w:val="center"/>
              <w:rPr>
                <w:sz w:val="22"/>
                <w:szCs w:val="22"/>
              </w:rPr>
            </w:pPr>
            <w:proofErr w:type="spellStart"/>
            <w:r>
              <w:rPr>
                <w:rStyle w:val="Other1"/>
                <w:b/>
                <w:bCs/>
                <w:sz w:val="22"/>
                <w:szCs w:val="22"/>
              </w:rPr>
              <w:t>add</w:t>
            </w:r>
            <w:proofErr w:type="spellEnd"/>
          </w:p>
        </w:tc>
      </w:tr>
      <w:tr w:rsidR="00DE22BF" w14:paraId="729B0AB7" w14:textId="77777777">
        <w:tblPrEx>
          <w:tblCellMar>
            <w:top w:w="0" w:type="dxa"/>
            <w:bottom w:w="0" w:type="dxa"/>
          </w:tblCellMar>
        </w:tblPrEx>
        <w:trPr>
          <w:trHeight w:hRule="exact" w:val="324"/>
          <w:jc w:val="center"/>
        </w:trPr>
        <w:tc>
          <w:tcPr>
            <w:tcW w:w="1116" w:type="dxa"/>
            <w:tcBorders>
              <w:top w:val="single" w:sz="4" w:space="0" w:color="auto"/>
              <w:left w:val="single" w:sz="4" w:space="0" w:color="auto"/>
            </w:tcBorders>
            <w:shd w:val="clear" w:color="auto" w:fill="auto"/>
            <w:vAlign w:val="bottom"/>
          </w:tcPr>
          <w:p w14:paraId="46AAE774" w14:textId="0087C86B"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257E2B41" w14:textId="0F7B1957"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744E157B" w14:textId="2B5FA649" w:rsidR="00DE22BF" w:rsidRDefault="00DE22BF">
            <w:pPr>
              <w:pStyle w:val="Other10"/>
              <w:spacing w:after="0"/>
              <w:rPr>
                <w:sz w:val="19"/>
                <w:szCs w:val="19"/>
              </w:rPr>
            </w:pPr>
          </w:p>
        </w:tc>
      </w:tr>
      <w:tr w:rsidR="00DE22BF" w14:paraId="75B599DB" w14:textId="77777777">
        <w:tblPrEx>
          <w:tblCellMar>
            <w:top w:w="0" w:type="dxa"/>
            <w:bottom w:w="0" w:type="dxa"/>
          </w:tblCellMar>
        </w:tblPrEx>
        <w:trPr>
          <w:trHeight w:hRule="exact" w:val="317"/>
          <w:jc w:val="center"/>
        </w:trPr>
        <w:tc>
          <w:tcPr>
            <w:tcW w:w="1116" w:type="dxa"/>
            <w:tcBorders>
              <w:top w:val="single" w:sz="4" w:space="0" w:color="auto"/>
              <w:left w:val="single" w:sz="4" w:space="0" w:color="auto"/>
            </w:tcBorders>
            <w:shd w:val="clear" w:color="auto" w:fill="auto"/>
            <w:vAlign w:val="bottom"/>
          </w:tcPr>
          <w:p w14:paraId="40F6F236" w14:textId="6ECF5F64"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5CB6D277" w14:textId="1BC1A478"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6CB4F8B1" w14:textId="742071FB" w:rsidR="00DE22BF" w:rsidRDefault="00DE22BF">
            <w:pPr>
              <w:pStyle w:val="Other10"/>
              <w:spacing w:after="0"/>
              <w:rPr>
                <w:sz w:val="19"/>
                <w:szCs w:val="19"/>
              </w:rPr>
            </w:pPr>
          </w:p>
        </w:tc>
      </w:tr>
      <w:tr w:rsidR="00DE22BF" w14:paraId="4B9F2E3B" w14:textId="77777777">
        <w:tblPrEx>
          <w:tblCellMar>
            <w:top w:w="0" w:type="dxa"/>
            <w:bottom w:w="0" w:type="dxa"/>
          </w:tblCellMar>
        </w:tblPrEx>
        <w:trPr>
          <w:trHeight w:hRule="exact" w:val="317"/>
          <w:jc w:val="center"/>
        </w:trPr>
        <w:tc>
          <w:tcPr>
            <w:tcW w:w="1116" w:type="dxa"/>
            <w:tcBorders>
              <w:top w:val="single" w:sz="4" w:space="0" w:color="auto"/>
              <w:left w:val="single" w:sz="4" w:space="0" w:color="auto"/>
            </w:tcBorders>
            <w:shd w:val="clear" w:color="auto" w:fill="auto"/>
            <w:vAlign w:val="bottom"/>
          </w:tcPr>
          <w:p w14:paraId="52DC54A1" w14:textId="6B240798"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69A777E2" w14:textId="137ADAAE"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58AEF94F" w14:textId="248B6A54" w:rsidR="00DE22BF" w:rsidRDefault="00DE22BF">
            <w:pPr>
              <w:pStyle w:val="Other10"/>
              <w:spacing w:after="0"/>
              <w:rPr>
                <w:sz w:val="19"/>
                <w:szCs w:val="19"/>
              </w:rPr>
            </w:pPr>
          </w:p>
        </w:tc>
      </w:tr>
      <w:tr w:rsidR="00DE22BF" w14:paraId="4C7E112A" w14:textId="77777777">
        <w:tblPrEx>
          <w:tblCellMar>
            <w:top w:w="0" w:type="dxa"/>
            <w:bottom w:w="0" w:type="dxa"/>
          </w:tblCellMar>
        </w:tblPrEx>
        <w:trPr>
          <w:trHeight w:hRule="exact" w:val="317"/>
          <w:jc w:val="center"/>
        </w:trPr>
        <w:tc>
          <w:tcPr>
            <w:tcW w:w="1116" w:type="dxa"/>
            <w:tcBorders>
              <w:top w:val="single" w:sz="4" w:space="0" w:color="auto"/>
              <w:left w:val="single" w:sz="4" w:space="0" w:color="auto"/>
            </w:tcBorders>
            <w:shd w:val="clear" w:color="auto" w:fill="auto"/>
            <w:vAlign w:val="bottom"/>
          </w:tcPr>
          <w:p w14:paraId="34BD61CE" w14:textId="518FCF42"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605DE38A" w14:textId="37B90F61"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0CEF1ED2" w14:textId="60444FDF" w:rsidR="00DE22BF" w:rsidRDefault="00DE22BF">
            <w:pPr>
              <w:pStyle w:val="Other10"/>
              <w:spacing w:after="0"/>
              <w:rPr>
                <w:sz w:val="19"/>
                <w:szCs w:val="19"/>
              </w:rPr>
            </w:pPr>
          </w:p>
        </w:tc>
      </w:tr>
      <w:tr w:rsidR="00DE22BF" w14:paraId="11DFF0C4" w14:textId="77777777">
        <w:tblPrEx>
          <w:tblCellMar>
            <w:top w:w="0" w:type="dxa"/>
            <w:bottom w:w="0" w:type="dxa"/>
          </w:tblCellMar>
        </w:tblPrEx>
        <w:trPr>
          <w:trHeight w:hRule="exact" w:val="317"/>
          <w:jc w:val="center"/>
        </w:trPr>
        <w:tc>
          <w:tcPr>
            <w:tcW w:w="1116" w:type="dxa"/>
            <w:tcBorders>
              <w:top w:val="single" w:sz="4" w:space="0" w:color="auto"/>
              <w:left w:val="single" w:sz="4" w:space="0" w:color="auto"/>
            </w:tcBorders>
            <w:shd w:val="clear" w:color="auto" w:fill="auto"/>
            <w:vAlign w:val="bottom"/>
          </w:tcPr>
          <w:p w14:paraId="1B655EEA" w14:textId="0397878B"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1AF6E4A4" w14:textId="7AB4C286"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0CAE32CF" w14:textId="150EFAB6" w:rsidR="00DE22BF" w:rsidRDefault="00DE22BF">
            <w:pPr>
              <w:pStyle w:val="Other10"/>
              <w:spacing w:after="0"/>
              <w:rPr>
                <w:sz w:val="19"/>
                <w:szCs w:val="19"/>
              </w:rPr>
            </w:pPr>
          </w:p>
        </w:tc>
      </w:tr>
      <w:tr w:rsidR="00DE22BF" w14:paraId="0E8E2250" w14:textId="77777777">
        <w:tblPrEx>
          <w:tblCellMar>
            <w:top w:w="0" w:type="dxa"/>
            <w:bottom w:w="0" w:type="dxa"/>
          </w:tblCellMar>
        </w:tblPrEx>
        <w:trPr>
          <w:trHeight w:hRule="exact" w:val="317"/>
          <w:jc w:val="center"/>
        </w:trPr>
        <w:tc>
          <w:tcPr>
            <w:tcW w:w="1116" w:type="dxa"/>
            <w:tcBorders>
              <w:top w:val="single" w:sz="4" w:space="0" w:color="auto"/>
              <w:left w:val="single" w:sz="4" w:space="0" w:color="auto"/>
            </w:tcBorders>
            <w:shd w:val="clear" w:color="auto" w:fill="auto"/>
            <w:vAlign w:val="bottom"/>
          </w:tcPr>
          <w:p w14:paraId="57244035" w14:textId="57194C08"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24C00327" w14:textId="59FCECE7"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7545B719" w14:textId="67379285" w:rsidR="00DE22BF" w:rsidRDefault="00DE22BF">
            <w:pPr>
              <w:pStyle w:val="Other10"/>
              <w:spacing w:after="0"/>
              <w:rPr>
                <w:sz w:val="19"/>
                <w:szCs w:val="19"/>
              </w:rPr>
            </w:pPr>
          </w:p>
        </w:tc>
      </w:tr>
      <w:tr w:rsidR="00DE22BF" w14:paraId="3BCA1D29" w14:textId="77777777">
        <w:tblPrEx>
          <w:tblCellMar>
            <w:top w:w="0" w:type="dxa"/>
            <w:bottom w:w="0" w:type="dxa"/>
          </w:tblCellMar>
        </w:tblPrEx>
        <w:trPr>
          <w:trHeight w:hRule="exact" w:val="317"/>
          <w:jc w:val="center"/>
        </w:trPr>
        <w:tc>
          <w:tcPr>
            <w:tcW w:w="1116" w:type="dxa"/>
            <w:tcBorders>
              <w:top w:val="single" w:sz="4" w:space="0" w:color="auto"/>
              <w:left w:val="single" w:sz="4" w:space="0" w:color="auto"/>
            </w:tcBorders>
            <w:shd w:val="clear" w:color="auto" w:fill="auto"/>
            <w:vAlign w:val="bottom"/>
          </w:tcPr>
          <w:p w14:paraId="7DC6FDA6" w14:textId="27965017"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55FDB80C" w14:textId="4CB06EC5"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018A902F" w14:textId="0086C140" w:rsidR="00DE22BF" w:rsidRDefault="00DE22BF">
            <w:pPr>
              <w:pStyle w:val="Other10"/>
              <w:spacing w:after="0"/>
              <w:rPr>
                <w:sz w:val="19"/>
                <w:szCs w:val="19"/>
              </w:rPr>
            </w:pPr>
          </w:p>
        </w:tc>
      </w:tr>
      <w:tr w:rsidR="00DE22BF" w14:paraId="00DE410A" w14:textId="77777777">
        <w:tblPrEx>
          <w:tblCellMar>
            <w:top w:w="0" w:type="dxa"/>
            <w:bottom w:w="0" w:type="dxa"/>
          </w:tblCellMar>
        </w:tblPrEx>
        <w:trPr>
          <w:trHeight w:hRule="exact" w:val="310"/>
          <w:jc w:val="center"/>
        </w:trPr>
        <w:tc>
          <w:tcPr>
            <w:tcW w:w="1116" w:type="dxa"/>
            <w:tcBorders>
              <w:top w:val="single" w:sz="4" w:space="0" w:color="auto"/>
              <w:left w:val="single" w:sz="4" w:space="0" w:color="auto"/>
            </w:tcBorders>
            <w:shd w:val="clear" w:color="auto" w:fill="auto"/>
            <w:vAlign w:val="bottom"/>
          </w:tcPr>
          <w:p w14:paraId="53CD8FAD" w14:textId="51793181"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100DC6BA" w14:textId="14B3D182"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7B8D901A" w14:textId="4C8B3D19" w:rsidR="00DE22BF" w:rsidRDefault="00DE22BF">
            <w:pPr>
              <w:pStyle w:val="Other10"/>
              <w:spacing w:after="0"/>
              <w:rPr>
                <w:sz w:val="19"/>
                <w:szCs w:val="19"/>
              </w:rPr>
            </w:pPr>
          </w:p>
        </w:tc>
      </w:tr>
      <w:tr w:rsidR="00DE22BF" w14:paraId="4997E1B9" w14:textId="77777777">
        <w:tblPrEx>
          <w:tblCellMar>
            <w:top w:w="0" w:type="dxa"/>
            <w:bottom w:w="0" w:type="dxa"/>
          </w:tblCellMar>
        </w:tblPrEx>
        <w:trPr>
          <w:trHeight w:hRule="exact" w:val="310"/>
          <w:jc w:val="center"/>
        </w:trPr>
        <w:tc>
          <w:tcPr>
            <w:tcW w:w="1116" w:type="dxa"/>
            <w:tcBorders>
              <w:top w:val="single" w:sz="4" w:space="0" w:color="auto"/>
              <w:left w:val="single" w:sz="4" w:space="0" w:color="auto"/>
            </w:tcBorders>
            <w:shd w:val="clear" w:color="auto" w:fill="auto"/>
            <w:vAlign w:val="bottom"/>
          </w:tcPr>
          <w:p w14:paraId="6971DF64" w14:textId="104A9120"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5093F976" w14:textId="40B58F63"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57D60C04" w14:textId="316D146E" w:rsidR="00DE22BF" w:rsidRDefault="00DE22BF">
            <w:pPr>
              <w:pStyle w:val="Other10"/>
              <w:spacing w:after="0"/>
              <w:rPr>
                <w:sz w:val="19"/>
                <w:szCs w:val="19"/>
              </w:rPr>
            </w:pPr>
          </w:p>
        </w:tc>
      </w:tr>
      <w:tr w:rsidR="00DE22BF" w14:paraId="3F1AACB4" w14:textId="77777777">
        <w:tblPrEx>
          <w:tblCellMar>
            <w:top w:w="0" w:type="dxa"/>
            <w:bottom w:w="0" w:type="dxa"/>
          </w:tblCellMar>
        </w:tblPrEx>
        <w:trPr>
          <w:trHeight w:hRule="exact" w:val="310"/>
          <w:jc w:val="center"/>
        </w:trPr>
        <w:tc>
          <w:tcPr>
            <w:tcW w:w="1116" w:type="dxa"/>
            <w:tcBorders>
              <w:top w:val="single" w:sz="4" w:space="0" w:color="auto"/>
              <w:left w:val="single" w:sz="4" w:space="0" w:color="auto"/>
            </w:tcBorders>
            <w:shd w:val="clear" w:color="auto" w:fill="auto"/>
            <w:vAlign w:val="bottom"/>
          </w:tcPr>
          <w:p w14:paraId="62BB621A" w14:textId="444369C5" w:rsidR="00DE22BF" w:rsidRDefault="00DE22BF">
            <w:pPr>
              <w:pStyle w:val="Other10"/>
              <w:spacing w:after="0"/>
              <w:rPr>
                <w:sz w:val="19"/>
                <w:szCs w:val="19"/>
              </w:rPr>
            </w:pPr>
          </w:p>
        </w:tc>
        <w:tc>
          <w:tcPr>
            <w:tcW w:w="1325" w:type="dxa"/>
            <w:tcBorders>
              <w:top w:val="single" w:sz="4" w:space="0" w:color="auto"/>
              <w:left w:val="single" w:sz="4" w:space="0" w:color="auto"/>
            </w:tcBorders>
            <w:shd w:val="clear" w:color="auto" w:fill="auto"/>
            <w:vAlign w:val="bottom"/>
          </w:tcPr>
          <w:p w14:paraId="49AF6EDD" w14:textId="0F68D86C" w:rsidR="00DE22BF" w:rsidRDefault="00DE22BF">
            <w:pPr>
              <w:pStyle w:val="Other10"/>
              <w:spacing w:after="0"/>
              <w:rPr>
                <w:sz w:val="19"/>
                <w:szCs w:val="19"/>
              </w:rPr>
            </w:pPr>
          </w:p>
        </w:tc>
        <w:tc>
          <w:tcPr>
            <w:tcW w:w="3334" w:type="dxa"/>
            <w:tcBorders>
              <w:top w:val="single" w:sz="4" w:space="0" w:color="auto"/>
              <w:left w:val="single" w:sz="4" w:space="0" w:color="auto"/>
              <w:right w:val="single" w:sz="4" w:space="0" w:color="auto"/>
            </w:tcBorders>
            <w:shd w:val="clear" w:color="auto" w:fill="auto"/>
            <w:vAlign w:val="bottom"/>
          </w:tcPr>
          <w:p w14:paraId="6A3CF1F1" w14:textId="17AE2908" w:rsidR="00DE22BF" w:rsidRDefault="00DE22BF">
            <w:pPr>
              <w:pStyle w:val="Other10"/>
              <w:spacing w:after="0"/>
              <w:rPr>
                <w:sz w:val="19"/>
                <w:szCs w:val="19"/>
              </w:rPr>
            </w:pPr>
          </w:p>
        </w:tc>
      </w:tr>
      <w:tr w:rsidR="00DE22BF" w14:paraId="5CC61CCD" w14:textId="77777777">
        <w:tblPrEx>
          <w:tblCellMar>
            <w:top w:w="0" w:type="dxa"/>
            <w:bottom w:w="0" w:type="dxa"/>
          </w:tblCellMar>
        </w:tblPrEx>
        <w:trPr>
          <w:trHeight w:hRule="exact" w:val="331"/>
          <w:jc w:val="center"/>
        </w:trPr>
        <w:tc>
          <w:tcPr>
            <w:tcW w:w="1116" w:type="dxa"/>
            <w:tcBorders>
              <w:top w:val="single" w:sz="4" w:space="0" w:color="auto"/>
              <w:left w:val="single" w:sz="4" w:space="0" w:color="auto"/>
              <w:bottom w:val="single" w:sz="4" w:space="0" w:color="auto"/>
            </w:tcBorders>
            <w:shd w:val="clear" w:color="auto" w:fill="auto"/>
            <w:vAlign w:val="bottom"/>
          </w:tcPr>
          <w:p w14:paraId="7D603C6B" w14:textId="2D4929EA" w:rsidR="00DE22BF" w:rsidRDefault="00DE22BF">
            <w:pPr>
              <w:pStyle w:val="Other10"/>
              <w:spacing w:after="0"/>
              <w:rPr>
                <w:sz w:val="19"/>
                <w:szCs w:val="19"/>
              </w:rPr>
            </w:pPr>
          </w:p>
        </w:tc>
        <w:tc>
          <w:tcPr>
            <w:tcW w:w="1325" w:type="dxa"/>
            <w:tcBorders>
              <w:top w:val="single" w:sz="4" w:space="0" w:color="auto"/>
              <w:left w:val="single" w:sz="4" w:space="0" w:color="auto"/>
              <w:bottom w:val="single" w:sz="4" w:space="0" w:color="auto"/>
            </w:tcBorders>
            <w:shd w:val="clear" w:color="auto" w:fill="auto"/>
            <w:vAlign w:val="bottom"/>
          </w:tcPr>
          <w:p w14:paraId="6FFADC90" w14:textId="79C247CB" w:rsidR="00DE22BF" w:rsidRDefault="00DE22BF">
            <w:pPr>
              <w:pStyle w:val="Other10"/>
              <w:spacing w:after="0"/>
              <w:rPr>
                <w:sz w:val="19"/>
                <w:szCs w:val="19"/>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bottom"/>
          </w:tcPr>
          <w:p w14:paraId="05EC7EB8" w14:textId="693D8FCB" w:rsidR="00DE22BF" w:rsidRDefault="00DE22BF">
            <w:pPr>
              <w:pStyle w:val="Other10"/>
              <w:spacing w:after="0"/>
              <w:rPr>
                <w:sz w:val="19"/>
                <w:szCs w:val="19"/>
              </w:rPr>
            </w:pPr>
          </w:p>
        </w:tc>
      </w:tr>
    </w:tbl>
    <w:p w14:paraId="374BDB03" w14:textId="77777777" w:rsidR="00DE22BF" w:rsidRDefault="00DE22BF">
      <w:pPr>
        <w:sectPr w:rsidR="00DE22BF" w:rsidSect="007969DE">
          <w:footerReference w:type="default" r:id="rId8"/>
          <w:pgSz w:w="16840" w:h="11900" w:orient="landscape"/>
          <w:pgMar w:top="942" w:right="925" w:bottom="942" w:left="529" w:header="514" w:footer="3" w:gutter="0"/>
          <w:cols w:space="720"/>
          <w:noEndnote/>
          <w:docGrid w:linePitch="360"/>
        </w:sectPr>
      </w:pPr>
    </w:p>
    <w:p w14:paraId="741DC333" w14:textId="77777777" w:rsidR="00DE22BF" w:rsidRDefault="00000000">
      <w:pPr>
        <w:pStyle w:val="Bodytext10"/>
        <w:spacing w:after="0"/>
        <w:jc w:val="center"/>
        <w:rPr>
          <w:sz w:val="19"/>
          <w:szCs w:val="19"/>
        </w:rPr>
      </w:pPr>
      <w:r>
        <w:rPr>
          <w:rStyle w:val="Bodytext1"/>
          <w:b/>
          <w:bCs/>
          <w:sz w:val="19"/>
          <w:szCs w:val="19"/>
        </w:rPr>
        <w:lastRenderedPageBreak/>
        <w:t>PŘÍLOHA 2</w:t>
      </w:r>
    </w:p>
    <w:p w14:paraId="34D675D0" w14:textId="77777777" w:rsidR="00DE22BF" w:rsidRDefault="00000000">
      <w:pPr>
        <w:pStyle w:val="Bodytext10"/>
        <w:spacing w:after="200"/>
        <w:jc w:val="center"/>
      </w:pPr>
      <w:r>
        <w:rPr>
          <w:rStyle w:val="Bodytext1"/>
        </w:rPr>
        <w:t>Vzorec pro výpočet Bonusu</w:t>
      </w:r>
    </w:p>
    <w:p w14:paraId="227270D3" w14:textId="77777777" w:rsidR="00DE22BF" w:rsidRDefault="00000000">
      <w:pPr>
        <w:pStyle w:val="Bodytext10"/>
        <w:spacing w:after="200"/>
        <w:ind w:left="2860" w:hanging="2860"/>
      </w:pPr>
      <w:r>
        <w:rPr>
          <w:rStyle w:val="Bodytext1"/>
        </w:rPr>
        <w:t>Tato Příloha č. 2 stanoví základní obratové hranice pro výpočet obratového zvýhodnění za příslušné referenční období pro jednotlivé skupiny Zboží. Referenčním období se pro účely vyhodnocení rozumí kalendářní pololetí, tzn. první rozhodné období je od 1. 1. 2024 do 30. 6. 2024.</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5206"/>
        <w:gridCol w:w="2239"/>
        <w:gridCol w:w="2657"/>
        <w:gridCol w:w="2736"/>
      </w:tblGrid>
      <w:tr w:rsidR="00DE22BF" w14:paraId="0660ABD3" w14:textId="77777777">
        <w:tblPrEx>
          <w:tblCellMar>
            <w:top w:w="0" w:type="dxa"/>
            <w:bottom w:w="0" w:type="dxa"/>
          </w:tblCellMar>
        </w:tblPrEx>
        <w:trPr>
          <w:trHeight w:hRule="exact" w:val="821"/>
          <w:jc w:val="center"/>
        </w:trPr>
        <w:tc>
          <w:tcPr>
            <w:tcW w:w="2059" w:type="dxa"/>
            <w:tcBorders>
              <w:top w:val="single" w:sz="4" w:space="0" w:color="auto"/>
              <w:left w:val="single" w:sz="4" w:space="0" w:color="auto"/>
            </w:tcBorders>
            <w:shd w:val="clear" w:color="auto" w:fill="auto"/>
            <w:vAlign w:val="center"/>
          </w:tcPr>
          <w:p w14:paraId="1B5F1457" w14:textId="77777777" w:rsidR="00DE22BF" w:rsidRDefault="00000000">
            <w:pPr>
              <w:pStyle w:val="Other10"/>
              <w:spacing w:after="0"/>
              <w:jc w:val="center"/>
              <w:rPr>
                <w:sz w:val="16"/>
                <w:szCs w:val="16"/>
              </w:rPr>
            </w:pPr>
            <w:r>
              <w:rPr>
                <w:rStyle w:val="Other1"/>
                <w:b/>
                <w:bCs/>
                <w:sz w:val="16"/>
                <w:szCs w:val="16"/>
              </w:rPr>
              <w:t>Referenční období</w:t>
            </w:r>
          </w:p>
        </w:tc>
        <w:tc>
          <w:tcPr>
            <w:tcW w:w="5206" w:type="dxa"/>
            <w:tcBorders>
              <w:top w:val="single" w:sz="4" w:space="0" w:color="auto"/>
              <w:left w:val="single" w:sz="4" w:space="0" w:color="auto"/>
            </w:tcBorders>
            <w:shd w:val="clear" w:color="auto" w:fill="auto"/>
            <w:vAlign w:val="center"/>
          </w:tcPr>
          <w:p w14:paraId="299BFE3C" w14:textId="77777777" w:rsidR="00DE22BF" w:rsidRDefault="00000000">
            <w:pPr>
              <w:pStyle w:val="Other10"/>
              <w:spacing w:after="0"/>
              <w:jc w:val="center"/>
              <w:rPr>
                <w:sz w:val="16"/>
                <w:szCs w:val="16"/>
              </w:rPr>
            </w:pPr>
            <w:r>
              <w:rPr>
                <w:rStyle w:val="Other1"/>
                <w:b/>
                <w:bCs/>
                <w:sz w:val="16"/>
                <w:szCs w:val="16"/>
              </w:rPr>
              <w:t>Výrobek/výrobky vč. SÚKL kódu</w:t>
            </w:r>
          </w:p>
        </w:tc>
        <w:tc>
          <w:tcPr>
            <w:tcW w:w="4896" w:type="dxa"/>
            <w:gridSpan w:val="2"/>
            <w:tcBorders>
              <w:top w:val="single" w:sz="4" w:space="0" w:color="auto"/>
              <w:left w:val="single" w:sz="4" w:space="0" w:color="auto"/>
            </w:tcBorders>
            <w:shd w:val="clear" w:color="auto" w:fill="auto"/>
            <w:vAlign w:val="center"/>
          </w:tcPr>
          <w:p w14:paraId="60751937" w14:textId="77777777" w:rsidR="00DE22BF" w:rsidRDefault="00000000">
            <w:pPr>
              <w:pStyle w:val="Other10"/>
              <w:spacing w:after="0" w:line="300" w:lineRule="auto"/>
              <w:jc w:val="center"/>
              <w:rPr>
                <w:sz w:val="16"/>
                <w:szCs w:val="16"/>
              </w:rPr>
            </w:pPr>
            <w:r>
              <w:rPr>
                <w:rStyle w:val="Other1"/>
                <w:b/>
                <w:bCs/>
                <w:sz w:val="16"/>
                <w:szCs w:val="16"/>
              </w:rPr>
              <w:t>Minimální fakturovaný objem v cenách výrobce bez DPH a marže distributora, při jehož překročení vzniká v příslušném pásmu nárok na bonus</w:t>
            </w:r>
          </w:p>
        </w:tc>
        <w:tc>
          <w:tcPr>
            <w:tcW w:w="2736" w:type="dxa"/>
            <w:tcBorders>
              <w:top w:val="single" w:sz="4" w:space="0" w:color="auto"/>
              <w:left w:val="single" w:sz="4" w:space="0" w:color="auto"/>
              <w:right w:val="single" w:sz="4" w:space="0" w:color="auto"/>
            </w:tcBorders>
            <w:shd w:val="clear" w:color="auto" w:fill="auto"/>
            <w:vAlign w:val="center"/>
          </w:tcPr>
          <w:p w14:paraId="07552F85" w14:textId="77777777" w:rsidR="00DE22BF" w:rsidRDefault="00000000">
            <w:pPr>
              <w:pStyle w:val="Other10"/>
              <w:spacing w:after="200"/>
              <w:jc w:val="center"/>
              <w:rPr>
                <w:sz w:val="16"/>
                <w:szCs w:val="16"/>
              </w:rPr>
            </w:pPr>
            <w:r>
              <w:rPr>
                <w:rStyle w:val="Other1"/>
                <w:b/>
                <w:bCs/>
                <w:sz w:val="16"/>
                <w:szCs w:val="16"/>
              </w:rPr>
              <w:t>Výpočet objemového bonusu</w:t>
            </w:r>
          </w:p>
          <w:p w14:paraId="6A0CC14E" w14:textId="77777777" w:rsidR="00DE22BF" w:rsidRDefault="00000000">
            <w:pPr>
              <w:pStyle w:val="Other10"/>
              <w:spacing w:after="0"/>
              <w:jc w:val="center"/>
              <w:rPr>
                <w:sz w:val="16"/>
                <w:szCs w:val="16"/>
              </w:rPr>
            </w:pPr>
            <w:r>
              <w:rPr>
                <w:rStyle w:val="Other1"/>
                <w:b/>
                <w:bCs/>
                <w:sz w:val="16"/>
                <w:szCs w:val="16"/>
              </w:rPr>
              <w:t>FO x Y</w:t>
            </w:r>
          </w:p>
        </w:tc>
      </w:tr>
      <w:tr w:rsidR="00DE22BF" w14:paraId="37F45E9E" w14:textId="77777777">
        <w:tblPrEx>
          <w:tblCellMar>
            <w:top w:w="0" w:type="dxa"/>
            <w:bottom w:w="0" w:type="dxa"/>
          </w:tblCellMar>
        </w:tblPrEx>
        <w:trPr>
          <w:trHeight w:hRule="exact" w:val="533"/>
          <w:jc w:val="center"/>
        </w:trPr>
        <w:tc>
          <w:tcPr>
            <w:tcW w:w="2059" w:type="dxa"/>
            <w:vMerge w:val="restart"/>
            <w:tcBorders>
              <w:top w:val="single" w:sz="4" w:space="0" w:color="auto"/>
              <w:left w:val="single" w:sz="4" w:space="0" w:color="auto"/>
            </w:tcBorders>
            <w:shd w:val="clear" w:color="auto" w:fill="auto"/>
            <w:vAlign w:val="center"/>
          </w:tcPr>
          <w:p w14:paraId="45AC7300" w14:textId="77777777" w:rsidR="00DE22BF" w:rsidRDefault="00000000">
            <w:pPr>
              <w:pStyle w:val="Other10"/>
              <w:spacing w:after="0"/>
              <w:jc w:val="center"/>
              <w:rPr>
                <w:sz w:val="16"/>
                <w:szCs w:val="16"/>
              </w:rPr>
            </w:pPr>
            <w:r>
              <w:rPr>
                <w:rStyle w:val="Other1"/>
                <w:b/>
                <w:bCs/>
                <w:sz w:val="16"/>
                <w:szCs w:val="16"/>
              </w:rPr>
              <w:t>Kalendářní pololetí</w:t>
            </w:r>
          </w:p>
        </w:tc>
        <w:tc>
          <w:tcPr>
            <w:tcW w:w="5206" w:type="dxa"/>
            <w:vMerge w:val="restart"/>
            <w:tcBorders>
              <w:top w:val="single" w:sz="4" w:space="0" w:color="auto"/>
              <w:left w:val="single" w:sz="4" w:space="0" w:color="auto"/>
            </w:tcBorders>
            <w:shd w:val="clear" w:color="auto" w:fill="auto"/>
            <w:vAlign w:val="center"/>
          </w:tcPr>
          <w:p w14:paraId="737D331F" w14:textId="6AD9B086" w:rsidR="00DE22BF" w:rsidRDefault="00DE22BF">
            <w:pPr>
              <w:pStyle w:val="Other10"/>
              <w:tabs>
                <w:tab w:val="left" w:pos="929"/>
                <w:tab w:val="left" w:pos="2167"/>
              </w:tabs>
              <w:spacing w:after="80"/>
              <w:rPr>
                <w:sz w:val="16"/>
                <w:szCs w:val="16"/>
              </w:rPr>
            </w:pPr>
          </w:p>
        </w:tc>
        <w:tc>
          <w:tcPr>
            <w:tcW w:w="2239" w:type="dxa"/>
            <w:tcBorders>
              <w:top w:val="single" w:sz="4" w:space="0" w:color="auto"/>
              <w:left w:val="single" w:sz="4" w:space="0" w:color="auto"/>
            </w:tcBorders>
            <w:shd w:val="clear" w:color="auto" w:fill="auto"/>
          </w:tcPr>
          <w:p w14:paraId="251F21AD" w14:textId="77777777" w:rsidR="00DE22BF" w:rsidRDefault="00000000">
            <w:pPr>
              <w:pStyle w:val="Other10"/>
              <w:spacing w:after="0" w:line="310" w:lineRule="auto"/>
              <w:jc w:val="center"/>
              <w:rPr>
                <w:sz w:val="16"/>
                <w:szCs w:val="16"/>
              </w:rPr>
            </w:pPr>
            <w:r>
              <w:rPr>
                <w:rStyle w:val="Other1"/>
                <w:sz w:val="16"/>
                <w:szCs w:val="16"/>
              </w:rPr>
              <w:t>1. pásmo bonusu za referenční období</w:t>
            </w:r>
          </w:p>
        </w:tc>
        <w:tc>
          <w:tcPr>
            <w:tcW w:w="2657" w:type="dxa"/>
            <w:tcBorders>
              <w:top w:val="single" w:sz="4" w:space="0" w:color="auto"/>
              <w:left w:val="single" w:sz="4" w:space="0" w:color="auto"/>
            </w:tcBorders>
            <w:shd w:val="clear" w:color="auto" w:fill="auto"/>
            <w:vAlign w:val="center"/>
          </w:tcPr>
          <w:p w14:paraId="365BB59A" w14:textId="4A3A0CF5" w:rsidR="00DE22BF" w:rsidRDefault="00DE22BF">
            <w:pPr>
              <w:pStyle w:val="Other10"/>
              <w:spacing w:after="0"/>
              <w:ind w:firstLine="180"/>
              <w:rPr>
                <w:sz w:val="16"/>
                <w:szCs w:val="16"/>
              </w:rPr>
            </w:pPr>
          </w:p>
        </w:tc>
        <w:tc>
          <w:tcPr>
            <w:tcW w:w="2736" w:type="dxa"/>
            <w:tcBorders>
              <w:top w:val="single" w:sz="4" w:space="0" w:color="auto"/>
              <w:left w:val="single" w:sz="4" w:space="0" w:color="auto"/>
              <w:right w:val="single" w:sz="4" w:space="0" w:color="auto"/>
            </w:tcBorders>
            <w:shd w:val="clear" w:color="auto" w:fill="auto"/>
            <w:vAlign w:val="center"/>
          </w:tcPr>
          <w:p w14:paraId="7752A0EB" w14:textId="3C55FF90" w:rsidR="00DE22BF" w:rsidRDefault="00DE22BF">
            <w:pPr>
              <w:pStyle w:val="Other10"/>
              <w:spacing w:after="0"/>
              <w:jc w:val="center"/>
              <w:rPr>
                <w:sz w:val="16"/>
                <w:szCs w:val="16"/>
              </w:rPr>
            </w:pPr>
          </w:p>
        </w:tc>
      </w:tr>
      <w:tr w:rsidR="00DE22BF" w14:paraId="473AD707" w14:textId="77777777">
        <w:tblPrEx>
          <w:tblCellMar>
            <w:top w:w="0" w:type="dxa"/>
            <w:bottom w:w="0" w:type="dxa"/>
          </w:tblCellMar>
        </w:tblPrEx>
        <w:trPr>
          <w:trHeight w:hRule="exact" w:val="547"/>
          <w:jc w:val="center"/>
        </w:trPr>
        <w:tc>
          <w:tcPr>
            <w:tcW w:w="2059" w:type="dxa"/>
            <w:vMerge/>
            <w:tcBorders>
              <w:left w:val="single" w:sz="4" w:space="0" w:color="auto"/>
            </w:tcBorders>
            <w:shd w:val="clear" w:color="auto" w:fill="auto"/>
            <w:vAlign w:val="center"/>
          </w:tcPr>
          <w:p w14:paraId="34DEA7FE" w14:textId="77777777" w:rsidR="00DE22BF" w:rsidRDefault="00DE22BF"/>
        </w:tc>
        <w:tc>
          <w:tcPr>
            <w:tcW w:w="5206" w:type="dxa"/>
            <w:vMerge/>
            <w:tcBorders>
              <w:left w:val="single" w:sz="4" w:space="0" w:color="auto"/>
            </w:tcBorders>
            <w:shd w:val="clear" w:color="auto" w:fill="auto"/>
            <w:vAlign w:val="center"/>
          </w:tcPr>
          <w:p w14:paraId="5CDF97E2" w14:textId="77777777" w:rsidR="00DE22BF" w:rsidRDefault="00DE22BF"/>
        </w:tc>
        <w:tc>
          <w:tcPr>
            <w:tcW w:w="2239" w:type="dxa"/>
            <w:tcBorders>
              <w:top w:val="single" w:sz="4" w:space="0" w:color="auto"/>
              <w:left w:val="single" w:sz="4" w:space="0" w:color="auto"/>
            </w:tcBorders>
            <w:shd w:val="clear" w:color="auto" w:fill="auto"/>
            <w:vAlign w:val="center"/>
          </w:tcPr>
          <w:p w14:paraId="08D2A66D" w14:textId="77777777" w:rsidR="00DE22BF" w:rsidRDefault="00000000">
            <w:pPr>
              <w:pStyle w:val="Other10"/>
              <w:spacing w:after="0" w:line="300" w:lineRule="auto"/>
              <w:jc w:val="center"/>
              <w:rPr>
                <w:sz w:val="16"/>
                <w:szCs w:val="16"/>
              </w:rPr>
            </w:pPr>
            <w:r>
              <w:rPr>
                <w:rStyle w:val="Other1"/>
                <w:sz w:val="16"/>
                <w:szCs w:val="16"/>
              </w:rPr>
              <w:t>2. pásmo bonusu za referenční období</w:t>
            </w:r>
          </w:p>
        </w:tc>
        <w:tc>
          <w:tcPr>
            <w:tcW w:w="2657" w:type="dxa"/>
            <w:tcBorders>
              <w:top w:val="single" w:sz="4" w:space="0" w:color="auto"/>
              <w:left w:val="single" w:sz="4" w:space="0" w:color="auto"/>
            </w:tcBorders>
            <w:shd w:val="clear" w:color="auto" w:fill="auto"/>
            <w:vAlign w:val="center"/>
          </w:tcPr>
          <w:p w14:paraId="1447579A" w14:textId="6BC7A59E" w:rsidR="00DE22BF" w:rsidRDefault="00DE22BF">
            <w:pPr>
              <w:pStyle w:val="Other10"/>
              <w:spacing w:after="0"/>
              <w:ind w:firstLine="180"/>
              <w:rPr>
                <w:sz w:val="16"/>
                <w:szCs w:val="16"/>
              </w:rPr>
            </w:pPr>
          </w:p>
        </w:tc>
        <w:tc>
          <w:tcPr>
            <w:tcW w:w="2736" w:type="dxa"/>
            <w:tcBorders>
              <w:top w:val="single" w:sz="4" w:space="0" w:color="auto"/>
              <w:left w:val="single" w:sz="4" w:space="0" w:color="auto"/>
              <w:right w:val="single" w:sz="4" w:space="0" w:color="auto"/>
            </w:tcBorders>
            <w:shd w:val="clear" w:color="auto" w:fill="auto"/>
            <w:vAlign w:val="center"/>
          </w:tcPr>
          <w:p w14:paraId="0FF864AC" w14:textId="300FDE15" w:rsidR="00DE22BF" w:rsidRDefault="00DE22BF">
            <w:pPr>
              <w:pStyle w:val="Other10"/>
              <w:spacing w:after="0"/>
              <w:jc w:val="center"/>
              <w:rPr>
                <w:sz w:val="16"/>
                <w:szCs w:val="16"/>
              </w:rPr>
            </w:pPr>
          </w:p>
        </w:tc>
      </w:tr>
      <w:tr w:rsidR="00DE22BF" w14:paraId="1D85D7F6" w14:textId="77777777">
        <w:tblPrEx>
          <w:tblCellMar>
            <w:top w:w="0" w:type="dxa"/>
            <w:bottom w:w="0" w:type="dxa"/>
          </w:tblCellMar>
        </w:tblPrEx>
        <w:trPr>
          <w:trHeight w:hRule="exact" w:val="540"/>
          <w:jc w:val="center"/>
        </w:trPr>
        <w:tc>
          <w:tcPr>
            <w:tcW w:w="2059" w:type="dxa"/>
            <w:vMerge/>
            <w:tcBorders>
              <w:left w:val="single" w:sz="4" w:space="0" w:color="auto"/>
            </w:tcBorders>
            <w:shd w:val="clear" w:color="auto" w:fill="auto"/>
            <w:vAlign w:val="center"/>
          </w:tcPr>
          <w:p w14:paraId="3757F864" w14:textId="77777777" w:rsidR="00DE22BF" w:rsidRDefault="00DE22BF"/>
        </w:tc>
        <w:tc>
          <w:tcPr>
            <w:tcW w:w="5206" w:type="dxa"/>
            <w:vMerge/>
            <w:tcBorders>
              <w:left w:val="single" w:sz="4" w:space="0" w:color="auto"/>
            </w:tcBorders>
            <w:shd w:val="clear" w:color="auto" w:fill="auto"/>
            <w:vAlign w:val="center"/>
          </w:tcPr>
          <w:p w14:paraId="44E0EDCB" w14:textId="77777777" w:rsidR="00DE22BF" w:rsidRDefault="00DE22BF"/>
        </w:tc>
        <w:tc>
          <w:tcPr>
            <w:tcW w:w="2239" w:type="dxa"/>
            <w:tcBorders>
              <w:top w:val="single" w:sz="4" w:space="0" w:color="auto"/>
              <w:left w:val="single" w:sz="4" w:space="0" w:color="auto"/>
            </w:tcBorders>
            <w:shd w:val="clear" w:color="auto" w:fill="auto"/>
          </w:tcPr>
          <w:p w14:paraId="040F59F2" w14:textId="77777777" w:rsidR="00DE22BF" w:rsidRDefault="00000000">
            <w:pPr>
              <w:pStyle w:val="Other10"/>
              <w:spacing w:after="0" w:line="300" w:lineRule="auto"/>
              <w:jc w:val="center"/>
              <w:rPr>
                <w:sz w:val="16"/>
                <w:szCs w:val="16"/>
              </w:rPr>
            </w:pPr>
            <w:r>
              <w:rPr>
                <w:rStyle w:val="Other1"/>
                <w:sz w:val="16"/>
                <w:szCs w:val="16"/>
              </w:rPr>
              <w:t>3. pásmo bonusu za referenční období</w:t>
            </w:r>
          </w:p>
        </w:tc>
        <w:tc>
          <w:tcPr>
            <w:tcW w:w="2657" w:type="dxa"/>
            <w:tcBorders>
              <w:top w:val="single" w:sz="4" w:space="0" w:color="auto"/>
              <w:left w:val="single" w:sz="4" w:space="0" w:color="auto"/>
            </w:tcBorders>
            <w:shd w:val="clear" w:color="auto" w:fill="auto"/>
            <w:vAlign w:val="center"/>
          </w:tcPr>
          <w:p w14:paraId="5BFA3A2E" w14:textId="03D3E3E1" w:rsidR="00DE22BF" w:rsidRDefault="00DE22BF">
            <w:pPr>
              <w:pStyle w:val="Other10"/>
              <w:spacing w:after="0"/>
              <w:ind w:firstLine="180"/>
              <w:rPr>
                <w:sz w:val="16"/>
                <w:szCs w:val="16"/>
              </w:rPr>
            </w:pPr>
          </w:p>
        </w:tc>
        <w:tc>
          <w:tcPr>
            <w:tcW w:w="2736" w:type="dxa"/>
            <w:tcBorders>
              <w:top w:val="single" w:sz="4" w:space="0" w:color="auto"/>
              <w:left w:val="single" w:sz="4" w:space="0" w:color="auto"/>
              <w:right w:val="single" w:sz="4" w:space="0" w:color="auto"/>
            </w:tcBorders>
            <w:shd w:val="clear" w:color="auto" w:fill="auto"/>
            <w:vAlign w:val="center"/>
          </w:tcPr>
          <w:p w14:paraId="2996E96E" w14:textId="65297E01" w:rsidR="00DE22BF" w:rsidRDefault="00DE22BF">
            <w:pPr>
              <w:pStyle w:val="Other10"/>
              <w:spacing w:after="0"/>
              <w:jc w:val="center"/>
              <w:rPr>
                <w:sz w:val="16"/>
                <w:szCs w:val="16"/>
              </w:rPr>
            </w:pPr>
          </w:p>
        </w:tc>
      </w:tr>
      <w:tr w:rsidR="00DE22BF" w14:paraId="0184CE30" w14:textId="77777777">
        <w:tblPrEx>
          <w:tblCellMar>
            <w:top w:w="0" w:type="dxa"/>
            <w:bottom w:w="0" w:type="dxa"/>
          </w:tblCellMar>
        </w:tblPrEx>
        <w:trPr>
          <w:trHeight w:hRule="exact" w:val="533"/>
          <w:jc w:val="center"/>
        </w:trPr>
        <w:tc>
          <w:tcPr>
            <w:tcW w:w="2059" w:type="dxa"/>
            <w:vMerge/>
            <w:tcBorders>
              <w:left w:val="single" w:sz="4" w:space="0" w:color="auto"/>
            </w:tcBorders>
            <w:shd w:val="clear" w:color="auto" w:fill="auto"/>
            <w:vAlign w:val="center"/>
          </w:tcPr>
          <w:p w14:paraId="32BAB848" w14:textId="77777777" w:rsidR="00DE22BF" w:rsidRDefault="00DE22BF"/>
        </w:tc>
        <w:tc>
          <w:tcPr>
            <w:tcW w:w="5206" w:type="dxa"/>
            <w:vMerge/>
            <w:tcBorders>
              <w:left w:val="single" w:sz="4" w:space="0" w:color="auto"/>
            </w:tcBorders>
            <w:shd w:val="clear" w:color="auto" w:fill="auto"/>
            <w:vAlign w:val="center"/>
          </w:tcPr>
          <w:p w14:paraId="403C79AC" w14:textId="77777777" w:rsidR="00DE22BF" w:rsidRDefault="00DE22BF"/>
        </w:tc>
        <w:tc>
          <w:tcPr>
            <w:tcW w:w="2239" w:type="dxa"/>
            <w:tcBorders>
              <w:top w:val="single" w:sz="4" w:space="0" w:color="auto"/>
              <w:left w:val="single" w:sz="4" w:space="0" w:color="auto"/>
            </w:tcBorders>
            <w:shd w:val="clear" w:color="auto" w:fill="auto"/>
            <w:vAlign w:val="center"/>
          </w:tcPr>
          <w:p w14:paraId="6B149B51" w14:textId="77777777" w:rsidR="00DE22BF" w:rsidRDefault="00000000">
            <w:pPr>
              <w:pStyle w:val="Other10"/>
              <w:spacing w:after="0" w:line="300" w:lineRule="auto"/>
              <w:jc w:val="center"/>
              <w:rPr>
                <w:sz w:val="16"/>
                <w:szCs w:val="16"/>
              </w:rPr>
            </w:pPr>
            <w:r>
              <w:rPr>
                <w:rStyle w:val="Other1"/>
                <w:sz w:val="16"/>
                <w:szCs w:val="16"/>
              </w:rPr>
              <w:t>4. pásmo bonusu za referenční období</w:t>
            </w:r>
          </w:p>
        </w:tc>
        <w:tc>
          <w:tcPr>
            <w:tcW w:w="2657" w:type="dxa"/>
            <w:tcBorders>
              <w:top w:val="single" w:sz="4" w:space="0" w:color="auto"/>
              <w:left w:val="single" w:sz="4" w:space="0" w:color="auto"/>
            </w:tcBorders>
            <w:shd w:val="clear" w:color="auto" w:fill="auto"/>
            <w:vAlign w:val="center"/>
          </w:tcPr>
          <w:p w14:paraId="1097587B" w14:textId="2A275C68" w:rsidR="00DE22BF" w:rsidRDefault="00DE22BF">
            <w:pPr>
              <w:pStyle w:val="Other10"/>
              <w:spacing w:after="0"/>
              <w:ind w:firstLine="180"/>
              <w:rPr>
                <w:sz w:val="16"/>
                <w:szCs w:val="16"/>
              </w:rPr>
            </w:pPr>
          </w:p>
        </w:tc>
        <w:tc>
          <w:tcPr>
            <w:tcW w:w="2736" w:type="dxa"/>
            <w:tcBorders>
              <w:top w:val="single" w:sz="4" w:space="0" w:color="auto"/>
              <w:left w:val="single" w:sz="4" w:space="0" w:color="auto"/>
              <w:right w:val="single" w:sz="4" w:space="0" w:color="auto"/>
            </w:tcBorders>
            <w:shd w:val="clear" w:color="auto" w:fill="auto"/>
            <w:vAlign w:val="center"/>
          </w:tcPr>
          <w:p w14:paraId="192A2973" w14:textId="72D9D759" w:rsidR="00DE22BF" w:rsidRDefault="00DE22BF">
            <w:pPr>
              <w:pStyle w:val="Other10"/>
              <w:spacing w:after="0"/>
              <w:jc w:val="center"/>
              <w:rPr>
                <w:sz w:val="16"/>
                <w:szCs w:val="16"/>
              </w:rPr>
            </w:pPr>
          </w:p>
        </w:tc>
      </w:tr>
      <w:tr w:rsidR="00DE22BF" w14:paraId="5710B541" w14:textId="77777777">
        <w:tblPrEx>
          <w:tblCellMar>
            <w:top w:w="0" w:type="dxa"/>
            <w:bottom w:w="0" w:type="dxa"/>
          </w:tblCellMar>
        </w:tblPrEx>
        <w:trPr>
          <w:trHeight w:hRule="exact" w:val="562"/>
          <w:jc w:val="center"/>
        </w:trPr>
        <w:tc>
          <w:tcPr>
            <w:tcW w:w="2059" w:type="dxa"/>
            <w:vMerge/>
            <w:tcBorders>
              <w:left w:val="single" w:sz="4" w:space="0" w:color="auto"/>
              <w:bottom w:val="single" w:sz="4" w:space="0" w:color="auto"/>
            </w:tcBorders>
            <w:shd w:val="clear" w:color="auto" w:fill="auto"/>
            <w:vAlign w:val="center"/>
          </w:tcPr>
          <w:p w14:paraId="5EE6BDC2" w14:textId="77777777" w:rsidR="00DE22BF" w:rsidRDefault="00DE22BF"/>
        </w:tc>
        <w:tc>
          <w:tcPr>
            <w:tcW w:w="5206" w:type="dxa"/>
            <w:vMerge/>
            <w:tcBorders>
              <w:left w:val="single" w:sz="4" w:space="0" w:color="auto"/>
              <w:bottom w:val="single" w:sz="4" w:space="0" w:color="auto"/>
            </w:tcBorders>
            <w:shd w:val="clear" w:color="auto" w:fill="auto"/>
            <w:vAlign w:val="center"/>
          </w:tcPr>
          <w:p w14:paraId="550AAFC4" w14:textId="77777777" w:rsidR="00DE22BF" w:rsidRDefault="00DE22BF"/>
        </w:tc>
        <w:tc>
          <w:tcPr>
            <w:tcW w:w="2239" w:type="dxa"/>
            <w:tcBorders>
              <w:top w:val="single" w:sz="4" w:space="0" w:color="auto"/>
              <w:left w:val="single" w:sz="4" w:space="0" w:color="auto"/>
              <w:bottom w:val="single" w:sz="4" w:space="0" w:color="auto"/>
            </w:tcBorders>
            <w:shd w:val="clear" w:color="auto" w:fill="auto"/>
            <w:vAlign w:val="center"/>
          </w:tcPr>
          <w:p w14:paraId="1605D3EA" w14:textId="77777777" w:rsidR="00DE22BF" w:rsidRDefault="00000000">
            <w:pPr>
              <w:pStyle w:val="Other10"/>
              <w:spacing w:after="0" w:line="290" w:lineRule="auto"/>
              <w:jc w:val="center"/>
              <w:rPr>
                <w:sz w:val="16"/>
                <w:szCs w:val="16"/>
              </w:rPr>
            </w:pPr>
            <w:r>
              <w:rPr>
                <w:rStyle w:val="Other1"/>
                <w:sz w:val="16"/>
                <w:szCs w:val="16"/>
              </w:rPr>
              <w:t>5. pásmo bonusu za referenční období</w:t>
            </w:r>
          </w:p>
        </w:tc>
        <w:tc>
          <w:tcPr>
            <w:tcW w:w="2657" w:type="dxa"/>
            <w:tcBorders>
              <w:top w:val="single" w:sz="4" w:space="0" w:color="auto"/>
              <w:left w:val="single" w:sz="4" w:space="0" w:color="auto"/>
              <w:bottom w:val="single" w:sz="4" w:space="0" w:color="auto"/>
            </w:tcBorders>
            <w:shd w:val="clear" w:color="auto" w:fill="auto"/>
            <w:vAlign w:val="center"/>
          </w:tcPr>
          <w:p w14:paraId="789F6616" w14:textId="76481124" w:rsidR="00DE22BF" w:rsidRDefault="00DE22BF">
            <w:pPr>
              <w:pStyle w:val="Other10"/>
              <w:spacing w:after="0"/>
              <w:jc w:val="center"/>
              <w:rPr>
                <w:sz w:val="16"/>
                <w:szCs w:val="16"/>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161C4F08" w14:textId="4310CAFD" w:rsidR="00DE22BF" w:rsidRDefault="00DE22BF">
            <w:pPr>
              <w:pStyle w:val="Other10"/>
              <w:spacing w:after="0"/>
              <w:jc w:val="center"/>
              <w:rPr>
                <w:sz w:val="16"/>
                <w:szCs w:val="16"/>
              </w:rPr>
            </w:pPr>
          </w:p>
        </w:tc>
      </w:tr>
    </w:tbl>
    <w:p w14:paraId="3706662A" w14:textId="77777777" w:rsidR="00DE22BF" w:rsidRDefault="00DE22BF">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5227"/>
        <w:gridCol w:w="2239"/>
        <w:gridCol w:w="2664"/>
        <w:gridCol w:w="2736"/>
      </w:tblGrid>
      <w:tr w:rsidR="00DE22BF" w14:paraId="4B22DC46" w14:textId="77777777">
        <w:tblPrEx>
          <w:tblCellMar>
            <w:top w:w="0" w:type="dxa"/>
            <w:bottom w:w="0" w:type="dxa"/>
          </w:tblCellMar>
        </w:tblPrEx>
        <w:trPr>
          <w:trHeight w:hRule="exact" w:val="266"/>
          <w:jc w:val="center"/>
        </w:trPr>
        <w:tc>
          <w:tcPr>
            <w:tcW w:w="2059" w:type="dxa"/>
            <w:vMerge w:val="restart"/>
            <w:tcBorders>
              <w:top w:val="single" w:sz="4" w:space="0" w:color="auto"/>
              <w:left w:val="single" w:sz="4" w:space="0" w:color="auto"/>
            </w:tcBorders>
            <w:shd w:val="clear" w:color="auto" w:fill="auto"/>
            <w:vAlign w:val="center"/>
          </w:tcPr>
          <w:p w14:paraId="0B8A3426" w14:textId="77777777" w:rsidR="00DE22BF" w:rsidRDefault="00000000">
            <w:pPr>
              <w:pStyle w:val="Other10"/>
              <w:spacing w:after="0"/>
              <w:jc w:val="center"/>
              <w:rPr>
                <w:sz w:val="16"/>
                <w:szCs w:val="16"/>
              </w:rPr>
            </w:pPr>
            <w:r>
              <w:rPr>
                <w:rStyle w:val="Other1"/>
                <w:b/>
                <w:bCs/>
                <w:sz w:val="16"/>
                <w:szCs w:val="16"/>
              </w:rPr>
              <w:t>Referenční období</w:t>
            </w:r>
          </w:p>
        </w:tc>
        <w:tc>
          <w:tcPr>
            <w:tcW w:w="5227" w:type="dxa"/>
            <w:vMerge w:val="restart"/>
            <w:tcBorders>
              <w:top w:val="single" w:sz="4" w:space="0" w:color="auto"/>
              <w:left w:val="single" w:sz="4" w:space="0" w:color="auto"/>
            </w:tcBorders>
            <w:shd w:val="clear" w:color="auto" w:fill="auto"/>
            <w:vAlign w:val="center"/>
          </w:tcPr>
          <w:p w14:paraId="4FFF55F1" w14:textId="77777777" w:rsidR="00DE22BF" w:rsidRDefault="00000000">
            <w:pPr>
              <w:pStyle w:val="Other10"/>
              <w:spacing w:after="0"/>
              <w:jc w:val="center"/>
              <w:rPr>
                <w:sz w:val="16"/>
                <w:szCs w:val="16"/>
              </w:rPr>
            </w:pPr>
            <w:r>
              <w:rPr>
                <w:rStyle w:val="Other1"/>
                <w:b/>
                <w:bCs/>
                <w:sz w:val="16"/>
                <w:szCs w:val="16"/>
              </w:rPr>
              <w:t>Výrobek/výrobky vč. SÚKL kódu</w:t>
            </w:r>
          </w:p>
        </w:tc>
        <w:tc>
          <w:tcPr>
            <w:tcW w:w="4903" w:type="dxa"/>
            <w:gridSpan w:val="2"/>
            <w:vMerge w:val="restart"/>
            <w:tcBorders>
              <w:top w:val="single" w:sz="4" w:space="0" w:color="auto"/>
              <w:left w:val="single" w:sz="4" w:space="0" w:color="auto"/>
            </w:tcBorders>
            <w:shd w:val="clear" w:color="auto" w:fill="auto"/>
            <w:vAlign w:val="center"/>
          </w:tcPr>
          <w:p w14:paraId="1190EAFA" w14:textId="77777777" w:rsidR="00DE22BF" w:rsidRDefault="00000000">
            <w:pPr>
              <w:pStyle w:val="Other10"/>
              <w:spacing w:after="0" w:line="283" w:lineRule="auto"/>
              <w:jc w:val="center"/>
              <w:rPr>
                <w:sz w:val="16"/>
                <w:szCs w:val="16"/>
              </w:rPr>
            </w:pPr>
            <w:r>
              <w:rPr>
                <w:rStyle w:val="Other1"/>
                <w:b/>
                <w:bCs/>
                <w:sz w:val="16"/>
                <w:szCs w:val="16"/>
              </w:rPr>
              <w:t>Minimální fakturovaný objem v cenách výrobce bez DPH a marže distributora, při jehož překročení vzniká v příslušném pásmu nárok na bonus</w:t>
            </w:r>
          </w:p>
        </w:tc>
        <w:tc>
          <w:tcPr>
            <w:tcW w:w="2736" w:type="dxa"/>
            <w:tcBorders>
              <w:top w:val="single" w:sz="4" w:space="0" w:color="auto"/>
              <w:left w:val="single" w:sz="4" w:space="0" w:color="auto"/>
              <w:right w:val="single" w:sz="4" w:space="0" w:color="auto"/>
            </w:tcBorders>
            <w:shd w:val="clear" w:color="auto" w:fill="auto"/>
            <w:vAlign w:val="bottom"/>
          </w:tcPr>
          <w:p w14:paraId="7F9325EC" w14:textId="77777777" w:rsidR="00DE22BF" w:rsidRDefault="00000000">
            <w:pPr>
              <w:pStyle w:val="Other10"/>
              <w:spacing w:after="0"/>
              <w:jc w:val="center"/>
              <w:rPr>
                <w:sz w:val="16"/>
                <w:szCs w:val="16"/>
              </w:rPr>
            </w:pPr>
            <w:r>
              <w:rPr>
                <w:rStyle w:val="Other1"/>
                <w:b/>
                <w:bCs/>
                <w:sz w:val="16"/>
                <w:szCs w:val="16"/>
              </w:rPr>
              <w:t>Výpočet objemového bonusu</w:t>
            </w:r>
          </w:p>
        </w:tc>
      </w:tr>
      <w:tr w:rsidR="00DE22BF" w14:paraId="716925E8" w14:textId="77777777">
        <w:tblPrEx>
          <w:tblCellMar>
            <w:top w:w="0" w:type="dxa"/>
            <w:bottom w:w="0" w:type="dxa"/>
          </w:tblCellMar>
        </w:tblPrEx>
        <w:trPr>
          <w:trHeight w:hRule="exact" w:val="518"/>
          <w:jc w:val="center"/>
        </w:trPr>
        <w:tc>
          <w:tcPr>
            <w:tcW w:w="2059" w:type="dxa"/>
            <w:vMerge/>
            <w:tcBorders>
              <w:left w:val="single" w:sz="4" w:space="0" w:color="auto"/>
            </w:tcBorders>
            <w:shd w:val="clear" w:color="auto" w:fill="auto"/>
            <w:vAlign w:val="center"/>
          </w:tcPr>
          <w:p w14:paraId="136947EB" w14:textId="77777777" w:rsidR="00DE22BF" w:rsidRDefault="00DE22BF"/>
        </w:tc>
        <w:tc>
          <w:tcPr>
            <w:tcW w:w="5227" w:type="dxa"/>
            <w:vMerge/>
            <w:tcBorders>
              <w:left w:val="single" w:sz="4" w:space="0" w:color="auto"/>
            </w:tcBorders>
            <w:shd w:val="clear" w:color="auto" w:fill="auto"/>
            <w:vAlign w:val="center"/>
          </w:tcPr>
          <w:p w14:paraId="48F8B7B8" w14:textId="77777777" w:rsidR="00DE22BF" w:rsidRDefault="00DE22BF"/>
        </w:tc>
        <w:tc>
          <w:tcPr>
            <w:tcW w:w="4903" w:type="dxa"/>
            <w:gridSpan w:val="2"/>
            <w:vMerge/>
            <w:tcBorders>
              <w:left w:val="single" w:sz="4" w:space="0" w:color="auto"/>
            </w:tcBorders>
            <w:shd w:val="clear" w:color="auto" w:fill="auto"/>
            <w:vAlign w:val="center"/>
          </w:tcPr>
          <w:p w14:paraId="08ACF446" w14:textId="77777777" w:rsidR="00DE22BF" w:rsidRDefault="00DE22BF"/>
        </w:tc>
        <w:tc>
          <w:tcPr>
            <w:tcW w:w="2736" w:type="dxa"/>
            <w:tcBorders>
              <w:top w:val="single" w:sz="4" w:space="0" w:color="auto"/>
              <w:left w:val="single" w:sz="4" w:space="0" w:color="auto"/>
              <w:right w:val="single" w:sz="4" w:space="0" w:color="auto"/>
            </w:tcBorders>
            <w:shd w:val="clear" w:color="auto" w:fill="auto"/>
            <w:vAlign w:val="center"/>
          </w:tcPr>
          <w:p w14:paraId="6E23E084" w14:textId="77777777" w:rsidR="00DE22BF" w:rsidRDefault="00000000">
            <w:pPr>
              <w:pStyle w:val="Other10"/>
              <w:spacing w:after="0"/>
              <w:jc w:val="center"/>
              <w:rPr>
                <w:sz w:val="16"/>
                <w:szCs w:val="16"/>
              </w:rPr>
            </w:pPr>
            <w:r>
              <w:rPr>
                <w:rStyle w:val="Other1"/>
                <w:b/>
                <w:bCs/>
                <w:sz w:val="16"/>
                <w:szCs w:val="16"/>
              </w:rPr>
              <w:t>FO x Y</w:t>
            </w:r>
          </w:p>
        </w:tc>
      </w:tr>
      <w:tr w:rsidR="00DE22BF" w14:paraId="343844B9" w14:textId="77777777">
        <w:tblPrEx>
          <w:tblCellMar>
            <w:top w:w="0" w:type="dxa"/>
            <w:bottom w:w="0" w:type="dxa"/>
          </w:tblCellMar>
        </w:tblPrEx>
        <w:trPr>
          <w:trHeight w:hRule="exact" w:val="504"/>
          <w:jc w:val="center"/>
        </w:trPr>
        <w:tc>
          <w:tcPr>
            <w:tcW w:w="2059" w:type="dxa"/>
            <w:vMerge w:val="restart"/>
            <w:tcBorders>
              <w:top w:val="single" w:sz="4" w:space="0" w:color="auto"/>
              <w:left w:val="single" w:sz="4" w:space="0" w:color="auto"/>
            </w:tcBorders>
            <w:shd w:val="clear" w:color="auto" w:fill="auto"/>
            <w:vAlign w:val="center"/>
          </w:tcPr>
          <w:p w14:paraId="69E01C28" w14:textId="77777777" w:rsidR="00DE22BF" w:rsidRDefault="00000000">
            <w:pPr>
              <w:pStyle w:val="Other10"/>
              <w:spacing w:after="0"/>
              <w:jc w:val="center"/>
              <w:rPr>
                <w:sz w:val="16"/>
                <w:szCs w:val="16"/>
              </w:rPr>
            </w:pPr>
            <w:r>
              <w:rPr>
                <w:rStyle w:val="Other1"/>
                <w:b/>
                <w:bCs/>
                <w:sz w:val="16"/>
                <w:szCs w:val="16"/>
              </w:rPr>
              <w:t>Kalendářní pololetí</w:t>
            </w:r>
          </w:p>
        </w:tc>
        <w:tc>
          <w:tcPr>
            <w:tcW w:w="5227" w:type="dxa"/>
            <w:vMerge w:val="restart"/>
            <w:tcBorders>
              <w:top w:val="single" w:sz="4" w:space="0" w:color="auto"/>
              <w:left w:val="single" w:sz="4" w:space="0" w:color="auto"/>
            </w:tcBorders>
            <w:shd w:val="clear" w:color="auto" w:fill="auto"/>
            <w:vAlign w:val="center"/>
          </w:tcPr>
          <w:p w14:paraId="0A0FAC62" w14:textId="45C68BFD" w:rsidR="00DE22BF" w:rsidRDefault="00DE22BF">
            <w:pPr>
              <w:pStyle w:val="Other10"/>
              <w:tabs>
                <w:tab w:val="right" w:pos="1836"/>
                <w:tab w:val="right" w:pos="3542"/>
              </w:tabs>
              <w:spacing w:after="60"/>
              <w:rPr>
                <w:sz w:val="16"/>
                <w:szCs w:val="16"/>
              </w:rPr>
            </w:pPr>
          </w:p>
        </w:tc>
        <w:tc>
          <w:tcPr>
            <w:tcW w:w="2239" w:type="dxa"/>
            <w:tcBorders>
              <w:top w:val="single" w:sz="4" w:space="0" w:color="auto"/>
              <w:left w:val="single" w:sz="4" w:space="0" w:color="auto"/>
            </w:tcBorders>
            <w:shd w:val="clear" w:color="auto" w:fill="auto"/>
          </w:tcPr>
          <w:p w14:paraId="1654D26B" w14:textId="77777777" w:rsidR="00DE22BF" w:rsidRDefault="00000000">
            <w:pPr>
              <w:pStyle w:val="Other10"/>
              <w:spacing w:after="0" w:line="290" w:lineRule="auto"/>
              <w:jc w:val="center"/>
              <w:rPr>
                <w:sz w:val="16"/>
                <w:szCs w:val="16"/>
              </w:rPr>
            </w:pPr>
            <w:r>
              <w:rPr>
                <w:rStyle w:val="Other1"/>
                <w:sz w:val="16"/>
                <w:szCs w:val="16"/>
              </w:rPr>
              <w:t>1. pásmo bonusu za referenční období</w:t>
            </w:r>
          </w:p>
        </w:tc>
        <w:tc>
          <w:tcPr>
            <w:tcW w:w="2664" w:type="dxa"/>
            <w:tcBorders>
              <w:top w:val="single" w:sz="4" w:space="0" w:color="auto"/>
              <w:left w:val="single" w:sz="4" w:space="0" w:color="auto"/>
            </w:tcBorders>
            <w:shd w:val="clear" w:color="auto" w:fill="auto"/>
            <w:vAlign w:val="center"/>
          </w:tcPr>
          <w:p w14:paraId="4F1909CB" w14:textId="155CB077" w:rsidR="00DE22BF" w:rsidRDefault="00DE22BF">
            <w:pPr>
              <w:pStyle w:val="Other10"/>
              <w:spacing w:after="0"/>
              <w:jc w:val="center"/>
              <w:rPr>
                <w:sz w:val="16"/>
                <w:szCs w:val="16"/>
              </w:rPr>
            </w:pPr>
          </w:p>
        </w:tc>
        <w:tc>
          <w:tcPr>
            <w:tcW w:w="2736" w:type="dxa"/>
            <w:tcBorders>
              <w:top w:val="single" w:sz="4" w:space="0" w:color="auto"/>
              <w:left w:val="single" w:sz="4" w:space="0" w:color="auto"/>
              <w:right w:val="single" w:sz="4" w:space="0" w:color="auto"/>
            </w:tcBorders>
            <w:shd w:val="clear" w:color="auto" w:fill="auto"/>
            <w:vAlign w:val="center"/>
          </w:tcPr>
          <w:p w14:paraId="0E99900F" w14:textId="6CF530C4" w:rsidR="00DE22BF" w:rsidRDefault="00DE22BF">
            <w:pPr>
              <w:pStyle w:val="Other10"/>
              <w:spacing w:after="0"/>
              <w:jc w:val="center"/>
              <w:rPr>
                <w:sz w:val="16"/>
                <w:szCs w:val="16"/>
              </w:rPr>
            </w:pPr>
          </w:p>
        </w:tc>
      </w:tr>
      <w:tr w:rsidR="00DE22BF" w14:paraId="2A11754D" w14:textId="77777777">
        <w:tblPrEx>
          <w:tblCellMar>
            <w:top w:w="0" w:type="dxa"/>
            <w:bottom w:w="0" w:type="dxa"/>
          </w:tblCellMar>
        </w:tblPrEx>
        <w:trPr>
          <w:trHeight w:hRule="exact" w:val="518"/>
          <w:jc w:val="center"/>
        </w:trPr>
        <w:tc>
          <w:tcPr>
            <w:tcW w:w="2059" w:type="dxa"/>
            <w:vMerge/>
            <w:tcBorders>
              <w:left w:val="single" w:sz="4" w:space="0" w:color="auto"/>
            </w:tcBorders>
            <w:shd w:val="clear" w:color="auto" w:fill="auto"/>
            <w:vAlign w:val="center"/>
          </w:tcPr>
          <w:p w14:paraId="6DB14CAA" w14:textId="77777777" w:rsidR="00DE22BF" w:rsidRDefault="00DE22BF"/>
        </w:tc>
        <w:tc>
          <w:tcPr>
            <w:tcW w:w="5227" w:type="dxa"/>
            <w:vMerge/>
            <w:tcBorders>
              <w:left w:val="single" w:sz="4" w:space="0" w:color="auto"/>
            </w:tcBorders>
            <w:shd w:val="clear" w:color="auto" w:fill="auto"/>
            <w:vAlign w:val="center"/>
          </w:tcPr>
          <w:p w14:paraId="45D6FF55" w14:textId="77777777" w:rsidR="00DE22BF" w:rsidRDefault="00DE22BF"/>
        </w:tc>
        <w:tc>
          <w:tcPr>
            <w:tcW w:w="2239" w:type="dxa"/>
            <w:tcBorders>
              <w:top w:val="single" w:sz="4" w:space="0" w:color="auto"/>
              <w:left w:val="single" w:sz="4" w:space="0" w:color="auto"/>
            </w:tcBorders>
            <w:shd w:val="clear" w:color="auto" w:fill="auto"/>
            <w:vAlign w:val="center"/>
          </w:tcPr>
          <w:p w14:paraId="640E372B" w14:textId="77777777" w:rsidR="00DE22BF" w:rsidRDefault="00000000">
            <w:pPr>
              <w:pStyle w:val="Other10"/>
              <w:spacing w:after="0" w:line="283" w:lineRule="auto"/>
              <w:jc w:val="center"/>
              <w:rPr>
                <w:sz w:val="16"/>
                <w:szCs w:val="16"/>
              </w:rPr>
            </w:pPr>
            <w:r>
              <w:rPr>
                <w:rStyle w:val="Other1"/>
                <w:sz w:val="16"/>
                <w:szCs w:val="16"/>
              </w:rPr>
              <w:t>2. pásmo bonusu za referenční období</w:t>
            </w:r>
          </w:p>
        </w:tc>
        <w:tc>
          <w:tcPr>
            <w:tcW w:w="2664" w:type="dxa"/>
            <w:tcBorders>
              <w:top w:val="single" w:sz="4" w:space="0" w:color="auto"/>
              <w:left w:val="single" w:sz="4" w:space="0" w:color="auto"/>
            </w:tcBorders>
            <w:shd w:val="clear" w:color="auto" w:fill="auto"/>
            <w:vAlign w:val="center"/>
          </w:tcPr>
          <w:p w14:paraId="10675DEA" w14:textId="7FD8186D" w:rsidR="00DE22BF" w:rsidRDefault="00DE22BF">
            <w:pPr>
              <w:pStyle w:val="Other10"/>
              <w:spacing w:after="0"/>
              <w:jc w:val="center"/>
              <w:rPr>
                <w:sz w:val="16"/>
                <w:szCs w:val="16"/>
              </w:rPr>
            </w:pPr>
          </w:p>
        </w:tc>
        <w:tc>
          <w:tcPr>
            <w:tcW w:w="2736" w:type="dxa"/>
            <w:tcBorders>
              <w:top w:val="single" w:sz="4" w:space="0" w:color="auto"/>
              <w:left w:val="single" w:sz="4" w:space="0" w:color="auto"/>
              <w:right w:val="single" w:sz="4" w:space="0" w:color="auto"/>
            </w:tcBorders>
            <w:shd w:val="clear" w:color="auto" w:fill="auto"/>
            <w:vAlign w:val="center"/>
          </w:tcPr>
          <w:p w14:paraId="688AA60F" w14:textId="1FEA7004" w:rsidR="00DE22BF" w:rsidRDefault="00DE22BF">
            <w:pPr>
              <w:pStyle w:val="Other10"/>
              <w:spacing w:after="0"/>
              <w:jc w:val="center"/>
              <w:rPr>
                <w:sz w:val="16"/>
                <w:szCs w:val="16"/>
              </w:rPr>
            </w:pPr>
          </w:p>
        </w:tc>
      </w:tr>
      <w:tr w:rsidR="00DE22BF" w14:paraId="750C9B5A" w14:textId="77777777">
        <w:tblPrEx>
          <w:tblCellMar>
            <w:top w:w="0" w:type="dxa"/>
            <w:bottom w:w="0" w:type="dxa"/>
          </w:tblCellMar>
        </w:tblPrEx>
        <w:trPr>
          <w:trHeight w:hRule="exact" w:val="518"/>
          <w:jc w:val="center"/>
        </w:trPr>
        <w:tc>
          <w:tcPr>
            <w:tcW w:w="2059" w:type="dxa"/>
            <w:vMerge/>
            <w:tcBorders>
              <w:left w:val="single" w:sz="4" w:space="0" w:color="auto"/>
            </w:tcBorders>
            <w:shd w:val="clear" w:color="auto" w:fill="auto"/>
            <w:vAlign w:val="center"/>
          </w:tcPr>
          <w:p w14:paraId="7ACDDB5E" w14:textId="77777777" w:rsidR="00DE22BF" w:rsidRDefault="00DE22BF"/>
        </w:tc>
        <w:tc>
          <w:tcPr>
            <w:tcW w:w="5227" w:type="dxa"/>
            <w:vMerge/>
            <w:tcBorders>
              <w:left w:val="single" w:sz="4" w:space="0" w:color="auto"/>
            </w:tcBorders>
            <w:shd w:val="clear" w:color="auto" w:fill="auto"/>
            <w:vAlign w:val="center"/>
          </w:tcPr>
          <w:p w14:paraId="4665A188" w14:textId="77777777" w:rsidR="00DE22BF" w:rsidRDefault="00DE22BF"/>
        </w:tc>
        <w:tc>
          <w:tcPr>
            <w:tcW w:w="2239" w:type="dxa"/>
            <w:tcBorders>
              <w:top w:val="single" w:sz="4" w:space="0" w:color="auto"/>
              <w:left w:val="single" w:sz="4" w:space="0" w:color="auto"/>
            </w:tcBorders>
            <w:shd w:val="clear" w:color="auto" w:fill="auto"/>
            <w:vAlign w:val="center"/>
          </w:tcPr>
          <w:p w14:paraId="43F2A5F6" w14:textId="77777777" w:rsidR="00DE22BF" w:rsidRDefault="00000000">
            <w:pPr>
              <w:pStyle w:val="Other10"/>
              <w:spacing w:after="0" w:line="283" w:lineRule="auto"/>
              <w:jc w:val="center"/>
              <w:rPr>
                <w:sz w:val="16"/>
                <w:szCs w:val="16"/>
              </w:rPr>
            </w:pPr>
            <w:r>
              <w:rPr>
                <w:rStyle w:val="Other1"/>
                <w:sz w:val="16"/>
                <w:szCs w:val="16"/>
              </w:rPr>
              <w:t>3. pásmo bonusu za referenční období</w:t>
            </w:r>
          </w:p>
        </w:tc>
        <w:tc>
          <w:tcPr>
            <w:tcW w:w="2664" w:type="dxa"/>
            <w:tcBorders>
              <w:top w:val="single" w:sz="4" w:space="0" w:color="auto"/>
              <w:left w:val="single" w:sz="4" w:space="0" w:color="auto"/>
            </w:tcBorders>
            <w:shd w:val="clear" w:color="auto" w:fill="auto"/>
            <w:vAlign w:val="center"/>
          </w:tcPr>
          <w:p w14:paraId="4ED5BA1D" w14:textId="1EA9A7B1" w:rsidR="00DE22BF" w:rsidRDefault="00DE22BF">
            <w:pPr>
              <w:pStyle w:val="Other10"/>
              <w:spacing w:after="0"/>
              <w:jc w:val="center"/>
              <w:rPr>
                <w:sz w:val="16"/>
                <w:szCs w:val="16"/>
              </w:rPr>
            </w:pPr>
          </w:p>
        </w:tc>
        <w:tc>
          <w:tcPr>
            <w:tcW w:w="2736" w:type="dxa"/>
            <w:tcBorders>
              <w:top w:val="single" w:sz="4" w:space="0" w:color="auto"/>
              <w:left w:val="single" w:sz="4" w:space="0" w:color="auto"/>
              <w:right w:val="single" w:sz="4" w:space="0" w:color="auto"/>
            </w:tcBorders>
            <w:shd w:val="clear" w:color="auto" w:fill="auto"/>
            <w:vAlign w:val="center"/>
          </w:tcPr>
          <w:p w14:paraId="7851CC04" w14:textId="202DF8AC" w:rsidR="00DE22BF" w:rsidRDefault="00DE22BF">
            <w:pPr>
              <w:pStyle w:val="Other10"/>
              <w:spacing w:after="0"/>
              <w:jc w:val="center"/>
              <w:rPr>
                <w:sz w:val="16"/>
                <w:szCs w:val="16"/>
              </w:rPr>
            </w:pPr>
          </w:p>
        </w:tc>
      </w:tr>
      <w:tr w:rsidR="00DE22BF" w14:paraId="766AF715" w14:textId="77777777">
        <w:tblPrEx>
          <w:tblCellMar>
            <w:top w:w="0" w:type="dxa"/>
            <w:bottom w:w="0" w:type="dxa"/>
          </w:tblCellMar>
        </w:tblPrEx>
        <w:trPr>
          <w:trHeight w:hRule="exact" w:val="554"/>
          <w:jc w:val="center"/>
        </w:trPr>
        <w:tc>
          <w:tcPr>
            <w:tcW w:w="2059" w:type="dxa"/>
            <w:vMerge/>
            <w:tcBorders>
              <w:left w:val="single" w:sz="4" w:space="0" w:color="auto"/>
              <w:bottom w:val="single" w:sz="4" w:space="0" w:color="auto"/>
            </w:tcBorders>
            <w:shd w:val="clear" w:color="auto" w:fill="auto"/>
            <w:vAlign w:val="center"/>
          </w:tcPr>
          <w:p w14:paraId="7FB0CD18" w14:textId="77777777" w:rsidR="00DE22BF" w:rsidRDefault="00DE22BF"/>
        </w:tc>
        <w:tc>
          <w:tcPr>
            <w:tcW w:w="5227" w:type="dxa"/>
            <w:vMerge/>
            <w:tcBorders>
              <w:left w:val="single" w:sz="4" w:space="0" w:color="auto"/>
              <w:bottom w:val="single" w:sz="4" w:space="0" w:color="auto"/>
            </w:tcBorders>
            <w:shd w:val="clear" w:color="auto" w:fill="auto"/>
            <w:vAlign w:val="center"/>
          </w:tcPr>
          <w:p w14:paraId="3CB9063C" w14:textId="77777777" w:rsidR="00DE22BF" w:rsidRDefault="00DE22BF"/>
        </w:tc>
        <w:tc>
          <w:tcPr>
            <w:tcW w:w="2239" w:type="dxa"/>
            <w:tcBorders>
              <w:top w:val="single" w:sz="4" w:space="0" w:color="auto"/>
              <w:left w:val="single" w:sz="4" w:space="0" w:color="auto"/>
              <w:bottom w:val="single" w:sz="4" w:space="0" w:color="auto"/>
            </w:tcBorders>
            <w:shd w:val="clear" w:color="auto" w:fill="auto"/>
            <w:vAlign w:val="center"/>
          </w:tcPr>
          <w:p w14:paraId="2130F0A8" w14:textId="77777777" w:rsidR="00DE22BF" w:rsidRDefault="00000000">
            <w:pPr>
              <w:pStyle w:val="Other10"/>
              <w:spacing w:after="0" w:line="283" w:lineRule="auto"/>
              <w:jc w:val="center"/>
              <w:rPr>
                <w:sz w:val="16"/>
                <w:szCs w:val="16"/>
              </w:rPr>
            </w:pPr>
            <w:r>
              <w:rPr>
                <w:rStyle w:val="Other1"/>
                <w:sz w:val="16"/>
                <w:szCs w:val="16"/>
              </w:rPr>
              <w:t>4. pásmo bonusu za referenční období</w:t>
            </w:r>
          </w:p>
        </w:tc>
        <w:tc>
          <w:tcPr>
            <w:tcW w:w="2664" w:type="dxa"/>
            <w:tcBorders>
              <w:top w:val="single" w:sz="4" w:space="0" w:color="auto"/>
              <w:left w:val="single" w:sz="4" w:space="0" w:color="auto"/>
              <w:bottom w:val="single" w:sz="4" w:space="0" w:color="auto"/>
            </w:tcBorders>
            <w:shd w:val="clear" w:color="auto" w:fill="auto"/>
            <w:vAlign w:val="center"/>
          </w:tcPr>
          <w:p w14:paraId="6D8D3418" w14:textId="3A08B951" w:rsidR="00DE22BF" w:rsidRDefault="00DE22BF">
            <w:pPr>
              <w:pStyle w:val="Other10"/>
              <w:spacing w:after="0"/>
              <w:jc w:val="center"/>
              <w:rPr>
                <w:sz w:val="16"/>
                <w:szCs w:val="16"/>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5D147F78" w14:textId="6D92F688" w:rsidR="00DE22BF" w:rsidRDefault="00DE22BF">
            <w:pPr>
              <w:pStyle w:val="Other10"/>
              <w:spacing w:after="0"/>
              <w:jc w:val="center"/>
              <w:rPr>
                <w:sz w:val="16"/>
                <w:szCs w:val="16"/>
              </w:rPr>
            </w:pPr>
          </w:p>
        </w:tc>
      </w:tr>
    </w:tbl>
    <w:p w14:paraId="0095CE54" w14:textId="77777777" w:rsidR="00DE22BF" w:rsidRDefault="00DE22BF">
      <w:pPr>
        <w:spacing w:after="199" w:line="1" w:lineRule="exact"/>
      </w:pPr>
    </w:p>
    <w:p w14:paraId="2391C654" w14:textId="7BBA2047" w:rsidR="00DE22BF" w:rsidRDefault="00000000">
      <w:pPr>
        <w:pStyle w:val="Bodytext10"/>
        <w:spacing w:after="100" w:line="233" w:lineRule="auto"/>
      </w:pPr>
      <w:r>
        <w:br w:type="page"/>
      </w:r>
    </w:p>
    <w:p w14:paraId="2A725CDC" w14:textId="77777777" w:rsidR="00DE22BF" w:rsidRDefault="00000000">
      <w:pPr>
        <w:pStyle w:val="Bodytext10"/>
        <w:spacing w:after="0"/>
        <w:jc w:val="center"/>
        <w:rPr>
          <w:sz w:val="19"/>
          <w:szCs w:val="19"/>
        </w:rPr>
      </w:pPr>
      <w:r>
        <w:rPr>
          <w:rStyle w:val="Bodytext1"/>
          <w:b/>
          <w:bCs/>
          <w:sz w:val="19"/>
          <w:szCs w:val="19"/>
        </w:rPr>
        <w:lastRenderedPageBreak/>
        <w:t>PŘÍLOHA 3</w:t>
      </w:r>
    </w:p>
    <w:p w14:paraId="00613453" w14:textId="77777777" w:rsidR="00DE22BF" w:rsidRDefault="00000000">
      <w:pPr>
        <w:pStyle w:val="Heading210"/>
        <w:keepNext/>
        <w:keepLines/>
      </w:pPr>
      <w:bookmarkStart w:id="1" w:name="bookmark2"/>
      <w:r>
        <w:rPr>
          <w:rStyle w:val="Heading21"/>
        </w:rPr>
        <w:t>Seznam zákaznických čísel</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066"/>
        <w:gridCol w:w="2635"/>
        <w:gridCol w:w="2642"/>
      </w:tblGrid>
      <w:tr w:rsidR="00DE22BF" w14:paraId="099BE3C3" w14:textId="77777777">
        <w:tblPrEx>
          <w:tblCellMar>
            <w:top w:w="0" w:type="dxa"/>
            <w:bottom w:w="0" w:type="dxa"/>
          </w:tblCellMar>
        </w:tblPrEx>
        <w:trPr>
          <w:trHeight w:hRule="exact" w:val="331"/>
          <w:jc w:val="center"/>
        </w:trPr>
        <w:tc>
          <w:tcPr>
            <w:tcW w:w="7343" w:type="dxa"/>
            <w:gridSpan w:val="3"/>
            <w:tcBorders>
              <w:top w:val="single" w:sz="4" w:space="0" w:color="auto"/>
              <w:left w:val="single" w:sz="4" w:space="0" w:color="auto"/>
              <w:right w:val="single" w:sz="4" w:space="0" w:color="auto"/>
            </w:tcBorders>
            <w:shd w:val="clear" w:color="auto" w:fill="auto"/>
            <w:vAlign w:val="bottom"/>
          </w:tcPr>
          <w:p w14:paraId="2C2103CF" w14:textId="77777777" w:rsidR="00DE22BF" w:rsidRDefault="00000000">
            <w:pPr>
              <w:pStyle w:val="Other10"/>
              <w:spacing w:after="0"/>
              <w:jc w:val="center"/>
              <w:rPr>
                <w:sz w:val="19"/>
                <w:szCs w:val="19"/>
              </w:rPr>
            </w:pPr>
            <w:r>
              <w:rPr>
                <w:rStyle w:val="Other1"/>
                <w:b/>
                <w:bCs/>
                <w:sz w:val="19"/>
                <w:szCs w:val="19"/>
              </w:rPr>
              <w:t xml:space="preserve">Nemocnice Havířov, </w:t>
            </w:r>
            <w:proofErr w:type="spellStart"/>
            <w:r>
              <w:rPr>
                <w:rStyle w:val="Other1"/>
                <w:b/>
                <w:bCs/>
                <w:sz w:val="19"/>
                <w:szCs w:val="19"/>
              </w:rPr>
              <w:t>p.o</w:t>
            </w:r>
            <w:proofErr w:type="spellEnd"/>
            <w:r>
              <w:rPr>
                <w:rStyle w:val="Other1"/>
                <w:b/>
                <w:bCs/>
                <w:sz w:val="19"/>
                <w:szCs w:val="19"/>
              </w:rPr>
              <w:t>.</w:t>
            </w:r>
          </w:p>
        </w:tc>
      </w:tr>
      <w:tr w:rsidR="00DE22BF" w14:paraId="16D513C3" w14:textId="77777777">
        <w:tblPrEx>
          <w:tblCellMar>
            <w:top w:w="0" w:type="dxa"/>
            <w:bottom w:w="0" w:type="dxa"/>
          </w:tblCellMar>
        </w:tblPrEx>
        <w:trPr>
          <w:trHeight w:hRule="exact" w:val="302"/>
          <w:jc w:val="center"/>
        </w:trPr>
        <w:tc>
          <w:tcPr>
            <w:tcW w:w="2066" w:type="dxa"/>
            <w:tcBorders>
              <w:top w:val="single" w:sz="4" w:space="0" w:color="auto"/>
              <w:left w:val="single" w:sz="4" w:space="0" w:color="auto"/>
            </w:tcBorders>
            <w:shd w:val="clear" w:color="auto" w:fill="auto"/>
          </w:tcPr>
          <w:p w14:paraId="3C7D5D3F" w14:textId="77777777" w:rsidR="00DE22BF" w:rsidRDefault="00000000">
            <w:pPr>
              <w:pStyle w:val="Other10"/>
              <w:spacing w:after="0"/>
              <w:jc w:val="center"/>
            </w:pPr>
            <w:r>
              <w:rPr>
                <w:rStyle w:val="Other1"/>
              </w:rPr>
              <w:t>DISTRIBUTOR</w:t>
            </w:r>
          </w:p>
        </w:tc>
        <w:tc>
          <w:tcPr>
            <w:tcW w:w="2635" w:type="dxa"/>
            <w:tcBorders>
              <w:top w:val="single" w:sz="4" w:space="0" w:color="auto"/>
              <w:left w:val="single" w:sz="4" w:space="0" w:color="auto"/>
            </w:tcBorders>
            <w:shd w:val="clear" w:color="auto" w:fill="auto"/>
          </w:tcPr>
          <w:p w14:paraId="306F1693" w14:textId="77777777" w:rsidR="00DE22BF" w:rsidRDefault="00000000">
            <w:pPr>
              <w:pStyle w:val="Other10"/>
              <w:spacing w:after="0"/>
              <w:jc w:val="center"/>
            </w:pPr>
            <w:r>
              <w:rPr>
                <w:rStyle w:val="Other1"/>
              </w:rPr>
              <w:t>ZÁKAZNICKÉ ČÍSLO recepty</w:t>
            </w:r>
          </w:p>
        </w:tc>
        <w:tc>
          <w:tcPr>
            <w:tcW w:w="2642" w:type="dxa"/>
            <w:tcBorders>
              <w:top w:val="single" w:sz="4" w:space="0" w:color="auto"/>
              <w:left w:val="single" w:sz="4" w:space="0" w:color="auto"/>
              <w:right w:val="single" w:sz="4" w:space="0" w:color="auto"/>
            </w:tcBorders>
            <w:shd w:val="clear" w:color="auto" w:fill="auto"/>
          </w:tcPr>
          <w:p w14:paraId="30C1D354" w14:textId="77777777" w:rsidR="00DE22BF" w:rsidRDefault="00000000">
            <w:pPr>
              <w:pStyle w:val="Other10"/>
              <w:spacing w:after="0"/>
              <w:jc w:val="center"/>
            </w:pPr>
            <w:r>
              <w:rPr>
                <w:rStyle w:val="Other1"/>
              </w:rPr>
              <w:t>ZÁKAZNICKÉ ČÍSLO lůžka</w:t>
            </w:r>
          </w:p>
        </w:tc>
      </w:tr>
      <w:tr w:rsidR="00DE22BF" w14:paraId="63699B47" w14:textId="77777777">
        <w:tblPrEx>
          <w:tblCellMar>
            <w:top w:w="0" w:type="dxa"/>
            <w:bottom w:w="0" w:type="dxa"/>
          </w:tblCellMar>
        </w:tblPrEx>
        <w:trPr>
          <w:trHeight w:hRule="exact" w:val="302"/>
          <w:jc w:val="center"/>
        </w:trPr>
        <w:tc>
          <w:tcPr>
            <w:tcW w:w="2066" w:type="dxa"/>
            <w:tcBorders>
              <w:top w:val="single" w:sz="4" w:space="0" w:color="auto"/>
              <w:left w:val="single" w:sz="4" w:space="0" w:color="auto"/>
            </w:tcBorders>
            <w:shd w:val="clear" w:color="auto" w:fill="auto"/>
          </w:tcPr>
          <w:p w14:paraId="0763D5F1" w14:textId="77777777" w:rsidR="00DE22BF" w:rsidRDefault="00000000">
            <w:pPr>
              <w:pStyle w:val="Other10"/>
              <w:spacing w:after="0"/>
              <w:jc w:val="center"/>
            </w:pPr>
            <w:r>
              <w:rPr>
                <w:rStyle w:val="Other1"/>
              </w:rPr>
              <w:t>Pharmos</w:t>
            </w:r>
          </w:p>
        </w:tc>
        <w:tc>
          <w:tcPr>
            <w:tcW w:w="2635" w:type="dxa"/>
            <w:tcBorders>
              <w:top w:val="single" w:sz="4" w:space="0" w:color="auto"/>
              <w:left w:val="single" w:sz="4" w:space="0" w:color="auto"/>
            </w:tcBorders>
            <w:shd w:val="clear" w:color="auto" w:fill="auto"/>
          </w:tcPr>
          <w:p w14:paraId="1C133793" w14:textId="77777777" w:rsidR="00DE22BF" w:rsidRDefault="00000000">
            <w:pPr>
              <w:pStyle w:val="Other10"/>
              <w:spacing w:after="0"/>
              <w:jc w:val="center"/>
            </w:pPr>
            <w:r>
              <w:rPr>
                <w:rStyle w:val="Other1"/>
              </w:rPr>
              <w:t>703075</w:t>
            </w:r>
          </w:p>
        </w:tc>
        <w:tc>
          <w:tcPr>
            <w:tcW w:w="2642" w:type="dxa"/>
            <w:tcBorders>
              <w:top w:val="single" w:sz="4" w:space="0" w:color="auto"/>
              <w:left w:val="single" w:sz="4" w:space="0" w:color="auto"/>
              <w:right w:val="single" w:sz="4" w:space="0" w:color="auto"/>
            </w:tcBorders>
            <w:shd w:val="clear" w:color="auto" w:fill="auto"/>
          </w:tcPr>
          <w:p w14:paraId="2847BEA5" w14:textId="77777777" w:rsidR="00DE22BF" w:rsidRDefault="00000000">
            <w:pPr>
              <w:pStyle w:val="Other10"/>
              <w:spacing w:after="0"/>
              <w:jc w:val="center"/>
            </w:pPr>
            <w:r>
              <w:rPr>
                <w:rStyle w:val="Other1"/>
              </w:rPr>
              <w:t>703123</w:t>
            </w:r>
          </w:p>
        </w:tc>
      </w:tr>
      <w:tr w:rsidR="00DE22BF" w14:paraId="27FB265C" w14:textId="77777777">
        <w:tblPrEx>
          <w:tblCellMar>
            <w:top w:w="0" w:type="dxa"/>
            <w:bottom w:w="0" w:type="dxa"/>
          </w:tblCellMar>
        </w:tblPrEx>
        <w:trPr>
          <w:trHeight w:hRule="exact" w:val="302"/>
          <w:jc w:val="center"/>
        </w:trPr>
        <w:tc>
          <w:tcPr>
            <w:tcW w:w="2066" w:type="dxa"/>
            <w:tcBorders>
              <w:top w:val="single" w:sz="4" w:space="0" w:color="auto"/>
              <w:left w:val="single" w:sz="4" w:space="0" w:color="auto"/>
            </w:tcBorders>
            <w:shd w:val="clear" w:color="auto" w:fill="auto"/>
          </w:tcPr>
          <w:p w14:paraId="6576DCBD" w14:textId="77777777" w:rsidR="00DE22BF" w:rsidRDefault="00000000">
            <w:pPr>
              <w:pStyle w:val="Other10"/>
              <w:spacing w:after="0"/>
              <w:jc w:val="center"/>
            </w:pPr>
            <w:r>
              <w:rPr>
                <w:rStyle w:val="Other1"/>
              </w:rPr>
              <w:t>Phoenix</w:t>
            </w:r>
          </w:p>
        </w:tc>
        <w:tc>
          <w:tcPr>
            <w:tcW w:w="2635" w:type="dxa"/>
            <w:tcBorders>
              <w:top w:val="single" w:sz="4" w:space="0" w:color="auto"/>
              <w:left w:val="single" w:sz="4" w:space="0" w:color="auto"/>
            </w:tcBorders>
            <w:shd w:val="clear" w:color="auto" w:fill="auto"/>
          </w:tcPr>
          <w:p w14:paraId="1BFF38B9" w14:textId="77777777" w:rsidR="00DE22BF" w:rsidRDefault="00000000">
            <w:pPr>
              <w:pStyle w:val="Other10"/>
              <w:spacing w:after="0"/>
              <w:jc w:val="center"/>
            </w:pPr>
            <w:r>
              <w:rPr>
                <w:rStyle w:val="Other1"/>
              </w:rPr>
              <w:t>1701852</w:t>
            </w:r>
          </w:p>
        </w:tc>
        <w:tc>
          <w:tcPr>
            <w:tcW w:w="2642" w:type="dxa"/>
            <w:tcBorders>
              <w:top w:val="single" w:sz="4" w:space="0" w:color="auto"/>
              <w:left w:val="single" w:sz="4" w:space="0" w:color="auto"/>
              <w:right w:val="single" w:sz="4" w:space="0" w:color="auto"/>
            </w:tcBorders>
            <w:shd w:val="clear" w:color="auto" w:fill="auto"/>
          </w:tcPr>
          <w:p w14:paraId="292FC090" w14:textId="77777777" w:rsidR="00DE22BF" w:rsidRDefault="00000000">
            <w:pPr>
              <w:pStyle w:val="Other10"/>
              <w:spacing w:after="0"/>
              <w:jc w:val="center"/>
            </w:pPr>
            <w:r>
              <w:rPr>
                <w:rStyle w:val="Other1"/>
              </w:rPr>
              <w:t>1703034</w:t>
            </w:r>
          </w:p>
        </w:tc>
      </w:tr>
      <w:tr w:rsidR="00DE22BF" w14:paraId="22FF2F2A" w14:textId="77777777">
        <w:tblPrEx>
          <w:tblCellMar>
            <w:top w:w="0" w:type="dxa"/>
            <w:bottom w:w="0" w:type="dxa"/>
          </w:tblCellMar>
        </w:tblPrEx>
        <w:trPr>
          <w:trHeight w:hRule="exact" w:val="295"/>
          <w:jc w:val="center"/>
        </w:trPr>
        <w:tc>
          <w:tcPr>
            <w:tcW w:w="2066" w:type="dxa"/>
            <w:tcBorders>
              <w:top w:val="single" w:sz="4" w:space="0" w:color="auto"/>
              <w:left w:val="single" w:sz="4" w:space="0" w:color="auto"/>
            </w:tcBorders>
            <w:shd w:val="clear" w:color="auto" w:fill="auto"/>
          </w:tcPr>
          <w:p w14:paraId="68FB6D4A" w14:textId="77777777" w:rsidR="00DE22BF" w:rsidRDefault="00000000">
            <w:pPr>
              <w:pStyle w:val="Other10"/>
              <w:spacing w:after="0"/>
              <w:jc w:val="center"/>
            </w:pPr>
            <w:proofErr w:type="spellStart"/>
            <w:r>
              <w:rPr>
                <w:rStyle w:val="Other1"/>
              </w:rPr>
              <w:t>Alliance</w:t>
            </w:r>
            <w:proofErr w:type="spellEnd"/>
          </w:p>
        </w:tc>
        <w:tc>
          <w:tcPr>
            <w:tcW w:w="2635" w:type="dxa"/>
            <w:tcBorders>
              <w:top w:val="single" w:sz="4" w:space="0" w:color="auto"/>
              <w:left w:val="single" w:sz="4" w:space="0" w:color="auto"/>
            </w:tcBorders>
            <w:shd w:val="clear" w:color="auto" w:fill="auto"/>
          </w:tcPr>
          <w:p w14:paraId="109C8FDF" w14:textId="77777777" w:rsidR="00DE22BF" w:rsidRDefault="00000000">
            <w:pPr>
              <w:pStyle w:val="Other10"/>
              <w:spacing w:after="0"/>
              <w:jc w:val="center"/>
            </w:pPr>
            <w:r>
              <w:rPr>
                <w:rStyle w:val="Other1"/>
              </w:rPr>
              <w:t>78855</w:t>
            </w:r>
          </w:p>
        </w:tc>
        <w:tc>
          <w:tcPr>
            <w:tcW w:w="2642" w:type="dxa"/>
            <w:tcBorders>
              <w:top w:val="single" w:sz="4" w:space="0" w:color="auto"/>
              <w:left w:val="single" w:sz="4" w:space="0" w:color="auto"/>
              <w:right w:val="single" w:sz="4" w:space="0" w:color="auto"/>
            </w:tcBorders>
            <w:shd w:val="clear" w:color="auto" w:fill="auto"/>
          </w:tcPr>
          <w:p w14:paraId="61480546" w14:textId="77777777" w:rsidR="00DE22BF" w:rsidRDefault="00000000">
            <w:pPr>
              <w:pStyle w:val="Other10"/>
              <w:spacing w:after="0"/>
              <w:jc w:val="center"/>
            </w:pPr>
            <w:r>
              <w:rPr>
                <w:rStyle w:val="Other1"/>
              </w:rPr>
              <w:t>79560</w:t>
            </w:r>
          </w:p>
        </w:tc>
      </w:tr>
      <w:tr w:rsidR="00DE22BF" w14:paraId="60C557FA" w14:textId="77777777">
        <w:tblPrEx>
          <w:tblCellMar>
            <w:top w:w="0" w:type="dxa"/>
            <w:bottom w:w="0" w:type="dxa"/>
          </w:tblCellMar>
        </w:tblPrEx>
        <w:trPr>
          <w:trHeight w:hRule="exact" w:val="317"/>
          <w:jc w:val="center"/>
        </w:trPr>
        <w:tc>
          <w:tcPr>
            <w:tcW w:w="2066" w:type="dxa"/>
            <w:tcBorders>
              <w:top w:val="single" w:sz="4" w:space="0" w:color="auto"/>
              <w:left w:val="single" w:sz="4" w:space="0" w:color="auto"/>
              <w:bottom w:val="single" w:sz="4" w:space="0" w:color="auto"/>
            </w:tcBorders>
            <w:shd w:val="clear" w:color="auto" w:fill="auto"/>
          </w:tcPr>
          <w:p w14:paraId="32C124D7" w14:textId="77777777" w:rsidR="00DE22BF" w:rsidRDefault="00000000">
            <w:pPr>
              <w:pStyle w:val="Other10"/>
              <w:spacing w:after="0"/>
              <w:jc w:val="center"/>
            </w:pPr>
            <w:proofErr w:type="spellStart"/>
            <w:r>
              <w:rPr>
                <w:rStyle w:val="Other1"/>
              </w:rPr>
              <w:t>Viapharma</w:t>
            </w:r>
            <w:proofErr w:type="spellEnd"/>
          </w:p>
        </w:tc>
        <w:tc>
          <w:tcPr>
            <w:tcW w:w="2635" w:type="dxa"/>
            <w:tcBorders>
              <w:top w:val="single" w:sz="4" w:space="0" w:color="auto"/>
              <w:left w:val="single" w:sz="4" w:space="0" w:color="auto"/>
              <w:bottom w:val="single" w:sz="4" w:space="0" w:color="auto"/>
            </w:tcBorders>
            <w:shd w:val="clear" w:color="auto" w:fill="auto"/>
          </w:tcPr>
          <w:p w14:paraId="36AF29FE" w14:textId="77777777" w:rsidR="00DE22BF" w:rsidRDefault="00000000">
            <w:pPr>
              <w:pStyle w:val="Other10"/>
              <w:spacing w:after="0"/>
              <w:jc w:val="center"/>
            </w:pPr>
            <w:r>
              <w:rPr>
                <w:rStyle w:val="Other1"/>
              </w:rPr>
              <w:t>97511</w:t>
            </w:r>
          </w:p>
        </w:tc>
        <w:tc>
          <w:tcPr>
            <w:tcW w:w="2642" w:type="dxa"/>
            <w:tcBorders>
              <w:top w:val="single" w:sz="4" w:space="0" w:color="auto"/>
              <w:left w:val="single" w:sz="4" w:space="0" w:color="auto"/>
              <w:bottom w:val="single" w:sz="4" w:space="0" w:color="auto"/>
              <w:right w:val="single" w:sz="4" w:space="0" w:color="auto"/>
            </w:tcBorders>
            <w:shd w:val="clear" w:color="auto" w:fill="auto"/>
          </w:tcPr>
          <w:p w14:paraId="78EABF99" w14:textId="77777777" w:rsidR="00DE22BF" w:rsidRDefault="00000000">
            <w:pPr>
              <w:pStyle w:val="Other10"/>
              <w:spacing w:after="0"/>
              <w:jc w:val="center"/>
            </w:pPr>
            <w:r>
              <w:rPr>
                <w:rStyle w:val="Other1"/>
              </w:rPr>
              <w:t>3102253</w:t>
            </w:r>
          </w:p>
        </w:tc>
      </w:tr>
    </w:tbl>
    <w:p w14:paraId="0DCCF45B" w14:textId="77777777" w:rsidR="007969DE" w:rsidRDefault="007969DE"/>
    <w:sectPr w:rsidR="007969DE">
      <w:footerReference w:type="default" r:id="rId9"/>
      <w:pgSz w:w="16840" w:h="11900" w:orient="landscape"/>
      <w:pgMar w:top="911" w:right="931" w:bottom="1126" w:left="523" w:header="48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FECE2" w14:textId="77777777" w:rsidR="007969DE" w:rsidRDefault="007969DE">
      <w:r>
        <w:separator/>
      </w:r>
    </w:p>
  </w:endnote>
  <w:endnote w:type="continuationSeparator" w:id="0">
    <w:p w14:paraId="457B77EC" w14:textId="77777777" w:rsidR="007969DE" w:rsidRDefault="0079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C9819" w14:textId="77777777" w:rsidR="00DE22BF" w:rsidRDefault="00000000">
    <w:pPr>
      <w:spacing w:line="1" w:lineRule="exact"/>
    </w:pPr>
    <w:r>
      <w:rPr>
        <w:noProof/>
      </w:rPr>
      <mc:AlternateContent>
        <mc:Choice Requires="wps">
          <w:drawing>
            <wp:anchor distT="0" distB="0" distL="0" distR="0" simplePos="0" relativeHeight="62914690" behindDoc="1" locked="0" layoutInCell="1" allowOverlap="1" wp14:anchorId="53FE54A7" wp14:editId="5F027B49">
              <wp:simplePos x="0" y="0"/>
              <wp:positionH relativeFrom="page">
                <wp:posOffset>6856730</wp:posOffset>
              </wp:positionH>
              <wp:positionV relativeFrom="page">
                <wp:posOffset>10238105</wp:posOffset>
              </wp:positionV>
              <wp:extent cx="3175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31750" cy="105410"/>
                      </a:xfrm>
                      <a:prstGeom prst="rect">
                        <a:avLst/>
                      </a:prstGeom>
                      <a:noFill/>
                    </wps:spPr>
                    <wps:txbx>
                      <w:txbxContent>
                        <w:p w14:paraId="4FDE5663" w14:textId="77777777" w:rsidR="00DE22BF"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53FE54A7" id="_x0000_t202" coordsize="21600,21600" o:spt="202" path="m,l,21600r21600,l21600,xe">
              <v:stroke joinstyle="miter"/>
              <v:path gradientshapeok="t" o:connecttype="rect"/>
            </v:shapetype>
            <v:shape id="Shape 3" o:spid="_x0000_s1027" type="#_x0000_t202" style="position:absolute;margin-left:539.9pt;margin-top:806.15pt;width:2.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" filled="f" stroked="f">
              <v:textbox style="mso-fit-shape-to-text:t" inset="0,0,0,0">
                <w:txbxContent>
                  <w:p w14:paraId="4FDE5663" w14:textId="77777777" w:rsidR="00DE22BF"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E53C5" w14:textId="77777777" w:rsidR="00DE22BF" w:rsidRDefault="00000000">
    <w:pPr>
      <w:spacing w:line="1" w:lineRule="exact"/>
    </w:pPr>
    <w:r>
      <w:rPr>
        <w:noProof/>
      </w:rPr>
      <mc:AlternateContent>
        <mc:Choice Requires="wps">
          <w:drawing>
            <wp:anchor distT="0" distB="0" distL="0" distR="0" simplePos="0" relativeHeight="62914693" behindDoc="1" locked="0" layoutInCell="1" allowOverlap="1" wp14:anchorId="7D407994" wp14:editId="2D852FB5">
              <wp:simplePos x="0" y="0"/>
              <wp:positionH relativeFrom="page">
                <wp:posOffset>10083165</wp:posOffset>
              </wp:positionH>
              <wp:positionV relativeFrom="page">
                <wp:posOffset>6962775</wp:posOffset>
              </wp:positionV>
              <wp:extent cx="68580"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68580" cy="95885"/>
                      </a:xfrm>
                      <a:prstGeom prst="rect">
                        <a:avLst/>
                      </a:prstGeom>
                      <a:noFill/>
                    </wps:spPr>
                    <wps:txbx>
                      <w:txbxContent>
                        <w:p w14:paraId="15E7A224" w14:textId="77777777" w:rsidR="00DE22BF"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7D407994" id="_x0000_t202" coordsize="21600,21600" o:spt="202" path="m,l,21600r21600,l21600,xe">
              <v:stroke joinstyle="miter"/>
              <v:path gradientshapeok="t" o:connecttype="rect"/>
            </v:shapetype>
            <v:shape id="Shape 9" o:spid="_x0000_s1028" type="#_x0000_t202" style="position:absolute;margin-left:793.95pt;margin-top:548.25pt;width:5.4pt;height:7.5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" filled="f" stroked="f">
              <v:textbox style="mso-fit-shape-to-text:t" inset="0,0,0,0">
                <w:txbxContent>
                  <w:p w14:paraId="15E7A224" w14:textId="77777777" w:rsidR="00DE22BF"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15A3" w14:textId="77777777" w:rsidR="00DE22BF" w:rsidRDefault="00000000">
    <w:pPr>
      <w:spacing w:line="1" w:lineRule="exact"/>
    </w:pPr>
    <w:r>
      <w:rPr>
        <w:noProof/>
      </w:rPr>
      <mc:AlternateContent>
        <mc:Choice Requires="wps">
          <w:drawing>
            <wp:anchor distT="0" distB="0" distL="0" distR="0" simplePos="0" relativeHeight="62914695" behindDoc="1" locked="0" layoutInCell="1" allowOverlap="1" wp14:anchorId="6983FFDA" wp14:editId="07FB4AE1">
              <wp:simplePos x="0" y="0"/>
              <wp:positionH relativeFrom="page">
                <wp:posOffset>10074910</wp:posOffset>
              </wp:positionH>
              <wp:positionV relativeFrom="page">
                <wp:posOffset>6974840</wp:posOffset>
              </wp:positionV>
              <wp:extent cx="5461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32F6AC2F" w14:textId="77777777" w:rsidR="00DE22BF"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6983FFDA" id="_x0000_t202" coordsize="21600,21600" o:spt="202" path="m,l,21600r21600,l21600,xe">
              <v:stroke joinstyle="miter"/>
              <v:path gradientshapeok="t" o:connecttype="rect"/>
            </v:shapetype>
            <v:shape id="Shape 11" o:spid="_x0000_s1029" type="#_x0000_t202" style="position:absolute;margin-left:793.3pt;margin-top:549.2pt;width:4.3pt;height:8.3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" filled="f" stroked="f">
              <v:textbox style="mso-fit-shape-to-text:t" inset="0,0,0,0">
                <w:txbxContent>
                  <w:p w14:paraId="32F6AC2F" w14:textId="77777777" w:rsidR="00DE22BF"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F0C9E" w14:textId="77777777" w:rsidR="007969DE" w:rsidRDefault="007969DE"/>
  </w:footnote>
  <w:footnote w:type="continuationSeparator" w:id="0">
    <w:p w14:paraId="3C3C9B72" w14:textId="77777777" w:rsidR="007969DE" w:rsidRDefault="007969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2882"/>
    <w:multiLevelType w:val="multilevel"/>
    <w:tmpl w:val="68E6D1B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BA04EF"/>
    <w:multiLevelType w:val="multilevel"/>
    <w:tmpl w:val="09DA6C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FD4855"/>
    <w:multiLevelType w:val="multilevel"/>
    <w:tmpl w:val="65C81B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7356664">
    <w:abstractNumId w:val="0"/>
  </w:num>
  <w:num w:numId="2" w16cid:durableId="638144546">
    <w:abstractNumId w:val="2"/>
  </w:num>
  <w:num w:numId="3" w16cid:durableId="182958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2BF"/>
    <w:rsid w:val="006F4D8A"/>
    <w:rsid w:val="007969DE"/>
    <w:rsid w:val="00DE2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121F"/>
  <w15:docId w15:val="{B7DA70DC-2267-4C46-9911-2033E51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8"/>
      <w:szCs w:val="2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0"/>
      <w:szCs w:val="1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ing21">
    <w:name w:val="Heading #2|1_"/>
    <w:basedOn w:val="Standardnpsmoodstavce"/>
    <w:link w:val="Heading210"/>
    <w:rPr>
      <w:b w:val="0"/>
      <w:bCs w:val="0"/>
      <w:i w:val="0"/>
      <w:iCs w:val="0"/>
      <w:smallCaps w:val="0"/>
      <w:strike w:val="0"/>
      <w:u w:val="none"/>
    </w:rPr>
  </w:style>
  <w:style w:type="paragraph" w:customStyle="1" w:styleId="Bodytext10">
    <w:name w:val="Body text|1"/>
    <w:basedOn w:val="Normln"/>
    <w:link w:val="Bodytext1"/>
    <w:pPr>
      <w:spacing w:after="220"/>
    </w:pPr>
    <w:rPr>
      <w:rFonts w:ascii="Arial" w:eastAsia="Arial" w:hAnsi="Arial" w:cs="Arial"/>
      <w:sz w:val="20"/>
      <w:szCs w:val="20"/>
    </w:rPr>
  </w:style>
  <w:style w:type="paragraph" w:customStyle="1" w:styleId="Heading110">
    <w:name w:val="Heading #1|1"/>
    <w:basedOn w:val="Normln"/>
    <w:link w:val="Heading11"/>
    <w:pPr>
      <w:spacing w:before="340" w:after="220"/>
      <w:jc w:val="center"/>
      <w:outlineLvl w:val="0"/>
    </w:pPr>
    <w:rPr>
      <w:rFonts w:ascii="Arial" w:eastAsia="Arial" w:hAnsi="Arial" w:cs="Arial"/>
      <w:b/>
      <w:bCs/>
      <w:sz w:val="28"/>
      <w:szCs w:val="28"/>
    </w:rPr>
  </w:style>
  <w:style w:type="paragraph" w:customStyle="1" w:styleId="Headerorfooter20">
    <w:name w:val="Header or footer|2"/>
    <w:basedOn w:val="Normln"/>
    <w:link w:val="Headerorfooter2"/>
    <w:rPr>
      <w:sz w:val="20"/>
      <w:szCs w:val="20"/>
    </w:rPr>
  </w:style>
  <w:style w:type="paragraph" w:customStyle="1" w:styleId="Bodytext20">
    <w:name w:val="Body text|2"/>
    <w:basedOn w:val="Normln"/>
    <w:link w:val="Bodytext2"/>
    <w:pPr>
      <w:spacing w:after="220" w:line="353" w:lineRule="auto"/>
      <w:jc w:val="center"/>
    </w:pPr>
    <w:rPr>
      <w:rFonts w:ascii="Arial" w:eastAsia="Arial" w:hAnsi="Arial" w:cs="Arial"/>
      <w:b/>
      <w:bCs/>
      <w:sz w:val="10"/>
      <w:szCs w:val="10"/>
    </w:rPr>
  </w:style>
  <w:style w:type="paragraph" w:customStyle="1" w:styleId="Other10">
    <w:name w:val="Other|1"/>
    <w:basedOn w:val="Normln"/>
    <w:link w:val="Other1"/>
    <w:pPr>
      <w:spacing w:after="220"/>
    </w:pPr>
    <w:rPr>
      <w:rFonts w:ascii="Arial" w:eastAsia="Arial" w:hAnsi="Arial" w:cs="Arial"/>
      <w:sz w:val="20"/>
      <w:szCs w:val="20"/>
    </w:rPr>
  </w:style>
  <w:style w:type="paragraph" w:customStyle="1" w:styleId="Heading210">
    <w:name w:val="Heading #2|1"/>
    <w:basedOn w:val="Normln"/>
    <w:link w:val="Heading21"/>
    <w:pPr>
      <w:spacing w:after="440"/>
      <w:jc w:val="cente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3328</Words>
  <Characters>19641</Characters>
  <Application>Microsoft Office Word</Application>
  <DocSecurity>0</DocSecurity>
  <Lines>163</Lines>
  <Paragraphs>45</Paragraphs>
  <ScaleCrop>false</ScaleCrop>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2024-03-14T13:09:00Z</dcterms:created>
  <dcterms:modified xsi:type="dcterms:W3CDTF">2024-03-14T13:09:00Z</dcterms:modified>
</cp:coreProperties>
</file>