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8738" w:y="238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Objednávka</w:t>
      </w:r>
    </w:p>
    <w:tbl>
      <w:tblPr>
        <w:tblOverlap w:val="never"/>
        <w:tblLayout w:type="fixed"/>
        <w:jc w:val="left"/>
      </w:tblPr>
      <w:tblGrid>
        <w:gridCol w:w="3920"/>
        <w:gridCol w:w="1685"/>
        <w:gridCol w:w="2747"/>
      </w:tblGrid>
      <w:tr>
        <w:trPr>
          <w:trHeight w:val="228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52" w:h="5684" w:wrap="none" w:vAnchor="page" w:hAnchor="page" w:x="1649" w:y="2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20" w:lineRule="exact"/>
              <w:ind w:left="140" w:right="0" w:firstLine="0"/>
            </w:pPr>
            <w:r>
              <w:rPr>
                <w:rStyle w:val="CharStyle8"/>
              </w:rPr>
              <w:t xml:space="preserve">ODBĚRATEL: IČ: </w:t>
            </w:r>
            <w:r>
              <w:rPr>
                <w:rStyle w:val="CharStyle9"/>
              </w:rPr>
              <w:t>00024830</w:t>
            </w:r>
          </w:p>
          <w:p>
            <w:pPr>
              <w:pStyle w:val="Style6"/>
              <w:framePr w:w="8352" w:h="5684" w:wrap="none" w:vAnchor="page" w:hAnchor="page" w:x="1649" w:y="2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45" w:lineRule="exact"/>
              <w:ind w:left="140" w:right="0" w:firstLine="0"/>
            </w:pPr>
            <w:r>
              <w:rPr>
                <w:rStyle w:val="CharStyle9"/>
              </w:rPr>
              <w:t>Česká republika - Okresní soud v Děčíně</w:t>
            </w:r>
          </w:p>
          <w:p>
            <w:pPr>
              <w:pStyle w:val="Style6"/>
              <w:framePr w:w="8352" w:h="5684" w:wrap="none" w:vAnchor="page" w:hAnchor="page" w:x="1649" w:y="2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45" w:lineRule="exact"/>
              <w:ind w:left="140" w:right="0" w:firstLine="0"/>
            </w:pPr>
            <w:r>
              <w:rPr>
                <w:rStyle w:val="CharStyle9"/>
              </w:rPr>
              <w:t>Masarykovo náměstí 1 405 97 Děčín</w:t>
            </w:r>
          </w:p>
          <w:p>
            <w:pPr>
              <w:pStyle w:val="Style6"/>
              <w:framePr w:w="8352" w:h="5684" w:wrap="none" w:vAnchor="page" w:hAnchor="page" w:x="1649" w:y="2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45" w:lineRule="exact"/>
              <w:ind w:left="140" w:right="0" w:firstLine="0"/>
            </w:pPr>
            <w:r>
              <w:rPr>
                <w:rStyle w:val="CharStyle9"/>
              </w:rPr>
              <w:t xml:space="preserve">Účet: </w:t>
            </w:r>
            <w:r>
              <w:rPr>
                <w:rStyle w:val="CharStyle10"/>
                <w:lang w:val="cs-CZ" w:eastAsia="cs-CZ" w:bidi="cs-CZ"/>
              </w:rPr>
              <w:t>..........</w:t>
            </w:r>
            <w:r>
              <w:rPr>
                <w:rStyle w:val="CharStyle11"/>
              </w:rPr>
              <w:t>.............</w:t>
            </w:r>
            <w:r>
              <w:rPr>
                <w:rStyle w:val="CharStyle9"/>
              </w:rPr>
              <w:t xml:space="preserve"> Odběratel není plátcem DPH.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8352" w:h="5684" w:wrap="none" w:vAnchor="page" w:hAnchor="page" w:x="1649" w:y="2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02" w:lineRule="exact"/>
              <w:ind w:left="0" w:right="0" w:firstLine="0"/>
            </w:pPr>
            <w:r>
              <w:rPr>
                <w:rStyle w:val="CharStyle9"/>
              </w:rPr>
              <w:t>Číslo objednávky: 2024 / OBJ / 69</w:t>
            </w:r>
          </w:p>
          <w:p>
            <w:pPr>
              <w:pStyle w:val="Style6"/>
              <w:framePr w:w="8352" w:h="5684" w:wrap="none" w:vAnchor="page" w:hAnchor="page" w:x="1649" w:y="2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9"/>
              </w:rPr>
              <w:t>Spisová značka:</w:t>
            </w:r>
          </w:p>
        </w:tc>
      </w:tr>
      <w:tr>
        <w:trPr>
          <w:trHeight w:val="6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52" w:h="5684" w:wrap="none" w:vAnchor="page" w:hAnchor="page" w:x="1649" w:y="26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8352" w:h="5684" w:wrap="none" w:vAnchor="page" w:hAnchor="page" w:x="1649" w:y="2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 xml:space="preserve">DODAVATEL: </w:t>
            </w:r>
            <w:r>
              <w:rPr>
                <w:rStyle w:val="CharStyle9"/>
              </w:rPr>
              <w:t>IČ: 14889811</w:t>
            </w:r>
          </w:p>
          <w:p>
            <w:pPr>
              <w:pStyle w:val="Style6"/>
              <w:framePr w:w="8352" w:h="5684" w:wrap="none" w:vAnchor="page" w:hAnchor="page" w:x="1649" w:y="2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20" w:lineRule="exact"/>
              <w:ind w:left="2120" w:right="0" w:firstLine="0"/>
            </w:pPr>
            <w:r>
              <w:rPr>
                <w:rStyle w:val="CharStyle9"/>
              </w:rPr>
              <w:t>DIČ: CZ14889811</w:t>
            </w:r>
          </w:p>
          <w:p>
            <w:pPr>
              <w:pStyle w:val="Style6"/>
              <w:framePr w:w="8352" w:h="5684" w:wrap="none" w:vAnchor="page" w:hAnchor="page" w:x="1649" w:y="264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245" w:lineRule="exact"/>
              <w:ind w:left="0" w:right="0" w:firstLine="0"/>
            </w:pPr>
            <w:r>
              <w:rPr>
                <w:rStyle w:val="CharStyle9"/>
              </w:rPr>
              <w:t>ITS akciová společnost Vinohradská 2396/184 130 00 Praha 3</w:t>
            </w:r>
          </w:p>
        </w:tc>
      </w:tr>
      <w:tr>
        <w:trPr>
          <w:trHeight w:val="9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52" w:h="5684" w:wrap="none" w:vAnchor="page" w:hAnchor="page" w:x="1649" w:y="2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9"/>
              </w:rPr>
              <w:t>Datum splatnosd:</w:t>
            </w:r>
          </w:p>
          <w:p>
            <w:pPr>
              <w:pStyle w:val="Style6"/>
              <w:framePr w:w="8352" w:h="5684" w:wrap="none" w:vAnchor="page" w:hAnchor="page" w:x="1649" w:y="2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9"/>
              </w:rPr>
              <w:t>Datum objednání: 12.3.2024 Datum dodání:</w:t>
            </w:r>
          </w:p>
          <w:p>
            <w:pPr>
              <w:pStyle w:val="Style6"/>
              <w:framePr w:w="8352" w:h="5684" w:wrap="none" w:vAnchor="page" w:hAnchor="page" w:x="1649" w:y="2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9"/>
              </w:rPr>
              <w:t>Způsob úhrady: Převodem</w:t>
            </w:r>
          </w:p>
        </w:tc>
        <w:tc>
          <w:tcPr>
            <w:shd w:val="clear" w:color="auto" w:fill="FFFFFF"/>
            <w:gridSpan w:val="2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8352" w:h="5684" w:wrap="none" w:vAnchor="page" w:hAnchor="page" w:x="1649" w:y="2646"/>
            </w:pPr>
          </w:p>
        </w:tc>
      </w:tr>
      <w:tr>
        <w:trPr>
          <w:trHeight w:val="1505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8352" w:h="5684" w:wrap="none" w:vAnchor="page" w:hAnchor="page" w:x="1649" w:y="2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1" w:lineRule="exact"/>
              <w:ind w:left="0" w:right="0" w:firstLine="0"/>
            </w:pPr>
            <w:r>
              <w:rPr>
                <w:rStyle w:val="CharStyle9"/>
              </w:rPr>
              <w:t>Text:</w:t>
            </w:r>
          </w:p>
          <w:p>
            <w:pPr>
              <w:pStyle w:val="Style6"/>
              <w:framePr w:w="8352" w:h="5684" w:wrap="none" w:vAnchor="page" w:hAnchor="page" w:x="1649" w:y="2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1" w:lineRule="exact"/>
              <w:ind w:left="0" w:right="0" w:firstLine="0"/>
            </w:pPr>
            <w:r>
              <w:rPr>
                <w:rStyle w:val="CharStyle9"/>
              </w:rPr>
              <w:t>Na základě uzavřeně Rámcové smlouvy 25/2021-MSP-CES a jejích dodatků č. 1 a 2, objednáváme 5 ks PC Lenovo ThinkCentre M75s Gen2 s DVD+/-RW opdckou mechanikou, výkonnějším procesorem a,s rozšířením operační paměd RAM na 16 GB. Spolu s PC objednáváme 5 ks monitorů AOC 24P2Q a 5 ks klávesnic se čtečkou karet v celkové ceně 85 003,23 Kč.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8352" w:h="5684" w:wrap="none" w:vAnchor="page" w:hAnchor="page" w:x="1649" w:y="26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8"/>
              </w:rPr>
              <w:t>Č.poL Označení Měrná jednotka Množství</w:t>
            </w:r>
          </w:p>
        </w:tc>
      </w:tr>
    </w:tbl>
    <w:p>
      <w:pPr>
        <w:pStyle w:val="Style12"/>
        <w:numPr>
          <w:ilvl w:val="0"/>
          <w:numId w:val="1"/>
        </w:numPr>
        <w:framePr w:w="8352" w:h="1539" w:hRule="exact" w:wrap="none" w:vAnchor="page" w:hAnchor="page" w:x="1649" w:y="8480"/>
        <w:tabs>
          <w:tab w:leader="none" w:pos="952" w:val="left"/>
          <w:tab w:leader="none" w:pos="5466" w:val="right"/>
          <w:tab w:leader="none" w:pos="814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PCLenovoThinkCentreM75sGen2s</w:t>
        <w:tab/>
        <w:t>KS</w:t>
        <w:tab/>
        <w:t>5,00</w:t>
      </w:r>
    </w:p>
    <w:p>
      <w:pPr>
        <w:pStyle w:val="Style12"/>
        <w:framePr w:w="8352" w:h="1539" w:hRule="exact" w:wrap="none" w:vAnchor="page" w:hAnchor="page" w:x="1649" w:y="84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DVD+/-RW optickou mechanikou,</w:t>
      </w:r>
    </w:p>
    <w:p>
      <w:pPr>
        <w:pStyle w:val="Style12"/>
        <w:framePr w:w="8352" w:h="1539" w:hRule="exact" w:wrap="none" w:vAnchor="page" w:hAnchor="page" w:x="1649" w:y="84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32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výkonnějším procesorem a s rozšířením operační paměti na 16GB</w:t>
      </w:r>
    </w:p>
    <w:p>
      <w:pPr>
        <w:pStyle w:val="Style12"/>
        <w:numPr>
          <w:ilvl w:val="0"/>
          <w:numId w:val="1"/>
        </w:numPr>
        <w:framePr w:w="8352" w:h="1539" w:hRule="exact" w:wrap="none" w:vAnchor="page" w:hAnchor="page" w:x="1649" w:y="8480"/>
        <w:tabs>
          <w:tab w:leader="none" w:pos="952" w:val="left"/>
          <w:tab w:leader="none" w:pos="5466" w:val="right"/>
          <w:tab w:leader="none" w:pos="814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Monitor A, AOC24P2Q</w:t>
        <w:tab/>
        <w:t>KS</w:t>
        <w:tab/>
        <w:t>5,00</w:t>
      </w:r>
    </w:p>
    <w:p>
      <w:pPr>
        <w:pStyle w:val="Style12"/>
        <w:numPr>
          <w:ilvl w:val="0"/>
          <w:numId w:val="1"/>
        </w:numPr>
        <w:framePr w:w="8352" w:h="1539" w:hRule="exact" w:wrap="none" w:vAnchor="page" w:hAnchor="page" w:x="1649" w:y="8480"/>
        <w:tabs>
          <w:tab w:leader="none" w:pos="952" w:val="left"/>
          <w:tab w:leader="none" w:pos="5466" w:val="right"/>
          <w:tab w:leader="none" w:pos="814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Klávesnice se čtečkou čipových karet</w:t>
        <w:tab/>
        <w:t>KS</w:t>
        <w:tab/>
        <w:t>5,00</w:t>
      </w:r>
    </w:p>
    <w:tbl>
      <w:tblPr>
        <w:tblOverlap w:val="never"/>
        <w:tblLayout w:type="fixed"/>
        <w:jc w:val="left"/>
      </w:tblPr>
      <w:tblGrid>
        <w:gridCol w:w="2254"/>
        <w:gridCol w:w="932"/>
        <w:gridCol w:w="3272"/>
        <w:gridCol w:w="1858"/>
      </w:tblGrid>
      <w:tr>
        <w:trPr>
          <w:trHeight w:val="295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6"/>
              <w:framePr w:w="8316" w:h="803" w:wrap="none" w:vAnchor="page" w:hAnchor="page" w:x="1653" w:y="10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Počet příloh: 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316" w:h="803" w:wrap="none" w:vAnchor="page" w:hAnchor="page" w:x="1653" w:y="10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Vyřizuje: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8316" w:h="803" w:wrap="none" w:vAnchor="page" w:hAnchor="page" w:x="1653" w:y="10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9"/>
              </w:rPr>
              <w:t>Ing. Jiří Balabán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316" w:h="803" w:wrap="none" w:vAnchor="page" w:hAnchor="page" w:x="1653" w:y="10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.........</w:t>
            </w:r>
            <w:r>
              <w:rPr>
                <w:rStyle w:val="CharStyle14"/>
              </w:rPr>
              <w:t>.....</w:t>
            </w:r>
            <w:r>
              <w:rPr>
                <w:rStyle w:val="CharStyle15"/>
              </w:rPr>
              <w:t>​...​.............</w:t>
            </w:r>
          </w:p>
        </w:tc>
      </w:tr>
      <w:tr>
        <w:trPr>
          <w:trHeight w:val="223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316" w:h="803" w:wrap="none" w:vAnchor="page" w:hAnchor="page" w:x="1653" w:y="10447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8316" w:h="803" w:wrap="none" w:vAnchor="page" w:hAnchor="page" w:x="1653" w:y="10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Telefon: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8316" w:h="803" w:wrap="none" w:vAnchor="page" w:hAnchor="page" w:x="1653" w:y="10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</w:rPr>
              <w:t>....</w:t>
            </w:r>
            <w:r>
              <w:rPr>
                <w:rStyle w:val="CharStyle10"/>
                <w:lang w:val="cs-CZ" w:eastAsia="cs-CZ" w:bidi="cs-CZ"/>
              </w:rPr>
              <w:t>...............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top"/>
          </w:tcPr>
          <w:p>
            <w:pPr>
              <w:framePr w:w="8316" w:h="803" w:wrap="none" w:vAnchor="page" w:hAnchor="page" w:x="1653" w:y="104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316" w:h="803" w:wrap="none" w:vAnchor="page" w:hAnchor="page" w:x="1653" w:y="10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6"/>
              <w:framePr w:w="8316" w:h="803" w:wrap="none" w:vAnchor="page" w:hAnchor="page" w:x="1653" w:y="10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E-mail: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6"/>
              <w:framePr w:w="8316" w:h="803" w:wrap="none" w:vAnchor="page" w:hAnchor="page" w:x="1653" w:y="10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5"/>
                <w:lang w:val="en-US" w:eastAsia="en-US" w:bidi="en-US"/>
              </w:rPr>
              <w:t>..............</w:t>
            </w:r>
            <w:r>
              <w:rPr>
                <w:rStyle w:val="CharStyle10"/>
              </w:rPr>
              <w:t>.......................................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8316" w:h="803" w:wrap="none" w:vAnchor="page" w:hAnchor="page" w:x="1653" w:y="10447"/>
            </w:pPr>
          </w:p>
        </w:tc>
      </w:tr>
    </w:tbl>
    <w:p>
      <w:pPr>
        <w:pStyle w:val="Style16"/>
        <w:framePr w:wrap="none" w:vAnchor="page" w:hAnchor="page" w:x="1649" w:y="13096"/>
        <w:widowControl w:val="0"/>
        <w:keepNext w:val="0"/>
        <w:keepLines w:val="0"/>
        <w:shd w:val="clear" w:color="auto" w:fill="auto"/>
        <w:bidi w:val="0"/>
        <w:jc w:val="left"/>
        <w:spacing w:before="0" w:after="0" w:line="500" w:lineRule="exact"/>
        <w:ind w:left="6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</w:t>
      </w:r>
    </w:p>
    <w:p>
      <w:pPr>
        <w:pStyle w:val="Style18"/>
        <w:framePr w:w="8352" w:h="638" w:hRule="exact" w:wrap="none" w:vAnchor="page" w:hAnchor="page" w:x="1649" w:y="1372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6300" w:right="0" w:firstLine="0"/>
      </w:pPr>
      <w:bookmarkStart w:id="0" w:name="bookmark0"/>
      <w:r>
        <w:rPr>
          <w:lang w:val="cs-CZ" w:eastAsia="cs-CZ" w:bidi="cs-CZ"/>
          <w:w w:val="100"/>
          <w:color w:val="000000"/>
          <w:position w:val="0"/>
        </w:rPr>
        <w:t>ITS/a.s.</w:t>
      </w:r>
      <w:bookmarkEnd w:id="0"/>
    </w:p>
    <w:p>
      <w:pPr>
        <w:pStyle w:val="Style6"/>
        <w:framePr w:w="8352" w:h="638" w:hRule="exact" w:wrap="none" w:vAnchor="page" w:hAnchor="page" w:x="1649" w:y="1372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6152" w:right="0" w:firstLine="0"/>
      </w:pP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color w:val="000000"/>
          <w:position w:val="0"/>
        </w:rPr>
        <w:t>Vinohrapska 184</w:t>
      </w:r>
    </w:p>
    <w:p>
      <w:pPr>
        <w:pStyle w:val="Style6"/>
        <w:framePr w:w="1534" w:h="544" w:hRule="exact" w:wrap="none" w:vAnchor="page" w:hAnchor="page" w:x="7758" w:y="14242"/>
        <w:widowControl w:val="0"/>
        <w:keepNext w:val="0"/>
        <w:keepLines w:val="0"/>
        <w:shd w:val="clear" w:color="auto" w:fill="auto"/>
        <w:bidi w:val="0"/>
        <w:jc w:val="right"/>
        <w:spacing w:before="0" w:after="0" w:line="198" w:lineRule="exact"/>
        <w:ind w:left="0" w:right="0" w:firstLine="0"/>
      </w:pPr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color w:val="000000"/>
          <w:position w:val="0"/>
        </w:rPr>
        <w:t>ÍČO * 811 \ '</w:t>
      </w:r>
    </w:p>
    <w:p>
      <w:pPr>
        <w:pStyle w:val="Style20"/>
        <w:framePr w:wrap="none" w:vAnchor="page" w:hAnchor="page" w:x="1649" w:y="15449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bookmarkStart w:id="1" w:name="bookmark1"/>
      <w:r>
        <w:rPr>
          <w:lang w:val="cs-CZ" w:eastAsia="cs-CZ" w:bidi="cs-CZ"/>
          <w:rFonts w:ascii="Microsoft Sans Serif" w:eastAsia="Microsoft Sans Serif" w:hAnsi="Microsoft Sans Serif" w:cs="Microsoft Sans Serif"/>
          <w:w w:val="100"/>
          <w:spacing w:val="0"/>
          <w:color w:val="000000"/>
          <w:position w:val="0"/>
        </w:rPr>
        <w:t>Tisk: CCA Group a.s.</w:t>
      </w:r>
      <w:bookmarkEnd w:id="1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Garamond" w:eastAsia="Garamond" w:hAnsi="Garamond" w:cs="Garamond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ulek tabulky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4"/>
      <w:szCs w:val="24"/>
      <w:rFonts w:ascii="Garamond" w:eastAsia="Garamond" w:hAnsi="Garamond" w:cs="Garamond"/>
    </w:rPr>
  </w:style>
  <w:style w:type="character" w:customStyle="1" w:styleId="CharStyle5">
    <w:name w:val="Titulek tabulky"/>
    <w:basedOn w:val="CharStyle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7">
    <w:name w:val="Základní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7"/>
      <w:szCs w:val="17"/>
      <w:spacing w:val="0"/>
    </w:rPr>
  </w:style>
  <w:style w:type="character" w:customStyle="1" w:styleId="CharStyle8">
    <w:name w:val="Základní text (2) + Garamond,10,5 pt,Tučné"/>
    <w:basedOn w:val="CharStyle7"/>
    <w:rPr>
      <w:lang w:val="cs-CZ" w:eastAsia="cs-CZ" w:bidi="cs-CZ"/>
      <w:b/>
      <w:bCs/>
      <w:sz w:val="21"/>
      <w:szCs w:val="21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9">
    <w:name w:val="Základní text (2) + Garamond,11 pt"/>
    <w:basedOn w:val="CharStyle7"/>
    <w:rPr>
      <w:lang w:val="cs-CZ" w:eastAsia="cs-CZ" w:bidi="cs-CZ"/>
      <w:sz w:val="22"/>
      <w:szCs w:val="22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10">
    <w:name w:val="{6933DB9F-CAA5-4AAB-8857-2073D5517902}"/>
    <w:basedOn w:val="CharStyle7"/>
    <w:rPr>
      <w:lang w:val="en-US" w:eastAsia="en-US" w:bidi="en-US"/>
      <w:sz w:val="22"/>
      <w:szCs w:val="22"/>
      <w:rFonts w:ascii="Garamond" w:eastAsia="Garamond" w:hAnsi="Garamond" w:cs="Garamond"/>
      <w:w w:val="100"/>
      <w:spacing w:val="1"/>
      <w:color w:val="000000"/>
      <w:shd w:val="clear" w:color="auto" w:fill="000000"/>
      <w:position w:val="0"/>
    </w:rPr>
  </w:style>
  <w:style w:type="character" w:customStyle="1" w:styleId="CharStyle11">
    <w:name w:val="{653BC0FC-5BA6-44FA-BC19-6CD81B58749E}"/>
    <w:basedOn w:val="CharStyle7"/>
    <w:rPr>
      <w:lang w:val="cs-CZ" w:eastAsia="cs-CZ" w:bidi="cs-CZ"/>
      <w:sz w:val="22"/>
      <w:szCs w:val="22"/>
      <w:rFonts w:ascii="Garamond" w:eastAsia="Garamond" w:hAnsi="Garamond" w:cs="Garamond"/>
      <w:w w:val="100"/>
      <w:spacing w:val="2"/>
      <w:color w:val="000000"/>
      <w:shd w:val="clear" w:color="auto" w:fill="000000"/>
      <w:position w:val="0"/>
    </w:rPr>
  </w:style>
  <w:style w:type="character" w:customStyle="1" w:styleId="CharStyle13">
    <w:name w:val="Obsah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  <w:style w:type="character" w:customStyle="1" w:styleId="CharStyle14">
    <w:name w:val="{DFD977EE-FD29-4562-949B-21486BAAB5B4}"/>
    <w:basedOn w:val="CharStyle7"/>
    <w:rPr>
      <w:lang w:val="cs-CZ" w:eastAsia="cs-CZ" w:bidi="cs-CZ"/>
      <w:sz w:val="22"/>
      <w:szCs w:val="22"/>
      <w:rFonts w:ascii="Garamond" w:eastAsia="Garamond" w:hAnsi="Garamond" w:cs="Garamond"/>
      <w:w w:val="100"/>
      <w:spacing w:val="3"/>
      <w:color w:val="000000"/>
      <w:shd w:val="clear" w:color="auto" w:fill="000000"/>
      <w:position w:val="0"/>
    </w:rPr>
  </w:style>
  <w:style w:type="character" w:customStyle="1" w:styleId="CharStyle15">
    <w:name w:val="{CEBF1AB6-95F0-4B46-BBF0-BF4A306CFB8A}"/>
    <w:basedOn w:val="CharStyle7"/>
    <w:rPr>
      <w:lang w:val="cs-CZ" w:eastAsia="cs-CZ" w:bidi="cs-CZ"/>
      <w:sz w:val="22"/>
      <w:szCs w:val="22"/>
      <w:rFonts w:ascii="Garamond" w:eastAsia="Garamond" w:hAnsi="Garamond" w:cs="Garamond"/>
      <w:w w:val="100"/>
      <w:spacing w:val="0"/>
      <w:color w:val="000000"/>
      <w:shd w:val="clear" w:color="auto" w:fill="000000"/>
      <w:position w:val="0"/>
    </w:rPr>
  </w:style>
  <w:style w:type="character" w:customStyle="1" w:styleId="CharStyle17">
    <w:name w:val="Základní text (3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50"/>
      <w:szCs w:val="50"/>
      <w:rFonts w:ascii="Garamond" w:eastAsia="Garamond" w:hAnsi="Garamond" w:cs="Garamond"/>
    </w:rPr>
  </w:style>
  <w:style w:type="character" w:customStyle="1" w:styleId="CharStyle19">
    <w:name w:val="Nadpis #1_"/>
    <w:basedOn w:val="DefaultParagraphFont"/>
    <w:link w:val="Style18"/>
    <w:rPr>
      <w:b/>
      <w:bCs/>
      <w:i w:val="0"/>
      <w:iCs w:val="0"/>
      <w:u w:val="none"/>
      <w:strike w:val="0"/>
      <w:smallCaps w:val="0"/>
      <w:sz w:val="28"/>
      <w:szCs w:val="28"/>
      <w:rFonts w:ascii="Garamond" w:eastAsia="Garamond" w:hAnsi="Garamond" w:cs="Garamond"/>
      <w:spacing w:val="0"/>
    </w:rPr>
  </w:style>
  <w:style w:type="character" w:customStyle="1" w:styleId="CharStyle21">
    <w:name w:val="Nadpis #2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paragraph" w:customStyle="1" w:styleId="Style3">
    <w:name w:val="Titulek tabulky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Garamond" w:eastAsia="Garamond" w:hAnsi="Garamond" w:cs="Garamond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spacing w:val="0"/>
    </w:rPr>
  </w:style>
  <w:style w:type="paragraph" w:customStyle="1" w:styleId="Style12">
    <w:name w:val="Obsah"/>
    <w:basedOn w:val="Normal"/>
    <w:link w:val="CharStyle13"/>
    <w:pPr>
      <w:widowControl w:val="0"/>
      <w:shd w:val="clear" w:color="auto" w:fill="FFFFFF"/>
      <w:jc w:val="both"/>
      <w:spacing w:line="245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  <w:style w:type="paragraph" w:customStyle="1" w:styleId="Style16">
    <w:name w:val="Základní text (3)"/>
    <w:basedOn w:val="Normal"/>
    <w:link w:val="CharStyle17"/>
    <w:pPr>
      <w:widowControl w:val="0"/>
      <w:shd w:val="clear" w:color="auto" w:fill="FFFFFF"/>
      <w:spacing w:before="1920" w:after="240"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Garamond" w:eastAsia="Garamond" w:hAnsi="Garamond" w:cs="Garamond"/>
    </w:rPr>
  </w:style>
  <w:style w:type="paragraph" w:customStyle="1" w:styleId="Style18">
    <w:name w:val="Nadpis #1"/>
    <w:basedOn w:val="Normal"/>
    <w:link w:val="CharStyle19"/>
    <w:pPr>
      <w:widowControl w:val="0"/>
      <w:shd w:val="clear" w:color="auto" w:fill="FFFFFF"/>
      <w:outlineLvl w:val="0"/>
      <w:spacing w:before="2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Garamond" w:eastAsia="Garamond" w:hAnsi="Garamond" w:cs="Garamond"/>
      <w:spacing w:val="0"/>
    </w:rPr>
  </w:style>
  <w:style w:type="paragraph" w:customStyle="1" w:styleId="Style20">
    <w:name w:val="Nadpis #2"/>
    <w:basedOn w:val="Normal"/>
    <w:link w:val="CharStyle21"/>
    <w:pPr>
      <w:widowControl w:val="0"/>
      <w:shd w:val="clear" w:color="auto" w:fill="FFFFFF"/>
      <w:jc w:val="both"/>
      <w:outlineLvl w:val="1"/>
      <w:spacing w:before="66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