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5211200249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statutární</w:t>
      </w:r>
      <w:r>
        <w:rPr>
          <w:spacing w:val="-8"/>
        </w:rPr>
        <w:t> </w:t>
      </w:r>
      <w:r>
        <w:rPr/>
        <w:t>město</w:t>
      </w:r>
      <w:r>
        <w:rPr>
          <w:spacing w:val="-8"/>
        </w:rPr>
        <w:t> </w:t>
      </w:r>
      <w:r>
        <w:rPr>
          <w:spacing w:val="-4"/>
        </w:rPr>
        <w:t>Brno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671"/>
      </w:pPr>
      <w:r>
        <w:rPr/>
        <w:t>kontaktní adresa:</w:t>
        <w:tab/>
        <w:t>Dominikánské</w:t>
      </w:r>
      <w:r>
        <w:rPr>
          <w:spacing w:val="-6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196/1,</w:t>
      </w:r>
      <w:r>
        <w:rPr>
          <w:spacing w:val="-6"/>
        </w:rPr>
        <w:t> </w:t>
      </w:r>
      <w:r>
        <w:rPr/>
        <w:t>Brno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město,</w:t>
      </w:r>
      <w:r>
        <w:rPr>
          <w:spacing w:val="-5"/>
        </w:rPr>
        <w:t> </w:t>
      </w:r>
      <w:r>
        <w:rPr/>
        <w:t>602</w:t>
      </w:r>
      <w:r>
        <w:rPr>
          <w:spacing w:val="-4"/>
        </w:rPr>
        <w:t> </w:t>
      </w:r>
      <w:r>
        <w:rPr/>
        <w:t>00</w:t>
      </w:r>
      <w:r>
        <w:rPr>
          <w:spacing w:val="-5"/>
        </w:rPr>
        <w:t> </w:t>
      </w:r>
      <w:r>
        <w:rPr/>
        <w:t>Brno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44992785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zastoupené:</w:t>
      </w:r>
      <w:r>
        <w:rPr/>
        <w:tab/>
        <w:t>JUDr.</w:t>
      </w:r>
      <w:r>
        <w:rPr>
          <w:spacing w:val="-3"/>
        </w:rPr>
        <w:t> </w:t>
      </w:r>
      <w:r>
        <w:rPr/>
        <w:t>Markétou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ň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primátorkou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186"/>
      </w:pPr>
      <w:r>
        <w:rPr/>
        <w:t>číslo účtu:</w:t>
        <w:tab/>
      </w:r>
      <w:r>
        <w:rPr>
          <w:spacing w:val="-2"/>
        </w:rPr>
        <w:t>94-313621/0710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5211200249 o poskytnutí finančních prostředků ze Státního fondu životního prostředí ČR ze dne 17.</w:t>
      </w:r>
      <w:r>
        <w:rPr>
          <w:spacing w:val="-1"/>
        </w:rPr>
        <w:t> </w:t>
      </w:r>
      <w:r>
        <w:rPr/>
        <w:t>5.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12/2021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673"/>
        <w:jc w:val="left"/>
      </w:pPr>
      <w:r>
        <w:rPr/>
        <w:t>„ZŠ</w:t>
      </w:r>
      <w:r>
        <w:rPr>
          <w:spacing w:val="-6"/>
        </w:rPr>
        <w:t> </w:t>
      </w:r>
      <w:r>
        <w:rPr/>
        <w:t>Hamry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stavební</w:t>
      </w:r>
      <w:r>
        <w:rPr>
          <w:spacing w:val="-5"/>
        </w:rPr>
        <w:t> </w:t>
      </w:r>
      <w:r>
        <w:rPr>
          <w:spacing w:val="-2"/>
        </w:rPr>
        <w:t>úpravy“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5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1" w:right="109" w:hanging="360"/>
        <w:jc w:val="left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4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b/>
          <w:sz w:val="20"/>
        </w:rPr>
        <w:t>12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093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267,58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4"/>
          <w:sz w:val="20"/>
        </w:rPr>
        <w:t> </w:t>
      </w:r>
      <w:r>
        <w:rPr>
          <w:sz w:val="20"/>
        </w:rPr>
        <w:t>(slovy: dvanáct milionů devadesát tři tisíc dvě stě šedesát sedm korun českých a padesát osm 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09" w:hanging="360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26 873 927,96 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45,00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12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limitována</w:t>
      </w:r>
      <w:r>
        <w:rPr>
          <w:spacing w:val="17"/>
          <w:sz w:val="20"/>
        </w:rPr>
        <w:t> </w:t>
      </w:r>
      <w:r>
        <w:rPr>
          <w:sz w:val="20"/>
        </w:rPr>
        <w:t>částkou</w:t>
      </w:r>
      <w:r>
        <w:rPr>
          <w:spacing w:val="18"/>
          <w:sz w:val="20"/>
        </w:rPr>
        <w:t> </w:t>
      </w:r>
      <w:r>
        <w:rPr>
          <w:sz w:val="20"/>
        </w:rPr>
        <w:t>uvedenou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1.</w:t>
      </w:r>
      <w:r>
        <w:rPr>
          <w:spacing w:val="18"/>
          <w:sz w:val="20"/>
        </w:rPr>
        <w:t> </w:t>
      </w:r>
      <w:r>
        <w:rPr>
          <w:sz w:val="20"/>
        </w:rPr>
        <w:t>Pokud</w:t>
      </w:r>
      <w:r>
        <w:rPr>
          <w:spacing w:val="26"/>
          <w:sz w:val="20"/>
        </w:rPr>
        <w:t> </w:t>
      </w:r>
      <w:r>
        <w:rPr>
          <w:sz w:val="20"/>
        </w:rPr>
        <w:t>skutečné</w:t>
      </w:r>
      <w:r>
        <w:rPr>
          <w:spacing w:val="15"/>
          <w:sz w:val="20"/>
        </w:rPr>
        <w:t> </w:t>
      </w:r>
      <w:r>
        <w:rPr>
          <w:sz w:val="20"/>
        </w:rPr>
        <w:t>výdaje</w:t>
      </w:r>
      <w:r>
        <w:rPr>
          <w:spacing w:val="17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(a</w:t>
      </w:r>
      <w:r>
        <w:rPr>
          <w:spacing w:val="17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1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1. února 2020;</w:t>
      </w:r>
      <w:r>
        <w:rPr>
          <w:spacing w:val="-2"/>
          <w:sz w:val="20"/>
        </w:rPr>
        <w:t> </w:t>
      </w:r>
      <w:r>
        <w:rPr>
          <w:sz w:val="20"/>
        </w:rPr>
        <w:t>ustanovení článku 10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8"/>
          <w:sz w:val="20"/>
        </w:rPr>
        <w:t> </w:t>
      </w:r>
      <w:r>
        <w:rPr>
          <w:sz w:val="20"/>
        </w:rPr>
        <w:t>dodavatelům</w:t>
      </w:r>
      <w:r>
        <w:rPr>
          <w:spacing w:val="59"/>
          <w:sz w:val="20"/>
        </w:rPr>
        <w:t> </w:t>
      </w:r>
      <w:r>
        <w:rPr>
          <w:sz w:val="20"/>
        </w:rPr>
        <w:t>lze</w:t>
      </w:r>
      <w:r>
        <w:rPr>
          <w:spacing w:val="57"/>
          <w:sz w:val="20"/>
        </w:rPr>
        <w:t> </w:t>
      </w:r>
      <w:r>
        <w:rPr>
          <w:sz w:val="20"/>
        </w:rPr>
        <w:t>z podpory</w:t>
      </w:r>
      <w:r>
        <w:rPr>
          <w:spacing w:val="58"/>
          <w:sz w:val="20"/>
        </w:rPr>
        <w:t> </w:t>
      </w:r>
      <w:r>
        <w:rPr>
          <w:sz w:val="20"/>
        </w:rPr>
        <w:t>poskytované</w:t>
      </w:r>
      <w:r>
        <w:rPr>
          <w:spacing w:val="57"/>
          <w:sz w:val="20"/>
        </w:rPr>
        <w:t> </w:t>
      </w:r>
      <w:r>
        <w:rPr>
          <w:sz w:val="20"/>
        </w:rPr>
        <w:t>Fondem</w:t>
      </w:r>
      <w:r>
        <w:rPr>
          <w:spacing w:val="59"/>
          <w:sz w:val="20"/>
        </w:rPr>
        <w:t> </w:t>
      </w:r>
      <w:r>
        <w:rPr>
          <w:sz w:val="20"/>
        </w:rPr>
        <w:t>hradit</w:t>
      </w:r>
      <w:r>
        <w:rPr>
          <w:spacing w:val="58"/>
          <w:sz w:val="20"/>
        </w:rPr>
        <w:t> </w:t>
      </w:r>
      <w:r>
        <w:rPr>
          <w:sz w:val="20"/>
        </w:rPr>
        <w:t>pouze</w:t>
      </w:r>
      <w:r>
        <w:rPr>
          <w:spacing w:val="57"/>
          <w:sz w:val="20"/>
        </w:rPr>
        <w:t> </w:t>
      </w:r>
      <w:r>
        <w:rPr>
          <w:sz w:val="20"/>
        </w:rPr>
        <w:t>za</w:t>
      </w:r>
      <w:r>
        <w:rPr>
          <w:spacing w:val="61"/>
          <w:sz w:val="20"/>
        </w:rPr>
        <w:t> </w:t>
      </w:r>
      <w:r>
        <w:rPr>
          <w:sz w:val="20"/>
        </w:rPr>
        <w:t>stavební</w:t>
      </w:r>
      <w:r>
        <w:rPr>
          <w:spacing w:val="60"/>
          <w:sz w:val="20"/>
        </w:rPr>
        <w:t> </w:t>
      </w:r>
      <w:r>
        <w:rPr>
          <w:sz w:val="20"/>
        </w:rPr>
        <w:t>práce,</w:t>
      </w:r>
      <w:r>
        <w:rPr>
          <w:spacing w:val="61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40"/>
          <w:sz w:val="20"/>
        </w:rPr>
        <w:t> </w:t>
      </w:r>
      <w:r>
        <w:rPr>
          <w:sz w:val="20"/>
        </w:rPr>
        <w:t>článků 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1" w:hanging="284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prostředky</w:t>
      </w:r>
      <w:r>
        <w:rPr>
          <w:spacing w:val="-12"/>
          <w:sz w:val="20"/>
        </w:rPr>
        <w:t> </w:t>
      </w:r>
      <w:r>
        <w:rPr>
          <w:sz w:val="20"/>
        </w:rPr>
        <w:t>průběžně</w:t>
      </w:r>
      <w:r>
        <w:rPr>
          <w:spacing w:val="-9"/>
          <w:sz w:val="20"/>
        </w:rPr>
        <w:t> </w:t>
      </w:r>
      <w:r>
        <w:rPr>
          <w:sz w:val="20"/>
        </w:rPr>
        <w:t>postupem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11"/>
          <w:sz w:val="20"/>
        </w:rPr>
        <w:t> </w:t>
      </w:r>
      <w:r>
        <w:rPr>
          <w:sz w:val="20"/>
        </w:rPr>
        <w:t>touto</w:t>
      </w:r>
      <w:r>
        <w:rPr>
          <w:spacing w:val="-10"/>
          <w:sz w:val="20"/>
        </w:rPr>
        <w:t> </w:t>
      </w:r>
      <w:r>
        <w:rPr>
          <w:sz w:val="20"/>
        </w:rPr>
        <w:t>Smlouvou</w:t>
      </w:r>
      <w:r>
        <w:rPr>
          <w:spacing w:val="-10"/>
          <w:sz w:val="20"/>
        </w:rPr>
        <w:t> </w:t>
      </w:r>
      <w:r>
        <w:rPr>
          <w:sz w:val="20"/>
        </w:rPr>
        <w:t>tak,</w:t>
      </w:r>
      <w:r>
        <w:rPr>
          <w:spacing w:val="-11"/>
          <w:sz w:val="20"/>
        </w:rPr>
        <w:t> </w:t>
      </w:r>
      <w:r>
        <w:rPr>
          <w:sz w:val="20"/>
        </w:rPr>
        <w:t>aby</w:t>
      </w:r>
      <w:r>
        <w:rPr>
          <w:spacing w:val="-12"/>
          <w:sz w:val="20"/>
        </w:rPr>
        <w:t> </w:t>
      </w:r>
      <w:r>
        <w:rPr>
          <w:sz w:val="20"/>
        </w:rPr>
        <w:t>byl 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5"/>
        <w:gridCol w:w="4863"/>
      </w:tblGrid>
      <w:tr>
        <w:trPr>
          <w:trHeight w:val="505" w:hRule="atLeast"/>
        </w:trPr>
        <w:tc>
          <w:tcPr>
            <w:tcW w:w="3975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3" w:type="dxa"/>
          </w:tcPr>
          <w:p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3975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3" w:type="dxa"/>
          </w:tcPr>
          <w:p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093</w:t>
            </w:r>
            <w:r>
              <w:rPr>
                <w:spacing w:val="-2"/>
                <w:sz w:val="20"/>
              </w:rPr>
              <w:t> 267,58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3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15.3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 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2"/>
          <w:sz w:val="20"/>
        </w:rPr>
        <w:t> </w:t>
      </w:r>
      <w:r>
        <w:rPr>
          <w:sz w:val="20"/>
        </w:rPr>
        <w:t>dohoda</w:t>
      </w:r>
      <w:r>
        <w:rPr>
          <w:spacing w:val="-2"/>
          <w:sz w:val="20"/>
        </w:rPr>
        <w:t> </w:t>
      </w:r>
      <w:r>
        <w:rPr>
          <w:sz w:val="20"/>
        </w:rPr>
        <w:t>musí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1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60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6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11" w:hanging="281"/>
        <w:jc w:val="both"/>
        <w:rPr>
          <w:sz w:val="20"/>
        </w:rPr>
      </w:pPr>
      <w:r>
        <w:rPr>
          <w:sz w:val="20"/>
        </w:rPr>
        <w:t>dojde ke snížení energetické náročnosti budovy ZŠ Hamry, kde budou realizována opatření spočívající ve výměně oken, zateplení obálky budovy a instalaci vzduchotechnických jednotek,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7"/>
        <w:gridCol w:w="1670"/>
        <w:gridCol w:w="1867"/>
        <w:gridCol w:w="1792"/>
      </w:tblGrid>
      <w:tr>
        <w:trPr>
          <w:trHeight w:val="506" w:hRule="atLeast"/>
        </w:trPr>
        <w:tc>
          <w:tcPr>
            <w:tcW w:w="3497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70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92" w:type="dxa"/>
          </w:tcPr>
          <w:p>
            <w:pPr>
              <w:pStyle w:val="TableParagraph"/>
              <w:spacing w:before="12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349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7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153.42</w:t>
            </w:r>
          </w:p>
        </w:tc>
        <w:tc>
          <w:tcPr>
            <w:tcW w:w="1792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99.86</w:t>
            </w:r>
          </w:p>
        </w:tc>
      </w:tr>
      <w:tr>
        <w:trPr>
          <w:trHeight w:val="506" w:hRule="atLeast"/>
        </w:trPr>
        <w:tc>
          <w:tcPr>
            <w:tcW w:w="349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7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1790.49</w:t>
            </w:r>
          </w:p>
        </w:tc>
        <w:tc>
          <w:tcPr>
            <w:tcW w:w="1792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896.24</w:t>
            </w:r>
          </w:p>
        </w:tc>
      </w:tr>
      <w:tr>
        <w:trPr>
          <w:trHeight w:val="532" w:hRule="atLeast"/>
        </w:trPr>
        <w:tc>
          <w:tcPr>
            <w:tcW w:w="3497" w:type="dxa"/>
          </w:tcPr>
          <w:p>
            <w:pPr>
              <w:pStyle w:val="TableParagraph"/>
              <w:spacing w:line="266" w:lineRule="exact"/>
              <w:ind w:left="38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7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1966.54</w:t>
            </w:r>
          </w:p>
        </w:tc>
        <w:tc>
          <w:tcPr>
            <w:tcW w:w="1792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1161.72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361"/>
        <w:jc w:val="left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</w:t>
      </w:r>
      <w:r>
        <w:rPr>
          <w:spacing w:val="-6"/>
          <w:sz w:val="20"/>
        </w:rPr>
        <w:t> </w:t>
      </w:r>
      <w:r>
        <w:rPr>
          <w:sz w:val="20"/>
        </w:rPr>
        <w:t>splňovat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13.1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g)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61" w:val="left" w:leader="none"/>
        </w:tabs>
        <w:spacing w:line="240" w:lineRule="auto" w:before="121" w:after="0"/>
        <w:ind w:left="960" w:right="0" w:hanging="361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101" w:val="left" w:leader="none"/>
          <w:tab w:pos="1102" w:val="left" w:leader="none"/>
        </w:tabs>
        <w:spacing w:line="240" w:lineRule="auto" w:before="118" w:after="0"/>
        <w:ind w:left="1102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102" w:val="left" w:leader="none"/>
        </w:tabs>
        <w:spacing w:line="240" w:lineRule="auto" w:before="120" w:after="0"/>
        <w:ind w:left="1101" w:right="110" w:hanging="360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5"/>
          <w:sz w:val="20"/>
        </w:rPr>
        <w:t> </w:t>
      </w:r>
      <w:r>
        <w:rPr>
          <w:sz w:val="20"/>
        </w:rPr>
        <w:t>relevantních</w:t>
      </w:r>
      <w:r>
        <w:rPr>
          <w:spacing w:val="-4"/>
          <w:sz w:val="20"/>
        </w:rPr>
        <w:t> </w:t>
      </w:r>
      <w:r>
        <w:rPr>
          <w:sz w:val="20"/>
        </w:rPr>
        <w:t>aktivit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jejich</w:t>
      </w:r>
      <w:r>
        <w:rPr>
          <w:spacing w:val="-4"/>
          <w:sz w:val="20"/>
        </w:rPr>
        <w:t> </w:t>
      </w:r>
      <w:r>
        <w:rPr>
          <w:sz w:val="20"/>
        </w:rPr>
        <w:t>výstupů)</w:t>
      </w:r>
      <w:r>
        <w:rPr>
          <w:spacing w:val="-2"/>
          <w:sz w:val="20"/>
        </w:rPr>
        <w:t> </w:t>
      </w:r>
      <w:r>
        <w:rPr>
          <w:sz w:val="20"/>
        </w:rPr>
        <w:t>řádně</w:t>
      </w:r>
      <w:r>
        <w:rPr>
          <w:spacing w:val="-5"/>
          <w:sz w:val="20"/>
        </w:rPr>
        <w:t> </w:t>
      </w:r>
      <w:r>
        <w:rPr>
          <w:sz w:val="20"/>
        </w:rPr>
        <w:t>plněn</w:t>
      </w:r>
      <w:r>
        <w:rPr>
          <w:spacing w:val="-3"/>
          <w:sz w:val="20"/>
        </w:rPr>
        <w:t> </w:t>
      </w:r>
      <w:r>
        <w:rPr>
          <w:sz w:val="20"/>
        </w:rPr>
        <w:t>nejméně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4"/>
          <w:sz w:val="20"/>
        </w:rPr>
        <w:t> </w:t>
      </w:r>
      <w:r>
        <w:rPr>
          <w:sz w:val="20"/>
        </w:rPr>
        <w:t>pěti</w:t>
      </w:r>
      <w:r>
        <w:rPr>
          <w:spacing w:val="-5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5"/>
          <w:sz w:val="20"/>
        </w:rPr>
        <w:t> </w:t>
      </w:r>
      <w:r>
        <w:rPr>
          <w:sz w:val="20"/>
        </w:rPr>
        <w:t>projektu (čl. 12 písm. f) Výzvy, včetně poznámky pod čarou č. 10 Výzvy),</w:t>
      </w:r>
    </w:p>
    <w:p>
      <w:pPr>
        <w:pStyle w:val="ListParagraph"/>
        <w:numPr>
          <w:ilvl w:val="2"/>
          <w:numId w:val="4"/>
        </w:numPr>
        <w:tabs>
          <w:tab w:pos="1102" w:val="left" w:leader="none"/>
        </w:tabs>
        <w:spacing w:line="240" w:lineRule="auto" w:before="122" w:after="0"/>
        <w:ind w:left="110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veškeré</w:t>
      </w:r>
      <w:r>
        <w:rPr>
          <w:spacing w:val="16"/>
          <w:sz w:val="20"/>
        </w:rPr>
        <w:t> </w:t>
      </w:r>
      <w:r>
        <w:rPr>
          <w:sz w:val="20"/>
        </w:rPr>
        <w:t>výdaje</w:t>
      </w:r>
      <w:r>
        <w:rPr>
          <w:spacing w:val="16"/>
          <w:sz w:val="20"/>
        </w:rPr>
        <w:t> </w:t>
      </w:r>
      <w:r>
        <w:rPr>
          <w:sz w:val="20"/>
        </w:rPr>
        <w:t>akce</w:t>
      </w:r>
      <w:r>
        <w:rPr>
          <w:spacing w:val="19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účetnictví</w:t>
      </w:r>
      <w:r>
        <w:rPr>
          <w:spacing w:val="17"/>
          <w:sz w:val="20"/>
        </w:rPr>
        <w:t> </w:t>
      </w:r>
      <w:r>
        <w:rPr>
          <w:sz w:val="20"/>
        </w:rPr>
        <w:t>(zákon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563/1991</w:t>
      </w:r>
      <w:r>
        <w:rPr>
          <w:spacing w:val="18"/>
          <w:sz w:val="20"/>
        </w:rPr>
        <w:t> </w:t>
      </w:r>
      <w:r>
        <w:rPr>
          <w:sz w:val="20"/>
        </w:rPr>
        <w:t>Sb.,</w:t>
      </w:r>
      <w:r>
        <w:rPr>
          <w:spacing w:val="18"/>
          <w:sz w:val="20"/>
        </w:rPr>
        <w:t> </w:t>
      </w:r>
      <w:r>
        <w:rPr>
          <w:sz w:val="20"/>
        </w:rPr>
        <w:t>o účetnictví,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18"/>
          <w:sz w:val="20"/>
        </w:rPr>
        <w:t> </w:t>
      </w:r>
      <w:r>
        <w:rPr>
          <w:sz w:val="20"/>
        </w:rPr>
        <w:t>platném</w:t>
      </w:r>
      <w:r>
        <w:rPr>
          <w:spacing w:val="16"/>
          <w:sz w:val="20"/>
        </w:rPr>
        <w:t> </w:t>
      </w:r>
      <w:r>
        <w:rPr>
          <w:sz w:val="20"/>
        </w:rPr>
        <w:t>znění) či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27"/>
          <w:sz w:val="20"/>
        </w:rPr>
        <w:t> </w:t>
      </w:r>
      <w:r>
        <w:rPr>
          <w:sz w:val="20"/>
        </w:rPr>
        <w:t>daňové</w:t>
      </w:r>
      <w:r>
        <w:rPr>
          <w:spacing w:val="28"/>
          <w:sz w:val="20"/>
        </w:rPr>
        <w:t> </w:t>
      </w:r>
      <w:r>
        <w:rPr>
          <w:sz w:val="20"/>
        </w:rPr>
        <w:t>evidenci</w:t>
      </w:r>
      <w:r>
        <w:rPr>
          <w:spacing w:val="27"/>
          <w:sz w:val="20"/>
        </w:rPr>
        <w:t> </w:t>
      </w:r>
      <w:r>
        <w:rPr>
          <w:sz w:val="20"/>
        </w:rPr>
        <w:t>(zákon</w:t>
      </w:r>
      <w:r>
        <w:rPr>
          <w:spacing w:val="26"/>
          <w:sz w:val="20"/>
        </w:rPr>
        <w:t> </w:t>
      </w:r>
      <w:r>
        <w:rPr>
          <w:sz w:val="20"/>
        </w:rPr>
        <w:t>č.</w:t>
      </w:r>
      <w:r>
        <w:rPr>
          <w:spacing w:val="26"/>
          <w:sz w:val="20"/>
        </w:rPr>
        <w:t> </w:t>
      </w:r>
      <w:r>
        <w:rPr>
          <w:sz w:val="20"/>
        </w:rPr>
        <w:t>586/1992</w:t>
      </w:r>
      <w:r>
        <w:rPr>
          <w:spacing w:val="26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daních</w:t>
      </w:r>
      <w:r>
        <w:rPr>
          <w:spacing w:val="26"/>
          <w:sz w:val="20"/>
        </w:rPr>
        <w:t> </w:t>
      </w:r>
      <w:r>
        <w:rPr>
          <w:sz w:val="20"/>
        </w:rPr>
        <w:t>z příjmů,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27"/>
          <w:sz w:val="20"/>
        </w:rPr>
        <w:t> </w:t>
      </w:r>
      <w:r>
        <w:rPr>
          <w:sz w:val="20"/>
        </w:rPr>
        <w:t>znění)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5"/>
          <w:sz w:val="20"/>
        </w:rPr>
        <w:t> </w:t>
      </w:r>
      <w:r>
        <w:rPr>
          <w:sz w:val="20"/>
        </w:rPr>
        <w:t>pokynů v čl. 12 písm. b) Výzvy,</w:t>
      </w:r>
    </w:p>
    <w:p>
      <w:pPr>
        <w:pStyle w:val="ListParagraph"/>
        <w:numPr>
          <w:ilvl w:val="2"/>
          <w:numId w:val="4"/>
        </w:numPr>
        <w:tabs>
          <w:tab w:pos="1102" w:val="left" w:leader="none"/>
        </w:tabs>
        <w:spacing w:line="240" w:lineRule="auto" w:before="119" w:after="0"/>
        <w:ind w:left="1102" w:right="0" w:hanging="361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6"/>
          <w:sz w:val="20"/>
        </w:rPr>
        <w:t> </w:t>
      </w:r>
      <w:r>
        <w:rPr>
          <w:sz w:val="20"/>
        </w:rPr>
        <w:t>tzv.</w:t>
      </w:r>
      <w:r>
        <w:rPr>
          <w:spacing w:val="-5"/>
          <w:sz w:val="20"/>
        </w:rPr>
        <w:t> </w:t>
      </w:r>
      <w:r>
        <w:rPr>
          <w:sz w:val="20"/>
        </w:rPr>
        <w:t>dvojímu</w:t>
      </w:r>
      <w:r>
        <w:rPr>
          <w:spacing w:val="-4"/>
          <w:sz w:val="20"/>
        </w:rPr>
        <w:t> </w:t>
      </w:r>
      <w:r>
        <w:rPr>
          <w:sz w:val="20"/>
        </w:rPr>
        <w:t>financování,</w:t>
      </w:r>
      <w:r>
        <w:rPr>
          <w:spacing w:val="-6"/>
          <w:sz w:val="20"/>
        </w:rPr>
        <w:t> </w:t>
      </w:r>
      <w:r>
        <w:rPr>
          <w:sz w:val="20"/>
        </w:rPr>
        <w:t>tj.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postupovat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k)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102" w:val="left" w:leader="none"/>
        </w:tabs>
        <w:spacing w:line="240" w:lineRule="auto" w:before="120" w:after="0"/>
        <w:ind w:left="1101" w:right="119" w:hanging="360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9"/>
          <w:sz w:val="20"/>
        </w:rPr>
        <w:t> </w:t>
      </w:r>
      <w:r>
        <w:rPr>
          <w:sz w:val="20"/>
        </w:rPr>
        <w:t>osobám</w:t>
      </w:r>
      <w:r>
        <w:rPr>
          <w:spacing w:val="-13"/>
          <w:sz w:val="20"/>
        </w:rPr>
        <w:t> </w:t>
      </w:r>
      <w:r>
        <w:rPr>
          <w:sz w:val="20"/>
        </w:rPr>
        <w:t>pověřeným</w:t>
      </w:r>
      <w:r>
        <w:rPr>
          <w:spacing w:val="-13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případně</w:t>
      </w:r>
      <w:r>
        <w:rPr>
          <w:spacing w:val="-10"/>
          <w:sz w:val="20"/>
        </w:rPr>
        <w:t> </w:t>
      </w:r>
      <w:r>
        <w:rPr>
          <w:sz w:val="20"/>
        </w:rPr>
        <w:t>jiným</w:t>
      </w:r>
      <w:r>
        <w:rPr>
          <w:spacing w:val="-13"/>
          <w:sz w:val="20"/>
        </w:rPr>
        <w:t> </w:t>
      </w:r>
      <w:r>
        <w:rPr>
          <w:sz w:val="20"/>
        </w:rPr>
        <w:t>oprávněným</w:t>
      </w:r>
      <w:r>
        <w:rPr>
          <w:spacing w:val="-10"/>
          <w:sz w:val="20"/>
        </w:rPr>
        <w:t> </w:t>
      </w:r>
      <w:r>
        <w:rPr>
          <w:sz w:val="20"/>
        </w:rPr>
        <w:t>kontrolním</w:t>
      </w:r>
      <w:r>
        <w:rPr>
          <w:spacing w:val="-10"/>
          <w:sz w:val="20"/>
        </w:rPr>
        <w:t> </w:t>
      </w:r>
      <w:r>
        <w:rPr>
          <w:sz w:val="20"/>
        </w:rPr>
        <w:t>orgánům,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po dobu udržitelnosti projektu,</w:t>
      </w:r>
    </w:p>
    <w:p>
      <w:pPr>
        <w:pStyle w:val="ListParagraph"/>
        <w:numPr>
          <w:ilvl w:val="0"/>
          <w:numId w:val="5"/>
        </w:numPr>
        <w:tabs>
          <w:tab w:pos="1026" w:val="left" w:leader="none"/>
        </w:tabs>
        <w:spacing w:line="240" w:lineRule="auto" w:before="121" w:after="0"/>
        <w:ind w:left="1025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1026" w:val="left" w:leader="none"/>
        </w:tabs>
        <w:spacing w:line="240" w:lineRule="auto" w:before="118" w:after="0"/>
        <w:ind w:left="1025" w:right="108" w:hanging="360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3"/>
          <w:sz w:val="20"/>
        </w:rPr>
        <w:t> </w:t>
      </w:r>
      <w:r>
        <w:rPr>
          <w:sz w:val="20"/>
        </w:rPr>
        <w:t>konce</w:t>
      </w:r>
      <w:r>
        <w:rPr>
          <w:spacing w:val="-14"/>
          <w:sz w:val="20"/>
        </w:rPr>
        <w:t> </w:t>
      </w:r>
      <w:r>
        <w:rPr>
          <w:sz w:val="20"/>
        </w:rPr>
        <w:t>09/2024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dodržení</w:t>
      </w:r>
      <w:r>
        <w:rPr>
          <w:spacing w:val="-14"/>
          <w:sz w:val="20"/>
        </w:rPr>
        <w:t> </w:t>
      </w:r>
      <w:r>
        <w:rPr>
          <w:sz w:val="20"/>
        </w:rPr>
        <w:t>tohoto</w:t>
      </w:r>
      <w:r>
        <w:rPr>
          <w:spacing w:val="-13"/>
          <w:sz w:val="20"/>
        </w:rPr>
        <w:t> </w:t>
      </w:r>
      <w:r>
        <w:rPr>
          <w:sz w:val="20"/>
        </w:rPr>
        <w:t>termínu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zbytečného</w:t>
      </w:r>
      <w:r>
        <w:rPr>
          <w:spacing w:val="-13"/>
          <w:sz w:val="20"/>
        </w:rPr>
        <w:t> </w:t>
      </w:r>
      <w:r>
        <w:rPr>
          <w:sz w:val="20"/>
        </w:rPr>
        <w:t>odkladu informovat (termínem dokončení akce se rozumí datum uvedení stavby k trvalému provozu, v souladu</w:t>
      </w:r>
      <w:r>
        <w:rPr>
          <w:spacing w:val="33"/>
          <w:sz w:val="20"/>
        </w:rPr>
        <w:t> </w:t>
      </w: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zákonem</w:t>
      </w:r>
      <w:r>
        <w:rPr>
          <w:spacing w:val="32"/>
          <w:sz w:val="20"/>
        </w:rPr>
        <w:t> </w:t>
      </w:r>
      <w:r>
        <w:rPr>
          <w:sz w:val="20"/>
        </w:rPr>
        <w:t>č.</w:t>
      </w:r>
      <w:r>
        <w:rPr>
          <w:spacing w:val="33"/>
          <w:sz w:val="20"/>
        </w:rPr>
        <w:t> </w:t>
      </w:r>
      <w:r>
        <w:rPr>
          <w:sz w:val="20"/>
        </w:rPr>
        <w:t>183/2006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uzemním</w:t>
      </w:r>
      <w:r>
        <w:rPr>
          <w:spacing w:val="32"/>
          <w:sz w:val="20"/>
        </w:rPr>
        <w:t> </w:t>
      </w:r>
      <w:r>
        <w:rPr>
          <w:sz w:val="20"/>
        </w:rPr>
        <w:t>plánování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stavebním</w:t>
      </w:r>
      <w:r>
        <w:rPr>
          <w:spacing w:val="32"/>
          <w:sz w:val="20"/>
        </w:rPr>
        <w:t> </w:t>
      </w:r>
      <w:r>
        <w:rPr>
          <w:sz w:val="20"/>
        </w:rPr>
        <w:t>řádu</w:t>
      </w:r>
      <w:r>
        <w:rPr>
          <w:spacing w:val="35"/>
          <w:sz w:val="20"/>
        </w:rPr>
        <w:t> </w:t>
      </w:r>
      <w:r>
        <w:rPr>
          <w:sz w:val="20"/>
        </w:rPr>
        <w:t>(stavební</w:t>
      </w:r>
      <w:r>
        <w:rPr>
          <w:spacing w:val="33"/>
          <w:sz w:val="20"/>
        </w:rPr>
        <w:t> </w:t>
      </w:r>
      <w:r>
        <w:rPr>
          <w:sz w:val="20"/>
        </w:rPr>
        <w:t>zákon), v</w:t>
      </w:r>
      <w:r>
        <w:rPr>
          <w:spacing w:val="-13"/>
          <w:sz w:val="20"/>
        </w:rPr>
        <w:t> </w:t>
      </w:r>
      <w:r>
        <w:rPr>
          <w:sz w:val="20"/>
        </w:rPr>
        <w:t>platném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(kolaudační</w:t>
      </w:r>
      <w:r>
        <w:rPr>
          <w:spacing w:val="-12"/>
          <w:sz w:val="20"/>
        </w:rPr>
        <w:t> </w:t>
      </w:r>
      <w:r>
        <w:rPr>
          <w:sz w:val="20"/>
        </w:rPr>
        <w:t>souhlas,</w:t>
      </w:r>
      <w:r>
        <w:rPr>
          <w:spacing w:val="-14"/>
          <w:sz w:val="20"/>
        </w:rPr>
        <w:t> </w:t>
      </w:r>
      <w:r>
        <w:rPr>
          <w:sz w:val="20"/>
        </w:rPr>
        <w:t>doložení</w:t>
      </w:r>
      <w:r>
        <w:rPr>
          <w:spacing w:val="-13"/>
          <w:sz w:val="20"/>
        </w:rPr>
        <w:t> </w:t>
      </w:r>
      <w:r>
        <w:rPr>
          <w:sz w:val="20"/>
        </w:rPr>
        <w:t>oslovení</w:t>
      </w:r>
      <w:r>
        <w:rPr>
          <w:spacing w:val="-10"/>
          <w:sz w:val="20"/>
        </w:rPr>
        <w:t> </w:t>
      </w:r>
      <w:r>
        <w:rPr>
          <w:sz w:val="20"/>
        </w:rPr>
        <w:t>stavebního</w:t>
      </w:r>
      <w:r>
        <w:rPr>
          <w:spacing w:val="-13"/>
          <w:sz w:val="20"/>
        </w:rPr>
        <w:t> </w:t>
      </w:r>
      <w:r>
        <w:rPr>
          <w:sz w:val="20"/>
        </w:rPr>
        <w:t>úřadu,</w:t>
      </w:r>
      <w:r>
        <w:rPr>
          <w:spacing w:val="-13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písemný</w:t>
      </w:r>
      <w:r>
        <w:rPr>
          <w:spacing w:val="-12"/>
          <w:sz w:val="20"/>
        </w:rPr>
        <w:t> </w:t>
      </w:r>
      <w:r>
        <w:rPr>
          <w:sz w:val="20"/>
        </w:rPr>
        <w:t>souhlas, že stavbu lze užívat),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8"/>
          <w:sz w:val="20"/>
        </w:rPr>
        <w:t> </w:t>
      </w:r>
      <w:r>
        <w:rPr>
          <w:sz w:val="20"/>
        </w:rPr>
        <w:t>konce</w:t>
      </w:r>
      <w:r>
        <w:rPr>
          <w:spacing w:val="24"/>
          <w:sz w:val="20"/>
        </w:rPr>
        <w:t> </w:t>
      </w:r>
      <w:r>
        <w:rPr>
          <w:sz w:val="20"/>
        </w:rPr>
        <w:t>12/2024</w:t>
      </w:r>
      <w:r>
        <w:rPr>
          <w:spacing w:val="27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4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Závěrečnému vyhodnocení akce (dále jen „ZVA“) podle čl. 15 bodu 15.4 Výzvy.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948" w:right="111"/>
        <w:jc w:val="both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7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9"/>
        <w:ind w:left="3414"/>
      </w:pPr>
      <w:r>
        <w:rPr>
          <w:spacing w:val="-5"/>
        </w:rPr>
        <w:t>V.</w:t>
      </w:r>
    </w:p>
    <w:p>
      <w:pPr>
        <w:pStyle w:val="Heading2"/>
        <w:spacing w:before="1"/>
        <w:ind w:left="1325" w:right="1059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4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d),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sz w:val="20"/>
        </w:rPr>
        <w:t>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druhou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třetí</w:t>
      </w:r>
      <w:r>
        <w:rPr>
          <w:spacing w:val="-14"/>
          <w:sz w:val="20"/>
        </w:rPr>
        <w:t> </w:t>
      </w:r>
      <w:r>
        <w:rPr>
          <w:sz w:val="20"/>
        </w:rPr>
        <w:t>odrážkou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4"/>
          <w:sz w:val="20"/>
        </w:rPr>
        <w:t> </w:t>
      </w:r>
      <w:r>
        <w:rPr>
          <w:sz w:val="20"/>
        </w:rPr>
        <w:t>50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50-89,99 % stanovených indikátorů, bude toto porušení postiženo odvodem v rozmezí 10-50</w:t>
      </w:r>
    </w:p>
    <w:p>
      <w:pPr>
        <w:pStyle w:val="BodyText"/>
        <w:ind w:right="111"/>
        <w:jc w:val="both"/>
      </w:pPr>
      <w:r>
        <w:rPr/>
        <w:t>% z</w:t>
      </w:r>
      <w:r>
        <w:rPr>
          <w:spacing w:val="-2"/>
        </w:rPr>
        <w:t> </w:t>
      </w:r>
      <w:r>
        <w:rPr/>
        <w:t>poskytnuté podpory v závislosti na míře porušení stanovených indikátorů účelu akce. Plnění účelu akce v rozmezí 90-100 % stanovených indikátorů nebude postiženo odvodem.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7"/>
          <w:sz w:val="20"/>
        </w:rPr>
        <w:t> </w:t>
      </w:r>
      <w:r>
        <w:rPr>
          <w:sz w:val="20"/>
        </w:rPr>
        <w:t>Porušení</w:t>
      </w:r>
      <w:r>
        <w:rPr>
          <w:spacing w:val="67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7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7"/>
          <w:sz w:val="20"/>
        </w:rPr>
        <w:t> </w:t>
      </w:r>
      <w:r>
        <w:rPr>
          <w:sz w:val="20"/>
        </w:rPr>
        <w:t>10</w:t>
      </w:r>
      <w:r>
        <w:rPr>
          <w:spacing w:val="67"/>
          <w:sz w:val="20"/>
        </w:rPr>
        <w:t> </w:t>
      </w:r>
      <w:r>
        <w:rPr>
          <w:sz w:val="20"/>
        </w:rPr>
        <w:t>kalendářních</w:t>
      </w:r>
      <w:r>
        <w:rPr>
          <w:spacing w:val="67"/>
          <w:sz w:val="20"/>
        </w:rPr>
        <w:t> </w:t>
      </w:r>
      <w:r>
        <w:rPr>
          <w:sz w:val="20"/>
        </w:rPr>
        <w:t>dnů</w:t>
      </w:r>
      <w:r>
        <w:rPr>
          <w:spacing w:val="67"/>
          <w:sz w:val="20"/>
        </w:rPr>
        <w:t> </w:t>
      </w:r>
      <w:r>
        <w:rPr>
          <w:sz w:val="20"/>
        </w:rPr>
        <w:t>nebude</w:t>
      </w:r>
      <w:r>
        <w:rPr>
          <w:spacing w:val="66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6" w:right="3148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bezdlužnosti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Příjemce podpory podpisem této Smlouvy prohlašuje, že plní podmínky pro poskytnutí dotace, stanovené v čl. 13 bodu 13.1 písm. f) Výzvy.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není pravdivé,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</w:t>
      </w:r>
      <w:r>
        <w:rPr>
          <w:spacing w:val="-1"/>
          <w:sz w:val="20"/>
        </w:rPr>
        <w:t> </w:t>
      </w:r>
      <w:r>
        <w:rPr>
          <w:sz w:val="20"/>
        </w:rPr>
        <w:t>platném znění, a že mohou být uplatněny odvody podle tohoto zákona.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ind w:left="3419"/>
      </w:pPr>
      <w:r>
        <w:rPr>
          <w:spacing w:val="-4"/>
        </w:rPr>
        <w:t>VII.</w:t>
      </w:r>
    </w:p>
    <w:p>
      <w:pPr>
        <w:pStyle w:val="Heading2"/>
        <w:spacing w:before="1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320" w:bottom="1660" w:left="1320" w:right="1020"/>
        </w:sect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111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2"/>
        <w:ind w:left="0"/>
        <w:rPr>
          <w:sz w:val="31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85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4" w:lineRule="auto" w:before="0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78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460" w:bottom="1660" w:left="1320" w:right="1020"/>
        </w:sectPr>
      </w:pPr>
    </w:p>
    <w:p>
      <w:pPr>
        <w:pStyle w:val="Heading1"/>
        <w:numPr>
          <w:ilvl w:val="0"/>
          <w:numId w:val="9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1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 schopen prokázat, 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1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31"/>
              <w:rPr>
                <w:sz w:val="20"/>
              </w:rPr>
            </w:pPr>
            <w:r>
              <w:rPr>
                <w:sz w:val="20"/>
              </w:rPr>
              <w:t>souladu jeho postupu podle článku IV bodu 2 </w:t>
            </w:r>
            <w:r>
              <w:rPr>
                <w:sz w:val="22"/>
              </w:rPr>
              <w:t>písm. j),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611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25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45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91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37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82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8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4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2024-03-14T06:08:28Z</dcterms:created>
  <dcterms:modified xsi:type="dcterms:W3CDTF">2024-03-14T06:08:28Z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