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294" w:right="1147" w:hanging="43"/>
        <w:jc w:val="both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Smlouva o přistoupení k Rámcové dohodě o podmínkách poskytování mobilních služeb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elektronických komunikací č.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1158573, č.j.: 198/2023-MSP-CES, uzavřené dne 7.11.2023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9" w:after="0" w:line="222" w:lineRule="exact"/>
        <w:ind w:left="185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mezi Českou republikou – Ministerstvem spravedlnosti a O2 Czech Republic a.s.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Česká republika – Okresní soud v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Jablonci nad Nisou</w:t>
      </w:r>
      <w:r>
        <w:rPr lang="cs-CZ" sz="20" baseline="0" dirty="0">
          <w:jc w:val="left"/>
          <w:rFonts w:ascii="Arial" w:hAnsi="Arial" w:cs="Arial"/>
          <w:i/>
          <w:i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Mírové náměstí 494/5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466 59 Jablonec nad Nisou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IČO: 00024856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DIČ: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Bankovní spojení: 527451/0710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203"/>
        </w:tabs>
        <w:spacing w:before="0" w:after="0" w:line="222" w:lineRule="exact"/>
        <w:ind w:left="896" w:right="0" w:firstLine="0"/>
      </w:pPr>
      <w:r>
        <w:drawing>
          <wp:anchor simplePos="0" relativeHeight="251658607" behindDoc="0" locked="0" layoutInCell="1" allowOverlap="1">
            <wp:simplePos x="0" y="0"/>
            <wp:positionH relativeFrom="page">
              <wp:posOffset>1618741</wp:posOffset>
            </wp:positionH>
            <wp:positionV relativeFrom="line">
              <wp:posOffset>0</wp:posOffset>
            </wp:positionV>
            <wp:extent cx="1381040" cy="141039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81040" cy="141039"/>
                    </a:xfrm>
                    <a:custGeom>
                      <a:rect l="l" t="t" r="r" b="b"/>
                      <a:pathLst>
                        <a:path w="1381040" h="141039">
                          <a:moveTo>
                            <a:pt x="0" y="141039"/>
                          </a:moveTo>
                          <a:lnTo>
                            <a:pt x="1381040" y="141039"/>
                          </a:lnTo>
                          <a:lnTo>
                            <a:pt x="138104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103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zastoupený: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pověřenou 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zastupování funkce předsedkyně okresního soudu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(dále jen „Další účastník“)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9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O2 Czech Republic a.s.</w:t>
      </w:r>
      <w:r>
        <w:rPr lang="cs-CZ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 Brumlovkou 266/2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140 22 Praha 4 - Michle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IČO: 60193336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DIČ: CZ60193336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96" w:right="599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spisová značka, pod kterou je společnost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zapsána u příslušného rejstříkového soudu: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 2322 vedená u Městského soudu v Praze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Bankovní spojení: Komerční banka, a.s.,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Číslo účtu: 27-4908440207 / 0100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zastoupená: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20" w:after="0" w:line="222" w:lineRule="exact"/>
        <w:ind w:left="896" w:right="0" w:firstLine="0"/>
      </w:pPr>
      <w:r>
        <w:drawing>
          <wp:anchor simplePos="0" relativeHeight="251658611" behindDoc="0" locked="0" layoutInCell="1" allowOverlap="1">
            <wp:simplePos x="0" y="0"/>
            <wp:positionH relativeFrom="page">
              <wp:posOffset>899464</wp:posOffset>
            </wp:positionH>
            <wp:positionV relativeFrom="line">
              <wp:posOffset>-6604</wp:posOffset>
            </wp:positionV>
            <wp:extent cx="1376615" cy="141039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76615" cy="141039"/>
                    </a:xfrm>
                    <a:custGeom>
                      <a:rect l="l" t="t" r="r" b="b"/>
                      <a:pathLst>
                        <a:path w="1376615" h="141039">
                          <a:moveTo>
                            <a:pt x="0" y="141039"/>
                          </a:moveTo>
                          <a:lnTo>
                            <a:pt x="1376615" y="141039"/>
                          </a:lnTo>
                          <a:lnTo>
                            <a:pt x="137661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103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9" behindDoc="0" locked="0" layoutInCell="1" allowOverlap="1">
            <wp:simplePos x="0" y="0"/>
            <wp:positionH relativeFrom="page">
              <wp:posOffset>860552</wp:posOffset>
            </wp:positionH>
            <wp:positionV relativeFrom="line">
              <wp:posOffset>59309</wp:posOffset>
            </wp:positionV>
            <wp:extent cx="1070567" cy="1537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0567" cy="15370"/>
                    </a:xfrm>
                    <a:custGeom>
                      <a:rect l="l" t="t" r="r" b="b"/>
                      <a:pathLst>
                        <a:path w="1070567" h="15370">
                          <a:moveTo>
                            <a:pt x="0" y="15370"/>
                          </a:moveTo>
                          <a:lnTo>
                            <a:pt x="1070567" y="15370"/>
                          </a:lnTo>
                          <a:lnTo>
                            <a:pt x="107056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537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Key Accout Manager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(dále jen „O2“ nebo „společnost O2“)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                                                                 I.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96" w:right="790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Další účastník a společnost O2 tímto uzavírají tuto smlouvu o přistoupení Dalšího účastníka (dále jen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„Smlouva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přistoupení“)</w:t>
      </w:r>
      <w:r>
        <w:rPr lang="cs-CZ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Rámcové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dohodě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podmínkách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poskytování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mobilních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služeb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elektronických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komunikací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uzavřené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dne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7.11.2023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mezi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smluvními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stranami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Česká</w:t>
      </w:r>
      <w:r>
        <w:rPr lang="cs-CZ"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republika</w:t>
      </w:r>
      <w:r>
        <w:rPr lang="cs-CZ" sz="20" baseline="0" dirty="0">
          <w:jc w:val="left"/>
          <w:rFonts w:ascii="Arial" w:hAnsi="Arial" w:cs="Arial"/>
          <w:color w:val="000000"/>
          <w:spacing w:val="6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–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Ministerstvo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spravedlnosti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společností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O2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„Rámcová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dohoda“)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ve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smys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l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článku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Rámcové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dohody.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7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                                                                  II.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96" w:right="80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souladu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podmínek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Rámcové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dohody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bude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společnost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O2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poskytovat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Dalšímu</w:t>
      </w:r>
      <w:r>
        <w:rPr lang="cs-CZ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účastníkovi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Služby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dle Rámcové dohody.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227" w:lineRule="exact"/>
        <w:ind w:left="896" w:right="802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Další účastník prohlašuje, že se seznámil s právy a povinnostmi Rámcovou dohodou založenými, bez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výhrad s nimi souhlasí a zavazuje se je dodržovat.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30" w:lineRule="exact"/>
        <w:ind w:left="896" w:right="80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Další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účastník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tímto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prohlašuje,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že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splňuje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podmínky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pro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přistoupení</w:t>
      </w:r>
      <w:r>
        <w:rPr lang="cs-CZ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Rámcové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dohodě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stanovené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článkem 3 Rámcové dohody.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29" w:lineRule="exact"/>
        <w:ind w:left="896" w:right="791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Další účastník prohlašuje, že se seznámil se Všeobecnými podmínkami poskytování služeb vydanými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společností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O2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(dále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jen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„Všeobecné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podmínky“)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zavazuje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se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dodržovat,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nestanoví-li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Rámcová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dohoda jinak. Všeobecné podmínky v aktuálním znění a další související dokumenty a tiskopisy jsou k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dispozici na kontaktních místech společnosti O2 a na internetových stránkách</w:t>
      </w:r>
      <w:hyperlink r:id="rId100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 </w:t>
        </w:r>
        <w:r>
          <w:rPr lang="cs-CZ" sz="20" baseline="0" dirty="0">
            <w:jc w:val="left"/>
            <w:rFonts w:ascii="Arial" w:hAnsi="Arial" w:cs="Arial"/>
            <w:u w:val="single"/>
            <w:color w:val="0563C1"/>
            <w:sz w:val="20"/>
            <w:szCs w:val="20"/>
          </w:rPr>
          <w:t>www.o2.cz</w:t>
        </w:r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.</w:t>
        </w:r>
      </w:hyperlink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after="19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                                                                  III.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0" w:after="0" w:line="230" w:lineRule="exact"/>
        <w:ind w:left="896" w:right="792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Tato Smlouva o přistoupení nabývá platnosti dnem jejího podpisu a účinnosti dnem jejího uveřejnění v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registru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896" w:right="791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 (podléhá-li Smlouva o přistoupení povinnosti uveřejnění v registru smluv). Uveřejnění v registru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smluv zajistí Další účastník.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4" w:after="0" w:line="229" w:lineRule="exact"/>
        <w:ind w:left="896" w:right="791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Tato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Smlouva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přistoupení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zaniká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dnem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ukončení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Rámcové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dohody,</w:t>
      </w:r>
      <w:r>
        <w:rPr lang="cs-CZ" sz="20" baseline="0" dirty="0">
          <w:jc w:val="left"/>
          <w:rFonts w:ascii="Arial" w:hAnsi="Arial" w:cs="Arial"/>
          <w:color w:val="000000"/>
          <w:spacing w:val="49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dohodou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stran</w:t>
      </w:r>
      <w:r>
        <w:rPr lang="cs-CZ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přistoupení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výpovědí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dle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článku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5.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Rámcové</w:t>
      </w:r>
      <w:r>
        <w:rPr lang="cs-CZ" sz="20" baseline="0" dirty="0">
          <w:jc w:val="left"/>
          <w:rFonts w:ascii="Arial" w:hAnsi="Arial" w:cs="Arial"/>
          <w:color w:val="000000"/>
          <w:spacing w:val="2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dohody.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Tato</w:t>
      </w:r>
      <w:r>
        <w:rPr lang="cs-CZ"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Smlouva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přistoupení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zaniká</w:t>
      </w:r>
      <w:r>
        <w:rPr lang="cs-CZ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také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okamžikem, kdy přestane Další účastník splňovat podmínky pro zařazení pod Rámcovou dohodu dle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odst.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3.1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Rámcové</w:t>
      </w:r>
      <w:r>
        <w:rPr lang="cs-CZ" sz="20" baseline="0" dirty="0">
          <w:jc w:val="left"/>
          <w:rFonts w:ascii="Arial" w:hAnsi="Arial" w:cs="Arial"/>
          <w:color w:val="000000"/>
          <w:spacing w:val="4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dohody.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Zánik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této</w:t>
      </w:r>
      <w:r>
        <w:rPr lang="cs-CZ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44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přistoupení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nemá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následek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zánik</w:t>
      </w:r>
      <w:r>
        <w:rPr lang="cs-CZ" sz="20" baseline="0" dirty="0">
          <w:jc w:val="left"/>
          <w:rFonts w:ascii="Arial" w:hAnsi="Arial" w:cs="Arial"/>
          <w:color w:val="000000"/>
          <w:spacing w:val="4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Rámcové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dohody.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9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Tato Smlouva o přistoupení je uzavírána v souladu s platnými právními předpisy České republiky.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230" w:after="0" w:line="230" w:lineRule="exact"/>
        <w:ind w:left="896" w:right="790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Tato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Smlouva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přistoupení</w:t>
      </w:r>
      <w:r>
        <w:rPr lang="cs-CZ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</w:t>
      </w:r>
      <w:r>
        <w:rPr lang="cs-CZ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podepsána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listinné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podobě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(vlastnoručně)</w:t>
      </w:r>
      <w:r>
        <w:rPr lang="cs-CZ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nebo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elektronicky.</w:t>
      </w:r>
      <w:r>
        <w:rPr lang="cs-CZ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Je-li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Smlouva o přistoupení podepsána v listinné podobě, je vyhotovena ve třech (3) stejnopisech, z nichž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každý bude považován za prvopis;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896" w:right="790" w:firstLine="0"/>
        <w:jc w:val="both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Další účastník obdrží dva (2) stejnopisy a O2 obdrží jeden (1) stejnopis</w:t>
      </w:r>
      <w:r>
        <w:rPr lang="cs-CZ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Smlouvy o přistoupení. Je-li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Smlouva o přistoupení podepsána elektronicky, je podepsána pomocí kvalifikovaného elektronického 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podpisu.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436"/>
          <w:tab w:val="left" w:pos="5144"/>
          <w:tab w:val="left" w:pos="5852"/>
          <w:tab w:val="left" w:pos="6560"/>
        </w:tabs>
        <w:spacing w:before="0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Jablonci nad Nisou dne 8. 3. 2024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   Okresní soud 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Jablonci nad Nisou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6480" w:right="4112" w:firstLine="0"/>
        <w:jc w:val="right"/>
      </w:pPr>
      <w:r>
        <w:drawing>
          <wp:anchor simplePos="0" relativeHeight="251658481" behindDoc="0" locked="0" layoutInCell="1" allowOverlap="1">
            <wp:simplePos x="0" y="0"/>
            <wp:positionH relativeFrom="page">
              <wp:posOffset>4636897</wp:posOffset>
            </wp:positionH>
            <wp:positionV relativeFrom="line">
              <wp:posOffset>0</wp:posOffset>
            </wp:positionV>
            <wp:extent cx="1279129" cy="141039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79129" cy="141039"/>
                    </a:xfrm>
                    <a:custGeom>
                      <a:rect l="l" t="t" r="r" b="b"/>
                      <a:pathLst>
                        <a:path w="1279129" h="141039">
                          <a:moveTo>
                            <a:pt x="0" y="141039"/>
                          </a:moveTo>
                          <a:lnTo>
                            <a:pt x="1279129" y="141039"/>
                          </a:lnTo>
                          <a:lnTo>
                            <a:pt x="127912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103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6560" w:right="831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   pověřená k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zastupování funkce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   předsedkyně okresního soudu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V Praze, dne 11. 3. 2024                                                                             O2 Czech Republic a.s.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896" w:right="0" w:firstLine="0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4954098</wp:posOffset>
            </wp:positionH>
            <wp:positionV relativeFrom="line">
              <wp:posOffset>0</wp:posOffset>
            </wp:positionV>
            <wp:extent cx="1487963" cy="141039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87963" cy="141039"/>
                    </a:xfrm>
                    <a:custGeom>
                      <a:rect l="l" t="t" r="r" b="b"/>
                      <a:pathLst>
                        <a:path w="1487963" h="141039">
                          <a:moveTo>
                            <a:pt x="0" y="141039"/>
                          </a:moveTo>
                          <a:lnTo>
                            <a:pt x="1487963" y="141039"/>
                          </a:lnTo>
                          <a:lnTo>
                            <a:pt x="148796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103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                                                                                                                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343" w:right="500" w:bottom="275" w:left="500" w:header="708" w:footer="708" w:gutter="0"/>
          <w:docGrid w:linePitch="360"/>
        </w:sectPr>
        <w:spacing w:before="180" w:after="0" w:line="235" w:lineRule="exact"/>
        <w:ind w:left="89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                                                                                                                     Na základě pověření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r/>
    </w:p>
    <w:sectPr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http://www.o2.cz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2024-03-13T12:32:18Z</dcterms:created>
  <dcterms:modified xsi:type="dcterms:W3CDTF">2024-03-13T12:32:18Z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