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7221100502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both"/>
      </w:pPr>
      <w:r>
        <w:rPr/>
        <w:t>L.</w:t>
      </w:r>
      <w:r>
        <w:rPr>
          <w:spacing w:val="-6"/>
        </w:rPr>
        <w:t> </w:t>
      </w:r>
      <w:r>
        <w:rPr/>
        <w:t>L.TRADE</w:t>
      </w:r>
      <w:r>
        <w:rPr>
          <w:spacing w:val="-9"/>
        </w:rPr>
        <w:t> </w:t>
      </w:r>
      <w:r>
        <w:rPr>
          <w:spacing w:val="-2"/>
        </w:rPr>
        <w:t>s.r.o.</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C, vložka 237258</w:t>
      </w:r>
    </w:p>
    <w:p>
      <w:pPr>
        <w:pStyle w:val="BodyText"/>
        <w:tabs>
          <w:tab w:pos="2982" w:val="left" w:leader="none"/>
        </w:tabs>
        <w:spacing w:line="265" w:lineRule="exact"/>
        <w:ind w:left="102"/>
      </w:pPr>
      <w:r>
        <w:rPr/>
        <w:t>se</w:t>
      </w:r>
      <w:r>
        <w:rPr>
          <w:spacing w:val="-5"/>
        </w:rPr>
        <w:t> </w:t>
      </w:r>
      <w:r>
        <w:rPr>
          <w:spacing w:val="-2"/>
        </w:rPr>
        <w:t>sídlem:</w:t>
      </w:r>
      <w:r>
        <w:rPr/>
        <w:tab/>
        <w:t>Plzeňská</w:t>
      </w:r>
      <w:r>
        <w:rPr>
          <w:spacing w:val="-8"/>
        </w:rPr>
        <w:t> </w:t>
      </w:r>
      <w:r>
        <w:rPr/>
        <w:t>1270/97,</w:t>
      </w:r>
      <w:r>
        <w:rPr>
          <w:spacing w:val="-6"/>
        </w:rPr>
        <w:t> </w:t>
      </w:r>
      <w:r>
        <w:rPr/>
        <w:t>Košíře,</w:t>
      </w:r>
      <w:r>
        <w:rPr>
          <w:spacing w:val="-8"/>
        </w:rPr>
        <w:t> </w:t>
      </w:r>
      <w:r>
        <w:rPr/>
        <w:t>150</w:t>
      </w:r>
      <w:r>
        <w:rPr>
          <w:spacing w:val="-4"/>
        </w:rPr>
        <w:t> </w:t>
      </w:r>
      <w:r>
        <w:rPr/>
        <w:t>00</w:t>
      </w:r>
      <w:r>
        <w:rPr>
          <w:spacing w:val="-7"/>
        </w:rPr>
        <w:t> </w:t>
      </w:r>
      <w:r>
        <w:rPr/>
        <w:t>Praha</w:t>
      </w:r>
      <w:r>
        <w:rPr>
          <w:spacing w:val="-8"/>
        </w:rPr>
        <w:t> </w:t>
      </w:r>
      <w:r>
        <w:rPr>
          <w:spacing w:val="-10"/>
        </w:rPr>
        <w:t>5</w:t>
      </w:r>
    </w:p>
    <w:p>
      <w:pPr>
        <w:pStyle w:val="BodyText"/>
        <w:tabs>
          <w:tab w:pos="2982" w:val="left" w:leader="none"/>
        </w:tabs>
        <w:spacing w:before="1"/>
        <w:ind w:left="102"/>
      </w:pPr>
      <w:r>
        <w:rPr>
          <w:spacing w:val="-4"/>
        </w:rPr>
        <w:t>IČO:</w:t>
      </w:r>
      <w:r>
        <w:rPr>
          <w:rFonts w:ascii="Times New Roman" w:hAnsi="Times New Roman"/>
        </w:rPr>
        <w:tab/>
      </w:r>
      <w:r>
        <w:rPr/>
        <w:t>280</w:t>
      </w:r>
      <w:r>
        <w:rPr>
          <w:spacing w:val="-2"/>
        </w:rPr>
        <w:t> </w:t>
      </w:r>
      <w:r>
        <w:rPr/>
        <w:t>41</w:t>
      </w:r>
      <w:r>
        <w:rPr>
          <w:spacing w:val="-2"/>
        </w:rPr>
        <w:t> </w:t>
      </w:r>
      <w:r>
        <w:rPr>
          <w:spacing w:val="-5"/>
        </w:rPr>
        <w:t>020</w:t>
      </w:r>
    </w:p>
    <w:p>
      <w:pPr>
        <w:pStyle w:val="BodyText"/>
        <w:tabs>
          <w:tab w:pos="2982" w:val="left" w:leader="none"/>
        </w:tabs>
        <w:ind w:left="102"/>
      </w:pPr>
      <w:r>
        <w:rPr>
          <w:spacing w:val="-2"/>
        </w:rPr>
        <w:t>zastoupená:</w:t>
      </w:r>
      <w:r>
        <w:rPr/>
        <w:tab/>
        <w:t>Martinem</w:t>
      </w:r>
      <w:r>
        <w:rPr>
          <w:spacing w:val="-5"/>
        </w:rPr>
        <w:t> </w:t>
      </w:r>
      <w:r>
        <w:rPr/>
        <w:t>L</w:t>
      </w:r>
      <w:r>
        <w:rPr>
          <w:spacing w:val="-3"/>
        </w:rPr>
        <w:t> </w:t>
      </w:r>
      <w:r>
        <w:rPr/>
        <w:t>i</w:t>
      </w:r>
      <w:r>
        <w:rPr>
          <w:spacing w:val="-2"/>
        </w:rPr>
        <w:t> </w:t>
      </w:r>
      <w:r>
        <w:rPr/>
        <w:t>š k</w:t>
      </w:r>
      <w:r>
        <w:rPr>
          <w:spacing w:val="-3"/>
        </w:rPr>
        <w:t> </w:t>
      </w:r>
      <w:r>
        <w:rPr/>
        <w:t>o</w:t>
      </w:r>
      <w:r>
        <w:rPr>
          <w:spacing w:val="-3"/>
        </w:rPr>
        <w:t> </w:t>
      </w:r>
      <w:r>
        <w:rPr/>
        <w:t>u,</w:t>
      </w:r>
      <w:r>
        <w:rPr>
          <w:spacing w:val="-2"/>
        </w:rPr>
        <w:t> jednatelem</w:t>
      </w:r>
    </w:p>
    <w:p>
      <w:pPr>
        <w:pStyle w:val="BodyText"/>
        <w:tabs>
          <w:tab w:pos="2982" w:val="left" w:leader="none"/>
        </w:tabs>
        <w:ind w:left="10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2982" w:val="left" w:leader="none"/>
        </w:tabs>
        <w:spacing w:before="1"/>
        <w:ind w:left="102" w:right="5154"/>
      </w:pPr>
      <w:r>
        <w:rPr/>
        <w:t>číslo účtu:</w:t>
        <w:tab/>
      </w:r>
      <w:r>
        <w:rPr>
          <w:spacing w:val="-2"/>
        </w:rPr>
        <w:t>224823719/0300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2"/>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2"/>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2"/>
          <w:sz w:val="20"/>
        </w:rPr>
        <w:t> </w:t>
      </w:r>
      <w:r>
        <w:rPr>
          <w:sz w:val="20"/>
        </w:rPr>
        <w:t>prostředí</w:t>
      </w:r>
      <w:r>
        <w:rPr>
          <w:spacing w:val="22"/>
          <w:sz w:val="20"/>
        </w:rPr>
        <w:t> </w:t>
      </w:r>
      <w:r>
        <w:rPr>
          <w:sz w:val="20"/>
        </w:rPr>
        <w:t>České</w:t>
      </w:r>
      <w:r>
        <w:rPr>
          <w:spacing w:val="21"/>
          <w:sz w:val="20"/>
        </w:rPr>
        <w:t> </w:t>
      </w:r>
      <w:r>
        <w:rPr>
          <w:sz w:val="20"/>
        </w:rPr>
        <w:t>republiky</w:t>
      </w:r>
      <w:r>
        <w:rPr>
          <w:spacing w:val="22"/>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7221100502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934"/>
        <w:jc w:val="both"/>
      </w:pPr>
      <w:r>
        <w:rPr/>
        <w:t>„FVE</w:t>
      </w:r>
      <w:r>
        <w:rPr>
          <w:spacing w:val="-4"/>
        </w:rPr>
        <w:t> </w:t>
      </w:r>
      <w:r>
        <w:rPr/>
        <w:t>Manětín</w:t>
      </w:r>
      <w:r>
        <w:rPr>
          <w:spacing w:val="-5"/>
        </w:rPr>
        <w:t> </w:t>
      </w:r>
      <w:r>
        <w:rPr/>
        <w:t>-</w:t>
      </w:r>
      <w:r>
        <w:rPr>
          <w:spacing w:val="-3"/>
        </w:rPr>
        <w:t> </w:t>
      </w:r>
      <w:r>
        <w:rPr/>
        <w:t>sklady</w:t>
      </w:r>
      <w:r>
        <w:rPr>
          <w:spacing w:val="-5"/>
        </w:rPr>
        <w:t> </w:t>
      </w:r>
      <w:r>
        <w:rPr/>
        <w:t>firmy</w:t>
      </w:r>
      <w:r>
        <w:rPr>
          <w:spacing w:val="-4"/>
        </w:rPr>
        <w:t> </w:t>
      </w:r>
      <w:r>
        <w:rPr/>
        <w:t>L.</w:t>
      </w:r>
      <w:r>
        <w:rPr>
          <w:spacing w:val="-2"/>
        </w:rPr>
        <w:t> </w:t>
      </w:r>
      <w:r>
        <w:rPr/>
        <w:t>L.</w:t>
      </w:r>
      <w:r>
        <w:rPr>
          <w:spacing w:val="-7"/>
        </w:rPr>
        <w:t> </w:t>
      </w:r>
      <w:r>
        <w:rPr>
          <w:spacing w:val="-2"/>
        </w:rPr>
        <w:t>Trade“</w:t>
      </w:r>
    </w:p>
    <w:p>
      <w:pPr>
        <w:pStyle w:val="BodyText"/>
        <w:spacing w:before="118"/>
        <w:ind w:left="385"/>
        <w:jc w:val="both"/>
      </w:pPr>
      <w:r>
        <w:rPr/>
        <w:t>(dále</w:t>
      </w:r>
      <w:r>
        <w:rPr>
          <w:spacing w:val="-7"/>
        </w:rPr>
        <w:t> </w:t>
      </w:r>
      <w:r>
        <w:rPr/>
        <w:t>jen</w:t>
      </w:r>
      <w:r>
        <w:rPr>
          <w:spacing w:val="-6"/>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0"/>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9"/>
          <w:sz w:val="20"/>
        </w:rPr>
        <w:t> </w:t>
      </w:r>
      <w:r>
        <w:rPr>
          <w:sz w:val="20"/>
        </w:rPr>
        <w:t>ve</w:t>
      </w:r>
      <w:r>
        <w:rPr>
          <w:spacing w:val="-9"/>
          <w:sz w:val="20"/>
        </w:rPr>
        <w:t> </w:t>
      </w:r>
      <w:r>
        <w:rPr>
          <w:sz w:val="20"/>
        </w:rPr>
        <w:t>výši</w:t>
      </w:r>
      <w:r>
        <w:rPr>
          <w:spacing w:val="-8"/>
          <w:sz w:val="20"/>
        </w:rPr>
        <w:t> </w:t>
      </w:r>
      <w:r>
        <w:rPr>
          <w:b/>
          <w:sz w:val="20"/>
        </w:rPr>
        <w:t>825 229,70</w:t>
      </w:r>
      <w:r>
        <w:rPr>
          <w:b/>
          <w:spacing w:val="-7"/>
          <w:sz w:val="20"/>
        </w:rPr>
        <w:t> </w:t>
      </w:r>
      <w:r>
        <w:rPr>
          <w:b/>
          <w:sz w:val="20"/>
        </w:rPr>
        <w:t>Kč</w:t>
      </w:r>
      <w:r>
        <w:rPr>
          <w:b/>
          <w:spacing w:val="-8"/>
          <w:sz w:val="20"/>
        </w:rPr>
        <w:t> </w:t>
      </w:r>
      <w:r>
        <w:rPr>
          <w:sz w:val="20"/>
        </w:rPr>
        <w:t>(slovy:</w:t>
      </w:r>
      <w:r>
        <w:rPr>
          <w:spacing w:val="-7"/>
          <w:sz w:val="20"/>
        </w:rPr>
        <w:t> </w:t>
      </w:r>
      <w:r>
        <w:rPr>
          <w:sz w:val="20"/>
        </w:rPr>
        <w:t>osm</w:t>
      </w:r>
      <w:r>
        <w:rPr>
          <w:spacing w:val="-9"/>
          <w:sz w:val="20"/>
        </w:rPr>
        <w:t> </w:t>
      </w:r>
      <w:r>
        <w:rPr>
          <w:sz w:val="20"/>
        </w:rPr>
        <w:t>set</w:t>
      </w:r>
      <w:r>
        <w:rPr>
          <w:spacing w:val="-8"/>
          <w:sz w:val="20"/>
        </w:rPr>
        <w:t> </w:t>
      </w:r>
      <w:r>
        <w:rPr>
          <w:sz w:val="20"/>
        </w:rPr>
        <w:t>dvacet</w:t>
      </w:r>
      <w:r>
        <w:rPr>
          <w:spacing w:val="-8"/>
          <w:sz w:val="20"/>
        </w:rPr>
        <w:t> </w:t>
      </w:r>
      <w:r>
        <w:rPr>
          <w:sz w:val="20"/>
        </w:rPr>
        <w:t>pět</w:t>
      </w:r>
      <w:r>
        <w:rPr>
          <w:spacing w:val="-6"/>
          <w:sz w:val="20"/>
        </w:rPr>
        <w:t> </w:t>
      </w:r>
      <w:r>
        <w:rPr>
          <w:sz w:val="20"/>
        </w:rPr>
        <w:t>tisíc</w:t>
      </w:r>
      <w:r>
        <w:rPr>
          <w:spacing w:val="-9"/>
          <w:sz w:val="20"/>
        </w:rPr>
        <w:t> </w:t>
      </w:r>
      <w:r>
        <w:rPr>
          <w:sz w:val="20"/>
        </w:rPr>
        <w:t>dvě</w:t>
      </w:r>
      <w:r>
        <w:rPr>
          <w:spacing w:val="-6"/>
          <w:sz w:val="20"/>
        </w:rPr>
        <w:t> </w:t>
      </w:r>
      <w:r>
        <w:rPr>
          <w:sz w:val="20"/>
        </w:rPr>
        <w:t>stě</w:t>
      </w:r>
      <w:r>
        <w:rPr>
          <w:spacing w:val="-7"/>
          <w:sz w:val="20"/>
        </w:rPr>
        <w:t> </w:t>
      </w:r>
      <w:r>
        <w:rPr>
          <w:sz w:val="20"/>
        </w:rPr>
        <w:t>dvacet</w:t>
      </w:r>
      <w:r>
        <w:rPr>
          <w:spacing w:val="-8"/>
          <w:sz w:val="20"/>
        </w:rPr>
        <w:t> </w:t>
      </w:r>
      <w:r>
        <w:rPr>
          <w:sz w:val="20"/>
        </w:rPr>
        <w:t>devět</w:t>
      </w:r>
      <w:r>
        <w:rPr>
          <w:spacing w:val="-7"/>
          <w:sz w:val="20"/>
        </w:rPr>
        <w:t> </w:t>
      </w:r>
      <w:r>
        <w:rPr>
          <w:sz w:val="20"/>
        </w:rPr>
        <w:t>korun</w:t>
      </w:r>
      <w:r>
        <w:rPr>
          <w:spacing w:val="-7"/>
          <w:sz w:val="20"/>
        </w:rPr>
        <w:t> </w:t>
      </w:r>
      <w:r>
        <w:rPr>
          <w:sz w:val="20"/>
        </w:rPr>
        <w:t>českých a sedmdesát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2 490 490,00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1"/>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1047" w:right="1058"/>
      </w:pPr>
      <w:r>
        <w:rPr/>
        <w:t>Základní</w:t>
      </w:r>
      <w:r>
        <w:rPr>
          <w:spacing w:val="-8"/>
        </w:rPr>
        <w:t> </w:t>
      </w:r>
      <w:r>
        <w:rPr/>
        <w:t>závazky</w:t>
      </w:r>
      <w:r>
        <w:rPr>
          <w:spacing w:val="-7"/>
        </w:rPr>
        <w:t> </w:t>
      </w:r>
      <w:r>
        <w:rPr/>
        <w:t>a</w:t>
      </w:r>
      <w:r>
        <w:rPr>
          <w:spacing w:val="-7"/>
        </w:rPr>
        <w:t> </w:t>
      </w:r>
      <w:r>
        <w:rPr/>
        <w:t>další</w:t>
      </w:r>
      <w:r>
        <w:rPr>
          <w:spacing w:val="-4"/>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32"/>
          <w:sz w:val="20"/>
        </w:rPr>
        <w:t> </w:t>
      </w:r>
      <w:r>
        <w:rPr>
          <w:sz w:val="20"/>
        </w:rPr>
        <w:t>účel</w:t>
      </w:r>
      <w:r>
        <w:rPr>
          <w:spacing w:val="35"/>
          <w:sz w:val="20"/>
        </w:rPr>
        <w:t> </w:t>
      </w:r>
      <w:r>
        <w:rPr>
          <w:sz w:val="20"/>
        </w:rPr>
        <w:t>akce</w:t>
      </w:r>
      <w:r>
        <w:rPr>
          <w:spacing w:val="34"/>
          <w:sz w:val="20"/>
        </w:rPr>
        <w:t> </w:t>
      </w:r>
      <w:r>
        <w:rPr>
          <w:sz w:val="20"/>
        </w:rPr>
        <w:t>„FVE</w:t>
      </w:r>
      <w:r>
        <w:rPr>
          <w:spacing w:val="33"/>
          <w:sz w:val="20"/>
        </w:rPr>
        <w:t> </w:t>
      </w:r>
      <w:r>
        <w:rPr>
          <w:sz w:val="20"/>
        </w:rPr>
        <w:t>Manětín</w:t>
      </w:r>
      <w:r>
        <w:rPr>
          <w:spacing w:val="34"/>
          <w:sz w:val="20"/>
        </w:rPr>
        <w:t> </w:t>
      </w:r>
      <w:r>
        <w:rPr>
          <w:sz w:val="20"/>
        </w:rPr>
        <w:t>-</w:t>
      </w:r>
      <w:r>
        <w:rPr>
          <w:spacing w:val="33"/>
          <w:sz w:val="20"/>
        </w:rPr>
        <w:t> </w:t>
      </w:r>
      <w:r>
        <w:rPr>
          <w:sz w:val="20"/>
        </w:rPr>
        <w:t>sklady</w:t>
      </w:r>
      <w:r>
        <w:rPr>
          <w:spacing w:val="33"/>
          <w:sz w:val="20"/>
        </w:rPr>
        <w:t> </w:t>
      </w:r>
      <w:r>
        <w:rPr>
          <w:sz w:val="20"/>
        </w:rPr>
        <w:t>firmy</w:t>
      </w:r>
      <w:r>
        <w:rPr>
          <w:spacing w:val="35"/>
          <w:sz w:val="20"/>
        </w:rPr>
        <w:t> </w:t>
      </w:r>
      <w:r>
        <w:rPr>
          <w:sz w:val="20"/>
        </w:rPr>
        <w:t>L.</w:t>
      </w:r>
      <w:r>
        <w:rPr>
          <w:spacing w:val="34"/>
          <w:sz w:val="20"/>
        </w:rPr>
        <w:t> </w:t>
      </w:r>
      <w:r>
        <w:rPr>
          <w:sz w:val="20"/>
        </w:rPr>
        <w:t>L.Trade“</w:t>
      </w:r>
      <w:r>
        <w:rPr>
          <w:spacing w:val="32"/>
          <w:sz w:val="20"/>
        </w:rPr>
        <w:t> </w:t>
      </w:r>
      <w:r>
        <w:rPr>
          <w:sz w:val="20"/>
        </w:rPr>
        <w:t>tím,</w:t>
      </w:r>
      <w:r>
        <w:rPr>
          <w:spacing w:val="33"/>
          <w:sz w:val="20"/>
        </w:rPr>
        <w:t> </w:t>
      </w:r>
      <w:r>
        <w:rPr>
          <w:sz w:val="20"/>
        </w:rPr>
        <w:t>že</w:t>
      </w:r>
      <w:r>
        <w:rPr>
          <w:spacing w:val="32"/>
          <w:sz w:val="20"/>
        </w:rPr>
        <w:t> </w:t>
      </w:r>
      <w:r>
        <w:rPr>
          <w:sz w:val="20"/>
        </w:rPr>
        <w:t>akce</w:t>
      </w:r>
      <w:r>
        <w:rPr>
          <w:spacing w:val="32"/>
          <w:sz w:val="20"/>
        </w:rPr>
        <w:t> </w:t>
      </w:r>
      <w:r>
        <w:rPr>
          <w:sz w:val="20"/>
        </w:rPr>
        <w:t>bude</w:t>
      </w:r>
      <w:r>
        <w:rPr>
          <w:spacing w:val="32"/>
          <w:sz w:val="20"/>
        </w:rPr>
        <w:t> </w:t>
      </w:r>
      <w:r>
        <w:rPr>
          <w:sz w:val="20"/>
        </w:rPr>
        <w:t>provedena</w:t>
      </w:r>
      <w:r>
        <w:rPr>
          <w:spacing w:val="32"/>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 w:after="0"/>
        <w:ind w:left="745" w:right="10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 pozemní</w:t>
      </w:r>
      <w:r>
        <w:rPr>
          <w:spacing w:val="80"/>
          <w:w w:val="150"/>
          <w:sz w:val="20"/>
        </w:rPr>
        <w:t> </w:t>
      </w:r>
      <w:r>
        <w:rPr>
          <w:sz w:val="20"/>
        </w:rPr>
        <w:t>instalací</w:t>
      </w:r>
      <w:r>
        <w:rPr>
          <w:spacing w:val="80"/>
          <w:w w:val="150"/>
          <w:sz w:val="20"/>
        </w:rPr>
        <w:t> </w:t>
      </w:r>
      <w:r>
        <w:rPr>
          <w:sz w:val="20"/>
        </w:rPr>
        <w:t>s</w:t>
      </w:r>
      <w:r>
        <w:rPr>
          <w:spacing w:val="80"/>
          <w:sz w:val="20"/>
        </w:rPr>
        <w:t> </w:t>
      </w:r>
      <w:r>
        <w:rPr>
          <w:sz w:val="20"/>
        </w:rPr>
        <w:t>předpokládaným</w:t>
      </w:r>
      <w:r>
        <w:rPr>
          <w:spacing w:val="-8"/>
          <w:sz w:val="20"/>
        </w:rPr>
        <w:t> </w:t>
      </w:r>
      <w:r>
        <w:rPr>
          <w:sz w:val="20"/>
        </w:rPr>
        <w:t>výkonem</w:t>
      </w:r>
      <w:r>
        <w:rPr>
          <w:spacing w:val="-8"/>
          <w:sz w:val="20"/>
        </w:rPr>
        <w:t> </w:t>
      </w:r>
      <w:r>
        <w:rPr>
          <w:sz w:val="20"/>
        </w:rPr>
        <w:t>1,23</w:t>
      </w:r>
      <w:r>
        <w:rPr>
          <w:spacing w:val="-6"/>
          <w:sz w:val="20"/>
        </w:rPr>
        <w:t> </w:t>
      </w:r>
      <w:r>
        <w:rPr>
          <w:sz w:val="20"/>
        </w:rPr>
        <w:t>kWp,</w:t>
      </w:r>
      <w:r>
        <w:rPr>
          <w:spacing w:val="-6"/>
          <w:sz w:val="20"/>
        </w:rPr>
        <w:t> </w:t>
      </w:r>
      <w:r>
        <w:rPr>
          <w:sz w:val="20"/>
        </w:rPr>
        <w:t>dále</w:t>
      </w:r>
      <w:r>
        <w:rPr>
          <w:spacing w:val="-8"/>
          <w:sz w:val="20"/>
        </w:rPr>
        <w:t> </w:t>
      </w:r>
      <w:r>
        <w:rPr>
          <w:sz w:val="20"/>
        </w:rPr>
        <w:t>se</w:t>
      </w:r>
      <w:r>
        <w:rPr>
          <w:spacing w:val="-8"/>
          <w:sz w:val="20"/>
        </w:rPr>
        <w:t> </w:t>
      </w:r>
      <w:r>
        <w:rPr>
          <w:sz w:val="20"/>
        </w:rPr>
        <w:t>střešní</w:t>
      </w:r>
      <w:r>
        <w:rPr>
          <w:spacing w:val="-7"/>
          <w:sz w:val="20"/>
        </w:rPr>
        <w:t> </w:t>
      </w:r>
      <w:r>
        <w:rPr>
          <w:sz w:val="20"/>
        </w:rPr>
        <w:t>instalací</w:t>
      </w:r>
      <w:r>
        <w:rPr>
          <w:spacing w:val="-2"/>
          <w:sz w:val="20"/>
        </w:rPr>
        <w:t> </w:t>
      </w:r>
      <w:r>
        <w:rPr>
          <w:sz w:val="20"/>
        </w:rPr>
        <w:t>s</w:t>
      </w:r>
      <w:r>
        <w:rPr>
          <w:spacing w:val="-7"/>
          <w:sz w:val="20"/>
        </w:rPr>
        <w:t> </w:t>
      </w:r>
      <w:r>
        <w:rPr>
          <w:sz w:val="20"/>
        </w:rPr>
        <w:t>předpokládaným</w:t>
      </w:r>
      <w:r>
        <w:rPr>
          <w:spacing w:val="-8"/>
          <w:sz w:val="20"/>
        </w:rPr>
        <w:t> </w:t>
      </w:r>
      <w:r>
        <w:rPr>
          <w:sz w:val="20"/>
        </w:rPr>
        <w:t>výkonem</w:t>
      </w:r>
      <w:r>
        <w:rPr>
          <w:spacing w:val="-8"/>
          <w:sz w:val="20"/>
        </w:rPr>
        <w:t> </w:t>
      </w:r>
      <w:r>
        <w:rPr>
          <w:sz w:val="20"/>
        </w:rPr>
        <w:t>98,4</w:t>
      </w:r>
      <w:r>
        <w:rPr>
          <w:spacing w:val="-6"/>
          <w:sz w:val="20"/>
        </w:rPr>
        <w:t> </w:t>
      </w:r>
      <w:r>
        <w:rPr>
          <w:sz w:val="20"/>
        </w:rPr>
        <w:t>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99.63</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82.50</w:t>
            </w:r>
          </w:p>
        </w:tc>
      </w:tr>
      <w:tr>
        <w:trPr>
          <w:trHeight w:val="532" w:hRule="atLeast"/>
        </w:trPr>
        <w:tc>
          <w:tcPr>
            <w:tcW w:w="3749"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249.43</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95.93</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10"/>
        </w:rPr>
        <w:t> </w:t>
      </w:r>
      <w:r>
        <w:rPr/>
        <w:t>pozdějších</w:t>
      </w:r>
      <w:r>
        <w:rPr>
          <w:spacing w:val="-10"/>
        </w:rPr>
        <w:t> </w:t>
      </w:r>
      <w:r>
        <w:rPr/>
        <w:t>předpisů,</w:t>
      </w:r>
      <w:r>
        <w:rPr>
          <w:spacing w:val="-9"/>
        </w:rPr>
        <w:t> </w:t>
      </w:r>
      <w:r>
        <w:rPr/>
        <w:t>nebo</w:t>
      </w:r>
      <w:r>
        <w:rPr>
          <w:spacing w:val="-10"/>
        </w:rPr>
        <w:t> </w:t>
      </w:r>
      <w:r>
        <w:rPr/>
        <w:t>termín</w:t>
      </w:r>
      <w:r>
        <w:rPr>
          <w:spacing w:val="-9"/>
        </w:rPr>
        <w:t> </w:t>
      </w:r>
      <w:r>
        <w:rPr/>
        <w:t>schválení</w:t>
      </w:r>
      <w:r>
        <w:rPr>
          <w:spacing w:val="-10"/>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5"/>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40"/>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10"/>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3"/>
          <w:sz w:val="20"/>
        </w:rPr>
        <w:t> </w:t>
      </w:r>
      <w:r>
        <w:rPr>
          <w:sz w:val="20"/>
        </w:rPr>
        <w:t>výběrového/zadávacího</w:t>
      </w:r>
      <w:r>
        <w:rPr>
          <w:spacing w:val="-12"/>
          <w:sz w:val="20"/>
        </w:rPr>
        <w:t> </w:t>
      </w:r>
      <w:r>
        <w:rPr>
          <w:sz w:val="20"/>
        </w:rPr>
        <w:t>řízení,</w:t>
      </w:r>
      <w:r>
        <w:rPr>
          <w:spacing w:val="-12"/>
          <w:sz w:val="20"/>
        </w:rPr>
        <w:t> </w:t>
      </w:r>
      <w:r>
        <w:rPr>
          <w:sz w:val="20"/>
        </w:rPr>
        <w:t>z</w:t>
      </w:r>
      <w:r>
        <w:rPr>
          <w:spacing w:val="-11"/>
          <w:sz w:val="20"/>
        </w:rPr>
        <w:t> </w:t>
      </w:r>
      <w:r>
        <w:rPr>
          <w:sz w:val="20"/>
        </w:rPr>
        <w:t>hlediska</w:t>
      </w:r>
      <w:r>
        <w:rPr>
          <w:spacing w:val="-10"/>
          <w:sz w:val="20"/>
        </w:rPr>
        <w:t> </w:t>
      </w:r>
      <w:r>
        <w:rPr>
          <w:sz w:val="20"/>
        </w:rPr>
        <w:t>míry</w:t>
      </w:r>
      <w:r>
        <w:rPr>
          <w:spacing w:val="-10"/>
          <w:sz w:val="20"/>
        </w:rPr>
        <w:t> </w:t>
      </w:r>
      <w:r>
        <w:rPr>
          <w:sz w:val="20"/>
        </w:rPr>
        <w:t>porušení</w:t>
      </w:r>
      <w:r>
        <w:rPr>
          <w:spacing w:val="-12"/>
          <w:sz w:val="20"/>
        </w:rPr>
        <w:t> </w:t>
      </w:r>
      <w:r>
        <w:rPr>
          <w:sz w:val="20"/>
        </w:rPr>
        <w:t>základních</w:t>
      </w:r>
      <w:r>
        <w:rPr>
          <w:spacing w:val="-12"/>
          <w:sz w:val="20"/>
        </w:rPr>
        <w:t> </w:t>
      </w:r>
      <w:r>
        <w:rPr>
          <w:sz w:val="20"/>
        </w:rPr>
        <w:t>zásad</w:t>
      </w:r>
      <w:r>
        <w:rPr>
          <w:spacing w:val="-13"/>
          <w:sz w:val="20"/>
        </w:rPr>
        <w:t> </w:t>
      </w:r>
      <w:r>
        <w:rPr>
          <w:sz w:val="20"/>
        </w:rPr>
        <w:t>zadávání</w:t>
      </w:r>
      <w:r>
        <w:rPr>
          <w:spacing w:val="-7"/>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4"/>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726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870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2024-03-13T07:58:33Z</dcterms:created>
  <dcterms:modified xsi:type="dcterms:W3CDTF">2024-03-13T07:58:33Z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2016</vt:lpwstr>
  </property>
  <property fmtid="{D5CDD505-2E9C-101B-9397-08002B2CF9AE}" pid="4" name="LastSaved">
    <vt:filetime>2024-03-13T00:00:00Z</vt:filetime>
  </property>
</Properties>
</file>